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B31" w:rsidP="001B2B31">
      <w:pPr>
        <w:pStyle w:val="Title"/>
      </w:pPr>
      <w:bookmarkStart w:id="0" w:name="_GoBack"/>
      <w:bookmarkEnd w:id="0"/>
      <w:r>
        <w:fldChar w:fldCharType="begin"/>
      </w:r>
      <w:r>
        <w:instrText xml:space="preserve"> TITLE   \* MERGEFORMAT </w:instrText>
      </w:r>
      <w:r>
        <w:fldChar w:fldCharType="separate"/>
      </w:r>
      <w:r>
        <w:t>MSATMINS402A Inspect a range of liquid measuring instruments using volume measures</w:t>
      </w:r>
      <w:r>
        <w:fldChar w:fldCharType="end"/>
      </w:r>
    </w:p>
    <w:p w:rsidR="001B2B31" w:rsidP="001B2B31">
      <w:pPr>
        <w:pStyle w:val="Version"/>
        <w:sectPr w:rsidSect="00363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5F2" w:rsidP="003635F2">
      <w:pPr>
        <w:pStyle w:val="SuperHeading"/>
      </w:pPr>
      <w:r w:rsidRPr="003635F2">
        <w:t>MSATMINS402A Inspect a range of liquid measuring instruments using volume measures</w:t>
      </w:r>
    </w:p>
    <w:p w:rsidR="00000000" w:rsidRPr="003635F2" w:rsidP="003635F2">
      <w:pPr>
        <w:pStyle w:val="Heading1"/>
      </w:pPr>
      <w:bookmarkStart w:id="1" w:name="O_102447"/>
      <w:bookmarkEnd w:id="1"/>
      <w:r w:rsidRPr="003635F2">
        <w:t>Modification History</w:t>
      </w:r>
    </w:p>
    <w:p w:rsidR="00000000" w:rsidRPr="003635F2" w:rsidP="003635F2">
      <w:pPr>
        <w:pStyle w:val="BodyText"/>
      </w:pPr>
      <w:r w:rsidRPr="003635F2">
        <w:t>Not applicable.</w:t>
      </w:r>
    </w:p>
    <w:p w:rsidR="00000000" w:rsidRPr="003635F2" w:rsidP="003635F2">
      <w:pPr>
        <w:pStyle w:val="AllowPageBreak"/>
      </w:pPr>
    </w:p>
    <w:p w:rsidR="00000000" w:rsidRPr="003635F2" w:rsidP="003635F2">
      <w:pPr>
        <w:pStyle w:val="Heading1"/>
      </w:pPr>
      <w:bookmarkStart w:id="2" w:name="O_102448"/>
      <w:bookmarkEnd w:id="2"/>
      <w:r w:rsidRPr="003635F2">
        <w:t>Unit Descript</w:t>
      </w:r>
      <w:r w:rsidRPr="003635F2">
        <w:t>or</w:t>
      </w:r>
    </w:p>
    <w:tbl>
      <w:tblPr>
        <w:tblW w:w="0" w:type="auto"/>
        <w:tblLayout w:type="fixed"/>
        <w:tblCellMar>
          <w:left w:w="62" w:type="dxa"/>
          <w:right w:w="62" w:type="dxa"/>
        </w:tblCellMar>
        <w:tblLook w:val="0000"/>
      </w:tblPr>
      <w:tblGrid>
        <w:gridCol w:w="2670"/>
        <w:gridCol w:w="5852"/>
      </w:tblGrid>
      <w:tr w:rsidTr="001B2B31">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This unit of competency covers the ability to apply National Test Procedures to determine whether a liquid measuring instrument using volume measures is suitable for trade and then mark it accordingly. It also involves auditing the perfo</w:t>
            </w:r>
            <w:r w:rsidRPr="003635F2">
              <w:t>rmance of verifiers who have previously tested and marked liquid measuring instruments for use.</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3" w:name="O_102449"/>
      <w:bookmarkEnd w:id="3"/>
      <w:r w:rsidRPr="003635F2">
        <w:t>Application of the Unit</w:t>
      </w:r>
    </w:p>
    <w:tbl>
      <w:tblPr>
        <w:tblW w:w="0" w:type="auto"/>
        <w:tblLayout w:type="fixed"/>
        <w:tblCellMar>
          <w:left w:w="62" w:type="dxa"/>
          <w:right w:w="62" w:type="dxa"/>
        </w:tblCellMar>
        <w:tblLook w:val="0000"/>
      </w:tblPr>
      <w:tblGrid>
        <w:gridCol w:w="2751"/>
        <w:gridCol w:w="5771"/>
      </w:tblGrid>
      <w:tr w:rsidTr="001B2B3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This unit of competency is applicable to trade measurement inspectors appointed under national measurement legislation who may inspect a wide range of liquid measuring instruments tested using a volume measure as part of their allocated duties. Liquid meas</w:t>
            </w:r>
            <w:r w:rsidRPr="003635F2">
              <w:t>uring instruments are used in a very wide range of commerce. For example, petrol bowsers measure fuel at the point of sale and flowmeters are used to measure bulk commodities such as milk, chemicals and petroleum products during production and distribution</w:t>
            </w:r>
            <w:r w:rsidRPr="003635F2">
              <w:t>.</w:t>
            </w:r>
          </w:p>
          <w:p w:rsidR="00000000" w:rsidRPr="003635F2" w:rsidP="003635F2">
            <w:pPr>
              <w:pStyle w:val="BodyText"/>
            </w:pPr>
            <w:r w:rsidRPr="003635F2">
              <w:t>Industry representatives have provided case studies to illustrate the practical application of this unit of competency and to show its relevance in a workplace setting. These are found at the end of this unit of competency under the section 'This compete</w:t>
            </w:r>
            <w:r w:rsidRPr="003635F2">
              <w:t>ncy in practice'.</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4" w:name="O_102450"/>
      <w:bookmarkEnd w:id="4"/>
      <w:r w:rsidRPr="003635F2">
        <w:t>Licensing/Regulatory Information</w:t>
      </w:r>
    </w:p>
    <w:p w:rsidR="00000000" w:rsidRPr="003635F2" w:rsidP="003635F2">
      <w:pPr>
        <w:pStyle w:val="BodyText"/>
      </w:pPr>
      <w:r w:rsidRPr="003635F2">
        <w:t>Not applicable.</w:t>
      </w:r>
    </w:p>
    <w:p w:rsidR="00000000" w:rsidRPr="003635F2" w:rsidP="003635F2">
      <w:pPr>
        <w:pStyle w:val="AllowPageBreak"/>
      </w:pPr>
    </w:p>
    <w:p w:rsidR="00000000" w:rsidRPr="003635F2" w:rsidP="003635F2">
      <w:pPr>
        <w:pStyle w:val="Heading1"/>
      </w:pPr>
      <w:bookmarkStart w:id="5" w:name="O_102452"/>
      <w:bookmarkEnd w:id="5"/>
      <w:r w:rsidRPr="003635F2">
        <w:t>Pre-Requisites</w:t>
      </w:r>
    </w:p>
    <w:tbl>
      <w:tblPr>
        <w:tblW w:w="0" w:type="auto"/>
        <w:tblLayout w:type="fixed"/>
        <w:tblCellMar>
          <w:left w:w="62" w:type="dxa"/>
          <w:right w:w="62" w:type="dxa"/>
        </w:tblCellMar>
        <w:tblLook w:val="0000"/>
      </w:tblPr>
      <w:tblGrid>
        <w:gridCol w:w="2775"/>
        <w:gridCol w:w="1295"/>
        <w:gridCol w:w="4452"/>
      </w:tblGrid>
      <w:tr w:rsidTr="001B2B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p>
        </w:tc>
      </w:tr>
      <w:tr w:rsidTr="001B2B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p>
        </w:tc>
      </w:tr>
      <w:tr w:rsidTr="001B2B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6" w:name="O_102451"/>
      <w:bookmarkEnd w:id="6"/>
      <w:r w:rsidRPr="003635F2">
        <w:t>Employability Skills Information</w:t>
      </w:r>
    </w:p>
    <w:tbl>
      <w:tblPr>
        <w:tblW w:w="0" w:type="auto"/>
        <w:tblLayout w:type="fixed"/>
        <w:tblCellMar>
          <w:left w:w="62" w:type="dxa"/>
          <w:right w:w="62" w:type="dxa"/>
        </w:tblCellMar>
        <w:tblLook w:val="0000"/>
      </w:tblPr>
      <w:tblGrid>
        <w:gridCol w:w="2802"/>
        <w:gridCol w:w="5720"/>
      </w:tblGrid>
      <w:tr w:rsidTr="001B2B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This unit contains employability skills.</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7" w:name="O_102453"/>
      <w:bookmarkEnd w:id="7"/>
      <w:r w:rsidRPr="003635F2">
        <w:t>Elements and Performance Criteria Pre-Content</w:t>
      </w:r>
    </w:p>
    <w:tbl>
      <w:tblPr>
        <w:tblW w:w="0" w:type="auto"/>
        <w:tblLayout w:type="fixed"/>
        <w:tblCellMar>
          <w:left w:w="62" w:type="dxa"/>
          <w:right w:w="62" w:type="dxa"/>
        </w:tblCellMar>
        <w:tblLook w:val="0000"/>
      </w:tblPr>
      <w:tblGrid>
        <w:gridCol w:w="2544"/>
        <w:gridCol w:w="5978"/>
      </w:tblGrid>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Performance criteria describe th</w:t>
            </w:r>
            <w:r w:rsidRPr="003635F2">
              <w:t>e performance needed to demonstrate achievement of the element. Where bold italicised text is used, further information is detailed in the required skills and knowledge section and the range statement. Assessment of performance is to be consistent with the</w:t>
            </w:r>
            <w:r w:rsidRPr="003635F2">
              <w:t xml:space="preserve"> evidence guide.</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8" w:name="O_102454"/>
      <w:bookmarkEnd w:id="8"/>
      <w:r w:rsidRPr="003635F2">
        <w:t>Elements and Performance Criteria</w:t>
      </w:r>
    </w:p>
    <w:tbl>
      <w:tblPr>
        <w:tblW w:w="0" w:type="auto"/>
        <w:tblLayout w:type="fixed"/>
        <w:tblCellMar>
          <w:left w:w="62" w:type="dxa"/>
          <w:right w:w="62" w:type="dxa"/>
        </w:tblCellMar>
        <w:tblLook w:val="0000"/>
      </w:tblPr>
      <w:tblGrid>
        <w:gridCol w:w="2544"/>
        <w:gridCol w:w="5978"/>
      </w:tblGrid>
      <w:tr w:rsidTr="001B2B3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PERFORMANCE CRITERIA</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1.</w:t>
            </w:r>
            <w:r w:rsidRPr="003635F2">
              <w:tab/>
              <w:t>Prepare for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1.1.</w:t>
            </w:r>
            <w:r w:rsidRPr="003635F2">
              <w:tab/>
              <w:t>Identify and evaluate the type of instrument to be inspected</w:t>
            </w:r>
          </w:p>
          <w:p w:rsidR="00000000" w:rsidRPr="003635F2" w:rsidP="003635F2">
            <w:pPr>
              <w:pStyle w:val="List2"/>
            </w:pPr>
            <w:r w:rsidRPr="003635F2">
              <w:t>1.2.</w:t>
            </w:r>
            <w:r w:rsidRPr="003635F2">
              <w:tab/>
            </w:r>
            <w:r w:rsidRPr="003635F2">
              <w:t>Access and review any history of previous inspections at trader's premises</w:t>
            </w:r>
          </w:p>
          <w:p w:rsidR="00000000" w:rsidRPr="003635F2" w:rsidP="003635F2">
            <w:pPr>
              <w:pStyle w:val="List2"/>
            </w:pPr>
            <w:r w:rsidRPr="003635F2">
              <w:t>1.3.</w:t>
            </w:r>
            <w:r w:rsidRPr="003635F2">
              <w:tab/>
              <w:t>Access and correctly interpret appropriate documentation required for the inspection</w:t>
            </w:r>
          </w:p>
          <w:p w:rsidR="00000000" w:rsidRPr="003635F2" w:rsidP="003635F2">
            <w:pPr>
              <w:pStyle w:val="List2"/>
            </w:pPr>
            <w:r w:rsidRPr="003635F2">
              <w:t>1.4.</w:t>
            </w:r>
            <w:r w:rsidRPr="003635F2">
              <w:tab/>
              <w:t>Identify and access test equipment, products and consumables required for the inspecti</w:t>
            </w:r>
            <w:r w:rsidRPr="003635F2">
              <w:t>on</w:t>
            </w:r>
          </w:p>
          <w:p w:rsidR="00000000" w:rsidRPr="003635F2" w:rsidP="003635F2">
            <w:pPr>
              <w:pStyle w:val="List2"/>
            </w:pPr>
            <w:r w:rsidRPr="003635F2">
              <w:t>1.5.</w:t>
            </w:r>
            <w:r w:rsidRPr="003635F2">
              <w:tab/>
              <w:t>Ensure specified test equipment is fit for purpose in accordance with applicable legislation and organisational procedures</w:t>
            </w:r>
          </w:p>
          <w:p w:rsidR="00000000" w:rsidRPr="003635F2" w:rsidP="003635F2">
            <w:pPr>
              <w:pStyle w:val="List2"/>
            </w:pPr>
            <w:r w:rsidRPr="003635F2">
              <w:t>1.6.</w:t>
            </w:r>
            <w:r w:rsidRPr="003635F2">
              <w:tab/>
              <w:t>Store and transport test equipment in accordance with organisational procedures and industry best practice</w:t>
            </w:r>
          </w:p>
          <w:p w:rsidR="00000000" w:rsidP="003635F2">
            <w:pPr>
              <w:pStyle w:val="List2"/>
              <w:rPr>
                <w:lang w:val="en-NZ"/>
              </w:rPr>
            </w:pPr>
            <w:r w:rsidRPr="003635F2">
              <w:t>1.7.</w:t>
            </w:r>
            <w:r w:rsidRPr="003635F2">
              <w:tab/>
              <w:t>Identify</w:t>
            </w:r>
            <w:r w:rsidRPr="003635F2">
              <w:t xml:space="preserve"> workplace health and safety issues relevant to the inspection</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2.</w:t>
            </w:r>
            <w:r w:rsidRPr="003635F2">
              <w:tab/>
              <w:t xml:space="preserve">Initiate inspection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2.1.</w:t>
            </w:r>
            <w:r w:rsidRPr="003635F2">
              <w:tab/>
              <w:t xml:space="preserve">Identify the site contoller, explain the purpose of the inspection and produce formal identification, if required </w:t>
            </w:r>
          </w:p>
          <w:p w:rsidR="00000000" w:rsidRPr="003635F2" w:rsidP="003635F2">
            <w:pPr>
              <w:pStyle w:val="List2"/>
            </w:pPr>
            <w:r w:rsidRPr="003635F2">
              <w:t>2.2.</w:t>
            </w:r>
            <w:r w:rsidRPr="003635F2">
              <w:tab/>
              <w:t>Identify relevant site health and safety is</w:t>
            </w:r>
            <w:r w:rsidRPr="003635F2">
              <w:t>sues and implement appropriate control strategies</w:t>
            </w:r>
          </w:p>
          <w:p w:rsidR="00000000" w:rsidRPr="003635F2" w:rsidP="003635F2">
            <w:pPr>
              <w:pStyle w:val="List2"/>
            </w:pPr>
            <w:r w:rsidRPr="003635F2">
              <w:t>2.3.</w:t>
            </w:r>
            <w:r w:rsidRPr="003635F2">
              <w:tab/>
              <w:t>Conduct a preliminary evaluation of the site's trading practices and prioritise activities to maximise inspection outcomes</w:t>
            </w:r>
          </w:p>
          <w:p w:rsidR="00000000" w:rsidP="003635F2">
            <w:pPr>
              <w:pStyle w:val="List2"/>
              <w:rPr>
                <w:lang w:val="en-NZ"/>
              </w:rPr>
            </w:pPr>
            <w:r w:rsidRPr="003635F2">
              <w:t>2.4.</w:t>
            </w:r>
            <w:r w:rsidRPr="003635F2">
              <w:tab/>
              <w:t>Identify trade measuring instruments and plan inspection to minimise disr</w:t>
            </w:r>
            <w:r w:rsidRPr="003635F2">
              <w:t>uption to the public and trader</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3.</w:t>
            </w:r>
            <w:r w:rsidRPr="003635F2">
              <w:tab/>
              <w:t>Evaluate liquid measuring instrument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3.1.</w:t>
            </w:r>
            <w:r w:rsidRPr="003635F2">
              <w:tab/>
              <w:t>Evaluate whether the operating environment will impact on the instrument performance</w:t>
            </w:r>
          </w:p>
          <w:p w:rsidR="00000000" w:rsidRPr="003635F2" w:rsidP="003635F2">
            <w:pPr>
              <w:pStyle w:val="List2"/>
            </w:pPr>
            <w:r w:rsidRPr="003635F2">
              <w:t>3.2.</w:t>
            </w:r>
            <w:r w:rsidRPr="003635F2">
              <w:tab/>
            </w:r>
            <w:r w:rsidRPr="003635F2">
              <w:t>Modify the operating environment or implement alternative arrangements to ensure reliable test conditions as necessary</w:t>
            </w:r>
          </w:p>
          <w:p w:rsidR="00000000" w:rsidRPr="003635F2" w:rsidP="003635F2">
            <w:pPr>
              <w:pStyle w:val="List2"/>
            </w:pPr>
            <w:r w:rsidRPr="003635F2">
              <w:t>3.3.</w:t>
            </w:r>
            <w:r w:rsidRPr="003635F2">
              <w:tab/>
              <w:t>Identify the maximum permissible errors for the instrument from the legislative requirements</w:t>
            </w:r>
          </w:p>
          <w:p w:rsidR="00000000" w:rsidRPr="003635F2" w:rsidP="003635F2">
            <w:pPr>
              <w:pStyle w:val="List2"/>
            </w:pPr>
            <w:r w:rsidRPr="003635F2">
              <w:t>3.4.</w:t>
            </w:r>
            <w:r w:rsidRPr="003635F2">
              <w:tab/>
              <w:t>Use test equipment safely in accor</w:t>
            </w:r>
            <w:r w:rsidRPr="003635F2">
              <w:t>dance with applicable legislation and organisational procedures</w:t>
            </w:r>
          </w:p>
          <w:p w:rsidR="00000000" w:rsidRPr="003635F2" w:rsidP="003635F2">
            <w:pPr>
              <w:pStyle w:val="List2"/>
            </w:pPr>
            <w:r w:rsidRPr="003635F2">
              <w:t>3.5.</w:t>
            </w:r>
            <w:r w:rsidRPr="003635F2">
              <w:tab/>
              <w:t>Check instrument for compliance with the appropriate Certificates of Approval</w:t>
            </w:r>
          </w:p>
          <w:p w:rsidR="00000000" w:rsidRPr="003635F2" w:rsidP="003635F2">
            <w:pPr>
              <w:pStyle w:val="List2"/>
            </w:pPr>
            <w:r w:rsidRPr="003635F2">
              <w:t>3.6.</w:t>
            </w:r>
            <w:r w:rsidRPr="003635F2">
              <w:tab/>
              <w:t>Inspect the instrument in accordance with relevant National Test Procedure and appropriate National Meas</w:t>
            </w:r>
            <w:r w:rsidRPr="003635F2">
              <w:t xml:space="preserve">urement Institute policy </w:t>
            </w:r>
          </w:p>
          <w:p w:rsidR="00000000" w:rsidP="003635F2">
            <w:pPr>
              <w:pStyle w:val="List2"/>
              <w:rPr>
                <w:lang w:val="en-NZ"/>
              </w:rPr>
            </w:pPr>
            <w:r w:rsidRPr="003635F2">
              <w:t>3.7.</w:t>
            </w:r>
            <w:r w:rsidRPr="003635F2">
              <w:tab/>
              <w:t>Evaluate results against prescribed performance criteria and determine if the instrument is suitable for trade use in accordance with legislative requirements</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4.</w:t>
            </w:r>
            <w:r w:rsidRPr="003635F2">
              <w:tab/>
              <w:t>Conduct a verifier performance audit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4.1.</w:t>
            </w:r>
            <w:r w:rsidRPr="003635F2">
              <w:tab/>
              <w:t>Identify the scope o</w:t>
            </w:r>
            <w:r w:rsidRPr="003635F2">
              <w:t>f the verifier audit</w:t>
            </w:r>
          </w:p>
          <w:p w:rsidR="00000000" w:rsidRPr="003635F2" w:rsidP="003635F2">
            <w:pPr>
              <w:pStyle w:val="List2"/>
            </w:pPr>
            <w:r w:rsidRPr="003635F2">
              <w:t>4.2.</w:t>
            </w:r>
            <w:r w:rsidRPr="003635F2">
              <w:tab/>
              <w:t>Identify the expected outcomes of the verifier audit</w:t>
            </w:r>
          </w:p>
          <w:p w:rsidR="00000000" w:rsidRPr="003635F2" w:rsidP="003635F2">
            <w:pPr>
              <w:pStyle w:val="List2"/>
            </w:pPr>
            <w:r w:rsidRPr="003635F2">
              <w:t>4.3.</w:t>
            </w:r>
            <w:r w:rsidRPr="003635F2">
              <w:tab/>
              <w:t>Assess the verifier's performance against the expected outcome</w:t>
            </w:r>
          </w:p>
          <w:p w:rsidR="00000000" w:rsidP="003635F2">
            <w:pPr>
              <w:pStyle w:val="List2"/>
              <w:rPr>
                <w:lang w:val="en-NZ"/>
              </w:rPr>
            </w:pPr>
            <w:r w:rsidRPr="003635F2">
              <w:t>4.4.</w:t>
            </w:r>
            <w:r w:rsidRPr="003635F2">
              <w:tab/>
              <w:t>Analyse any variances from the expected outcomes to identify isolated or systemic problems</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5.</w:t>
            </w:r>
            <w:r w:rsidRPr="003635F2">
              <w:tab/>
              <w:t>Analyse a</w:t>
            </w:r>
            <w:r w:rsidRPr="003635F2">
              <w:t>nd report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5.1.</w:t>
            </w:r>
            <w:r w:rsidRPr="003635F2">
              <w:tab/>
              <w:t>Analyse inspection data for unacceptable performance trends</w:t>
            </w:r>
          </w:p>
          <w:p w:rsidR="00000000" w:rsidRPr="003635F2" w:rsidP="003635F2">
            <w:pPr>
              <w:pStyle w:val="List2"/>
            </w:pPr>
            <w:r w:rsidRPr="003635F2">
              <w:t>5.2.</w:t>
            </w:r>
            <w:r w:rsidRPr="003635F2">
              <w:tab/>
              <w:t xml:space="preserve">Display the inspection result on the instrument in accordance with legislative requirements </w:t>
            </w:r>
          </w:p>
          <w:p w:rsidR="00000000" w:rsidRPr="003635F2" w:rsidP="003635F2">
            <w:pPr>
              <w:pStyle w:val="List2"/>
            </w:pPr>
            <w:r w:rsidRPr="003635F2">
              <w:t>5.3.</w:t>
            </w:r>
            <w:r w:rsidRPr="003635F2">
              <w:tab/>
              <w:t xml:space="preserve">Use test reports </w:t>
            </w:r>
            <w:r w:rsidRPr="003635F2">
              <w:t>to present inspection results in the required format</w:t>
            </w:r>
          </w:p>
          <w:p w:rsidR="00000000" w:rsidRPr="003635F2" w:rsidP="003635F2">
            <w:pPr>
              <w:pStyle w:val="List2"/>
            </w:pPr>
            <w:r w:rsidRPr="003635F2">
              <w:t>5.4.</w:t>
            </w:r>
            <w:r w:rsidRPr="003635F2">
              <w:tab/>
              <w:t>Complete inspection documentation in accordance with legislative requirements and organisational procedures</w:t>
            </w:r>
          </w:p>
          <w:p w:rsidR="00000000" w:rsidRPr="003635F2" w:rsidP="003635F2">
            <w:pPr>
              <w:pStyle w:val="List2"/>
            </w:pPr>
            <w:r w:rsidRPr="003635F2">
              <w:t>5.5.</w:t>
            </w:r>
            <w:r w:rsidRPr="003635F2">
              <w:tab/>
              <w:t>Communicate inspection results within the specified time and in accordance with organ</w:t>
            </w:r>
            <w:r w:rsidRPr="003635F2">
              <w:t>isational guidelines</w:t>
            </w:r>
          </w:p>
          <w:p w:rsidR="00000000" w:rsidP="003635F2">
            <w:pPr>
              <w:pStyle w:val="List2"/>
              <w:rPr>
                <w:lang w:val="en-NZ"/>
              </w:rPr>
            </w:pPr>
            <w:r w:rsidRPr="003635F2">
              <w:t>5.6.</w:t>
            </w:r>
            <w:r w:rsidRPr="003635F2">
              <w:tab/>
              <w:t>Recommend follow-up actions as appropriate</w:t>
            </w:r>
          </w:p>
        </w:tc>
      </w:tr>
      <w:tr w:rsidTr="001B2B3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List"/>
              <w:rPr>
                <w:lang w:val="en-NZ"/>
              </w:rPr>
            </w:pPr>
            <w:r w:rsidRPr="003635F2">
              <w:t>6.</w:t>
            </w:r>
            <w:r w:rsidRPr="003635F2">
              <w:tab/>
              <w:t>Act on non-compliance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2"/>
            </w:pPr>
            <w:r w:rsidRPr="003635F2">
              <w:t>6.1.</w:t>
            </w:r>
            <w:r w:rsidRPr="003635F2">
              <w:tab/>
              <w:t xml:space="preserve">Select applicable enforcement action for the non-compliance in accordance with legislative requirements, organisational policy and procedures </w:t>
            </w:r>
          </w:p>
          <w:p w:rsidR="00000000" w:rsidRPr="003635F2" w:rsidP="003635F2">
            <w:pPr>
              <w:pStyle w:val="List2"/>
            </w:pPr>
            <w:r w:rsidRPr="003635F2">
              <w:t>6.2.</w:t>
            </w:r>
            <w:r w:rsidRPr="003635F2">
              <w:tab/>
              <w:t>Inform t</w:t>
            </w:r>
            <w:r w:rsidRPr="003635F2">
              <w:t xml:space="preserve">raders of non-compliances and consequences of failing to have them corrected </w:t>
            </w:r>
          </w:p>
          <w:p w:rsidR="00000000" w:rsidRPr="003635F2" w:rsidP="003635F2">
            <w:pPr>
              <w:pStyle w:val="List2"/>
            </w:pPr>
            <w:r w:rsidRPr="003635F2">
              <w:t>6.3.</w:t>
            </w:r>
            <w:r w:rsidRPr="003635F2">
              <w:tab/>
              <w:t>Implement enforcement action in accordance with legislative requirements, organisational policy and procedures</w:t>
            </w:r>
          </w:p>
          <w:p w:rsidR="00000000" w:rsidRPr="003635F2" w:rsidP="003635F2">
            <w:pPr>
              <w:pStyle w:val="List2"/>
            </w:pPr>
            <w:r w:rsidRPr="003635F2">
              <w:t>6.4.</w:t>
            </w:r>
            <w:r w:rsidRPr="003635F2">
              <w:tab/>
              <w:t>Maintain the rights of the trader at all times</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9" w:name="O_102455"/>
      <w:bookmarkEnd w:id="9"/>
      <w:r w:rsidRPr="003635F2">
        <w:t>Required Skills and Knowledge</w:t>
      </w:r>
    </w:p>
    <w:tbl>
      <w:tblPr>
        <w:tblW w:w="0" w:type="auto"/>
        <w:tblLayout w:type="fixed"/>
        <w:tblCellMar>
          <w:left w:w="62" w:type="dxa"/>
          <w:right w:w="62" w:type="dxa"/>
        </w:tblCellMar>
        <w:tblLook w:val="0000"/>
      </w:tblPr>
      <w:tblGrid>
        <w:gridCol w:w="8522"/>
      </w:tblGrid>
      <w:tr w:rsidTr="001B2B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REQUIRED SKILLS AND KNOWLEDGE</w:t>
            </w:r>
          </w:p>
        </w:tc>
      </w:tr>
      <w:tr w:rsidTr="001B2B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t>This section describes the skills and knowledge required for this unit.</w:t>
            </w:r>
          </w:p>
        </w:tc>
      </w:tr>
      <w:tr w:rsidTr="001B2B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Required skills</w:t>
            </w:r>
          </w:p>
        </w:tc>
      </w:tr>
      <w:tr w:rsidTr="001B2B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Bullet"/>
            </w:pPr>
            <w:r w:rsidRPr="003635F2">
              <w:t>accessing, interpreting and applying a range of documents for the inspection of liquid measuring instruments including:</w:t>
            </w:r>
          </w:p>
          <w:p w:rsidR="00000000" w:rsidRPr="003635F2" w:rsidP="003635F2">
            <w:pPr>
              <w:pStyle w:val="ListBullet2"/>
            </w:pPr>
            <w:r w:rsidRPr="003635F2">
              <w:t>national measurement legislation</w:t>
            </w:r>
          </w:p>
          <w:p w:rsidR="00000000" w:rsidRPr="003635F2" w:rsidP="003635F2">
            <w:pPr>
              <w:pStyle w:val="ListBullet2"/>
            </w:pPr>
            <w:r w:rsidRPr="003635F2">
              <w:t>intermediate National Test Procedures</w:t>
            </w:r>
          </w:p>
          <w:p w:rsidR="00000000" w:rsidRPr="003635F2" w:rsidP="003635F2">
            <w:pPr>
              <w:pStyle w:val="ListBullet2"/>
            </w:pPr>
            <w:r w:rsidRPr="003635F2">
              <w:t>Certificates of Approval</w:t>
            </w:r>
          </w:p>
          <w:p w:rsidR="00000000" w:rsidRPr="003635F2" w:rsidP="003635F2">
            <w:pPr>
              <w:pStyle w:val="ListBullet2"/>
            </w:pPr>
            <w:r w:rsidRPr="003635F2">
              <w:t>National Measurement Institute inspection policy</w:t>
            </w:r>
          </w:p>
          <w:p w:rsidR="00000000" w:rsidRPr="003635F2" w:rsidP="003635F2">
            <w:pPr>
              <w:pStyle w:val="ListBullet2"/>
            </w:pPr>
            <w:r w:rsidRPr="003635F2">
              <w:t>Australian Standards</w:t>
            </w:r>
          </w:p>
          <w:p w:rsidR="00000000" w:rsidRPr="003635F2" w:rsidP="003635F2">
            <w:pPr>
              <w:pStyle w:val="ListBullet2"/>
            </w:pPr>
            <w:r w:rsidRPr="003635F2">
              <w:t>industry codes of practice</w:t>
            </w:r>
          </w:p>
          <w:p w:rsidR="00000000" w:rsidRPr="003635F2" w:rsidP="003635F2">
            <w:pPr>
              <w:pStyle w:val="ListBullet2"/>
            </w:pPr>
            <w:r w:rsidRPr="003635F2">
              <w:t>correction tables for volume, density and pressure for a range of liquids</w:t>
            </w:r>
          </w:p>
          <w:p w:rsidR="00000000" w:rsidRPr="003635F2" w:rsidP="003635F2">
            <w:pPr>
              <w:pStyle w:val="ListBullet2"/>
            </w:pPr>
            <w:r w:rsidRPr="003635F2">
              <w:t>national and international design rules</w:t>
            </w:r>
          </w:p>
          <w:p w:rsidR="00000000" w:rsidRPr="003635F2" w:rsidP="003635F2">
            <w:pPr>
              <w:pStyle w:val="ListBullet2"/>
            </w:pPr>
            <w:r w:rsidRPr="003635F2">
              <w:t>pattern approval documents</w:t>
            </w:r>
          </w:p>
          <w:p w:rsidR="00000000" w:rsidRPr="003635F2" w:rsidP="003635F2">
            <w:pPr>
              <w:pStyle w:val="ListBullet"/>
            </w:pPr>
            <w:r w:rsidRPr="003635F2">
              <w:t>accessing and inte</w:t>
            </w:r>
            <w:r w:rsidRPr="003635F2">
              <w:t>rpreting Certificates of Verification for a range of reference standards</w:t>
            </w:r>
          </w:p>
          <w:p w:rsidR="00000000" w:rsidRPr="003635F2" w:rsidP="003635F2">
            <w:pPr>
              <w:pStyle w:val="ListBullet"/>
            </w:pPr>
            <w:r w:rsidRPr="003635F2">
              <w:t>performing inspections over extended durations in non-routine and hazardous environments</w:t>
            </w:r>
          </w:p>
          <w:p w:rsidR="00000000" w:rsidRPr="003635F2" w:rsidP="003635F2">
            <w:pPr>
              <w:pStyle w:val="ListBullet"/>
            </w:pPr>
            <w:r w:rsidRPr="003635F2">
              <w:t>using advanced communication and negotiation skills to:</w:t>
            </w:r>
          </w:p>
          <w:p w:rsidR="00000000" w:rsidRPr="003635F2" w:rsidP="003635F2">
            <w:pPr>
              <w:pStyle w:val="ListBullet2"/>
            </w:pPr>
            <w:r w:rsidRPr="003635F2">
              <w:t>explain purpose of the verification</w:t>
            </w:r>
          </w:p>
          <w:p w:rsidR="00000000" w:rsidRPr="003635F2" w:rsidP="003635F2">
            <w:pPr>
              <w:pStyle w:val="ListBullet2"/>
            </w:pPr>
            <w:r w:rsidRPr="003635F2">
              <w:t>i</w:t>
            </w:r>
            <w:r w:rsidRPr="003635F2">
              <w:t>nform traders of non-compliances and consequences of failing to rectify</w:t>
            </w:r>
          </w:p>
          <w:p w:rsidR="00000000" w:rsidRPr="003635F2" w:rsidP="003635F2">
            <w:pPr>
              <w:pStyle w:val="ListBullet2"/>
            </w:pPr>
            <w:r w:rsidRPr="003635F2">
              <w:t>access external equipment and resources to complete the verification</w:t>
            </w:r>
          </w:p>
          <w:p w:rsidR="00000000" w:rsidRPr="003635F2" w:rsidP="003635F2">
            <w:pPr>
              <w:pStyle w:val="ListBullet2"/>
            </w:pPr>
            <w:r w:rsidRPr="003635F2">
              <w:t>explain verification procedures and outcomes to traders, verifiers and managers</w:t>
            </w:r>
          </w:p>
          <w:p w:rsidR="00000000" w:rsidRPr="003635F2" w:rsidP="003635F2">
            <w:pPr>
              <w:pStyle w:val="ListBullet"/>
            </w:pPr>
            <w:r w:rsidRPr="003635F2">
              <w:t>accessing, transporting, setting up</w:t>
            </w:r>
            <w:r w:rsidRPr="003635F2">
              <w:t>, validating, using and maintaining a broad range of test equipment and reference standards</w:t>
            </w:r>
          </w:p>
          <w:p w:rsidR="00000000" w:rsidRPr="003635F2" w:rsidP="003635F2">
            <w:pPr>
              <w:pStyle w:val="ListBullet"/>
            </w:pPr>
            <w:r w:rsidRPr="003635F2">
              <w:t>identifying and evaluating environmental factors that may impact on performance of liquid measuring instruments</w:t>
            </w:r>
          </w:p>
          <w:p w:rsidR="00000000" w:rsidRPr="003635F2" w:rsidP="003635F2">
            <w:pPr>
              <w:pStyle w:val="ListBullet"/>
            </w:pPr>
            <w:r w:rsidRPr="003635F2">
              <w:t>organising large equipment to be dispatched ahead of</w:t>
            </w:r>
            <w:r w:rsidRPr="003635F2">
              <w:t xml:space="preserve"> verification visit</w:t>
            </w:r>
          </w:p>
          <w:p w:rsidR="00000000" w:rsidRPr="003635F2" w:rsidP="003635F2">
            <w:pPr>
              <w:pStyle w:val="ListBullet"/>
            </w:pPr>
            <w:r w:rsidRPr="003635F2">
              <w:t>conducting tests and recording results with close attention to detail and accuracy</w:t>
            </w:r>
          </w:p>
          <w:p w:rsidR="00000000" w:rsidRPr="003635F2" w:rsidP="003635F2">
            <w:pPr>
              <w:pStyle w:val="ListBullet"/>
            </w:pPr>
            <w:r w:rsidRPr="003635F2">
              <w:t>performing calculations involving:</w:t>
            </w:r>
          </w:p>
          <w:p w:rsidR="00000000" w:rsidRPr="003635F2" w:rsidP="003635F2">
            <w:pPr>
              <w:pStyle w:val="ListBullet2"/>
            </w:pPr>
            <w:r w:rsidRPr="003635F2">
              <w:t>fractions, decimals, ratios, proportions and percentages</w:t>
            </w:r>
          </w:p>
          <w:p w:rsidR="00000000" w:rsidRPr="003635F2" w:rsidP="003635F2">
            <w:pPr>
              <w:pStyle w:val="ListBullet2"/>
            </w:pPr>
            <w:r w:rsidRPr="003635F2">
              <w:t>evaluation of formulae containing powers, exponents and logarithms functions</w:t>
            </w:r>
          </w:p>
          <w:p w:rsidR="00000000" w:rsidRPr="003635F2" w:rsidP="003635F2">
            <w:pPr>
              <w:pStyle w:val="ListBullet2"/>
            </w:pPr>
            <w:r w:rsidRPr="003635F2">
              <w:t>use of scientific notation, correct units, correct number of significant figures</w:t>
            </w:r>
          </w:p>
          <w:p w:rsidR="00000000" w:rsidRPr="003635F2" w:rsidP="003635F2">
            <w:pPr>
              <w:pStyle w:val="ListBullet2"/>
            </w:pPr>
            <w:r w:rsidRPr="003635F2">
              <w:t>calculation of uncertainties</w:t>
            </w:r>
          </w:p>
          <w:p w:rsidR="00000000" w:rsidRPr="003635F2" w:rsidP="003635F2">
            <w:pPr>
              <w:pStyle w:val="ListBullet2"/>
            </w:pPr>
            <w:r w:rsidRPr="003635F2">
              <w:t>preparation and interpretation of linear, semi-log and log-log graphs</w:t>
            </w:r>
          </w:p>
          <w:p w:rsidR="00000000" w:rsidRPr="003635F2" w:rsidP="003635F2">
            <w:pPr>
              <w:pStyle w:val="ListBullet2"/>
            </w:pPr>
            <w:r w:rsidRPr="003635F2">
              <w:t>interpretation of statistical quantities, such as mean, median, mode, range, variance and standard deviation</w:t>
            </w:r>
          </w:p>
          <w:p w:rsidR="00000000" w:rsidRPr="003635F2" w:rsidP="003635F2">
            <w:pPr>
              <w:pStyle w:val="ListBullet2"/>
            </w:pPr>
            <w:r w:rsidRPr="003635F2">
              <w:t>determination of regression line equations, correlation coefficients</w:t>
            </w:r>
          </w:p>
          <w:p w:rsidR="00000000" w:rsidRPr="003635F2" w:rsidP="003635F2">
            <w:pPr>
              <w:pStyle w:val="ListBullet2"/>
            </w:pPr>
            <w:r w:rsidRPr="003635F2">
              <w:t>preparation and interpretation of more complex control charts and frequency d</w:t>
            </w:r>
            <w:r w:rsidRPr="003635F2">
              <w:t>istribution plots</w:t>
            </w:r>
          </w:p>
          <w:p w:rsidR="00000000" w:rsidRPr="003635F2" w:rsidP="003635F2">
            <w:pPr>
              <w:pStyle w:val="ListBullet"/>
            </w:pPr>
            <w:r w:rsidRPr="003635F2">
              <w:t>analysing performance results over a broad range of operating conditions</w:t>
            </w:r>
          </w:p>
          <w:p w:rsidR="00000000" w:rsidRPr="003635F2" w:rsidP="003635F2">
            <w:pPr>
              <w:pStyle w:val="ListBullet"/>
            </w:pPr>
            <w:r w:rsidRPr="003635F2">
              <w:t>identifying non-compliances with national measurement legislation relating to instrument or verifier performance and initiate appropriate enforcement action includin</w:t>
            </w:r>
            <w:r w:rsidRPr="003635F2">
              <w:t>g warning, infringement notice, undertaking, injunction and prosecution</w:t>
            </w:r>
          </w:p>
          <w:p w:rsidR="00000000" w:rsidRPr="003635F2" w:rsidP="003635F2">
            <w:pPr>
              <w:pStyle w:val="ListBullet"/>
            </w:pPr>
            <w:r w:rsidRPr="003635F2">
              <w:t>identifying potential trading practice non-compliance with national measurement legislation and initiating an appropriate inspection strategy</w:t>
            </w:r>
          </w:p>
          <w:p w:rsidR="00000000" w:rsidRPr="003635F2" w:rsidP="003635F2">
            <w:pPr>
              <w:pStyle w:val="ListBullet"/>
            </w:pPr>
            <w:r w:rsidRPr="003635F2">
              <w:t>planning complex tasks</w:t>
            </w:r>
          </w:p>
          <w:p w:rsidR="00000000" w:rsidRPr="003635F2" w:rsidP="003635F2">
            <w:pPr>
              <w:pStyle w:val="ListBullet"/>
            </w:pPr>
            <w:r w:rsidRPr="003635F2">
              <w:t>developing/implemen</w:t>
            </w:r>
            <w:r w:rsidRPr="003635F2">
              <w:t>ting an efficient verification strategy that minimises disruption to traders, the public, technicians, employees, colleagues and suppliers</w:t>
            </w:r>
          </w:p>
          <w:p w:rsidR="00000000" w:rsidRPr="003635F2" w:rsidP="003635F2">
            <w:pPr>
              <w:pStyle w:val="ListBullet"/>
            </w:pPr>
            <w:r w:rsidRPr="003635F2">
              <w:t>demonstrating professionalism and maintaining the rights of the trader at all times</w:t>
            </w:r>
          </w:p>
          <w:p w:rsidR="00000000" w:rsidRPr="003635F2" w:rsidP="003635F2">
            <w:pPr>
              <w:pStyle w:val="ListBullet"/>
            </w:pPr>
            <w:r w:rsidRPr="003635F2">
              <w:t>solving unexpected problems and n</w:t>
            </w:r>
            <w:r w:rsidRPr="003635F2">
              <w:t>on-routine issues</w:t>
            </w:r>
          </w:p>
          <w:p w:rsidR="00000000" w:rsidP="003635F2">
            <w:pPr>
              <w:pStyle w:val="ListBullet"/>
              <w:rPr>
                <w:lang w:val="en-NZ"/>
              </w:rPr>
            </w:pPr>
            <w:r w:rsidRPr="003635F2">
              <w:t>working safely which may include applying basic first aid, confined space entry, working with hazardous materials, working safely in hazardous environments, working with heavy machinery, Australian Institute of Petroleum (AIP) cold work c</w:t>
            </w:r>
            <w:r w:rsidRPr="003635F2">
              <w:t>learance permit, safety induction and working at heights</w:t>
            </w:r>
          </w:p>
        </w:tc>
      </w:tr>
      <w:tr w:rsidTr="001B2B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Required knowledge</w:t>
            </w:r>
          </w:p>
        </w:tc>
      </w:tr>
      <w:tr w:rsidTr="001B2B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ListBullet"/>
            </w:pPr>
            <w:r w:rsidRPr="003635F2">
              <w:t xml:space="preserve">general chemical and physical principles and concepts including: </w:t>
            </w:r>
          </w:p>
          <w:p w:rsidR="00000000" w:rsidRPr="003635F2" w:rsidP="003635F2">
            <w:pPr>
              <w:pStyle w:val="ListBullet2"/>
            </w:pPr>
            <w:r w:rsidRPr="003635F2">
              <w:t>physical states (solid, liquid gas), weight, mass, gravity and density</w:t>
            </w:r>
          </w:p>
          <w:p w:rsidR="00000000" w:rsidRPr="003635F2" w:rsidP="003635F2">
            <w:pPr>
              <w:pStyle w:val="ListBullet2"/>
            </w:pPr>
            <w:r w:rsidRPr="003635F2">
              <w:t>pressure, pressure differential, backpressure and head pressure</w:t>
            </w:r>
          </w:p>
          <w:p w:rsidR="00000000" w:rsidRPr="003635F2" w:rsidP="003635F2">
            <w:pPr>
              <w:pStyle w:val="ListBullet2"/>
            </w:pPr>
            <w:r w:rsidRPr="003635F2">
              <w:t>fluid flow</w:t>
            </w:r>
          </w:p>
          <w:p w:rsidR="00000000" w:rsidRPr="003635F2" w:rsidP="003635F2">
            <w:pPr>
              <w:pStyle w:val="ListBullet2"/>
            </w:pPr>
            <w:r w:rsidRPr="003635F2">
              <w:t xml:space="preserve">flashpoint, boiling point and ice point </w:t>
            </w:r>
          </w:p>
          <w:p w:rsidR="00000000" w:rsidRPr="003635F2" w:rsidP="003635F2">
            <w:pPr>
              <w:pStyle w:val="ListBullet2"/>
            </w:pPr>
            <w:r w:rsidRPr="003635F2">
              <w:t>viscosity</w:t>
            </w:r>
          </w:p>
          <w:p w:rsidR="00000000" w:rsidRPr="003635F2" w:rsidP="003635F2">
            <w:pPr>
              <w:pStyle w:val="ListBullet2"/>
            </w:pPr>
            <w:r w:rsidRPr="003635F2">
              <w:t>temperature effects and coefficients of expansion</w:t>
            </w:r>
          </w:p>
          <w:p w:rsidR="00000000" w:rsidRPr="003635F2" w:rsidP="003635F2">
            <w:pPr>
              <w:pStyle w:val="ListBullet"/>
            </w:pPr>
            <w:r w:rsidRPr="003635F2">
              <w:t>basic knowledge of the design, application and function of components used in li</w:t>
            </w:r>
            <w:r w:rsidRPr="003635F2">
              <w:t>quid measuring instruments</w:t>
            </w:r>
          </w:p>
          <w:p w:rsidR="00000000" w:rsidRPr="003635F2" w:rsidP="003635F2">
            <w:pPr>
              <w:pStyle w:val="ListBullet"/>
            </w:pPr>
            <w:r w:rsidRPr="003635F2">
              <w:t>knowledge of the operating procedures across a range of environments including laboratories, retail, commercial, office, manufacturing, industrial, mining, construction, medical, chemical and petroleum</w:t>
            </w:r>
          </w:p>
          <w:p w:rsidR="00000000" w:rsidRPr="003635F2" w:rsidP="003635F2">
            <w:pPr>
              <w:pStyle w:val="ListBullet"/>
            </w:pPr>
            <w:r w:rsidRPr="003635F2">
              <w:t xml:space="preserve">knowledge of metrological terms and terminology specific to liquid measuring instruments such as: </w:t>
            </w:r>
          </w:p>
          <w:p w:rsidR="00000000" w:rsidRPr="003635F2" w:rsidP="003635F2">
            <w:pPr>
              <w:pStyle w:val="ListBullet2"/>
            </w:pPr>
            <w:r w:rsidRPr="003635F2">
              <w:t>maximum permissible errors, maximum permissible difference and maximum permissible variation</w:t>
            </w:r>
          </w:p>
          <w:p w:rsidR="00000000" w:rsidRPr="003635F2" w:rsidP="003635F2">
            <w:pPr>
              <w:pStyle w:val="ListBullet2"/>
            </w:pPr>
            <w:r w:rsidRPr="003635F2">
              <w:t>traceability</w:t>
            </w:r>
          </w:p>
          <w:p w:rsidR="00000000" w:rsidRPr="003635F2" w:rsidP="003635F2">
            <w:pPr>
              <w:pStyle w:val="ListBullet2"/>
            </w:pPr>
            <w:r w:rsidRPr="003635F2">
              <w:t>repeatability</w:t>
            </w:r>
          </w:p>
          <w:p w:rsidR="00000000" w:rsidRPr="003635F2" w:rsidP="003635F2">
            <w:pPr>
              <w:pStyle w:val="ListBullet2"/>
            </w:pPr>
            <w:r w:rsidRPr="003635F2">
              <w:t>uncertainty, error of measurement an</w:t>
            </w:r>
            <w:r w:rsidRPr="003635F2">
              <w:t>d error of indication</w:t>
            </w:r>
          </w:p>
          <w:p w:rsidR="00000000" w:rsidRPr="003635F2" w:rsidP="003635F2">
            <w:pPr>
              <w:pStyle w:val="ListBullet2"/>
            </w:pPr>
            <w:r w:rsidRPr="003635F2">
              <w:t>meter creep</w:t>
            </w:r>
          </w:p>
          <w:p w:rsidR="00000000" w:rsidRPr="003635F2" w:rsidP="003635F2">
            <w:pPr>
              <w:pStyle w:val="ListBullet2"/>
            </w:pPr>
            <w:r w:rsidRPr="003635F2">
              <w:t>hose dilation</w:t>
            </w:r>
          </w:p>
          <w:p w:rsidR="00000000" w:rsidRPr="003635F2" w:rsidP="003635F2">
            <w:pPr>
              <w:pStyle w:val="ListBullet2"/>
            </w:pPr>
            <w:r w:rsidRPr="003635F2">
              <w:t>temperature correction</w:t>
            </w:r>
          </w:p>
          <w:p w:rsidR="00000000" w:rsidRPr="003635F2" w:rsidP="003635F2">
            <w:pPr>
              <w:pStyle w:val="ListBullet2"/>
            </w:pPr>
            <w:r w:rsidRPr="003635F2">
              <w:t>linearisation</w:t>
            </w:r>
          </w:p>
          <w:p w:rsidR="00000000" w:rsidRPr="003635F2" w:rsidP="003635F2">
            <w:pPr>
              <w:pStyle w:val="ListBullet2"/>
            </w:pPr>
            <w:r w:rsidRPr="003635F2">
              <w:t>gas elimination</w:t>
            </w:r>
          </w:p>
          <w:p w:rsidR="00000000" w:rsidRPr="003635F2" w:rsidP="003635F2">
            <w:pPr>
              <w:pStyle w:val="ListBullet"/>
            </w:pPr>
            <w:r w:rsidRPr="003635F2">
              <w:t>national measurement legislation applicable to liquid measuring instruments</w:t>
            </w:r>
          </w:p>
          <w:p w:rsidR="00000000" w:rsidRPr="003635F2" w:rsidP="003635F2">
            <w:pPr>
              <w:pStyle w:val="ListBullet"/>
            </w:pPr>
            <w:r w:rsidRPr="003635F2">
              <w:t>detailed knowledge of National Test Procedures and operating procedures for equ</w:t>
            </w:r>
            <w:r w:rsidRPr="003635F2">
              <w:t>ipment and reference standards used in job role including:</w:t>
            </w:r>
          </w:p>
          <w:p w:rsidR="00000000" w:rsidRPr="003635F2" w:rsidP="003635F2">
            <w:pPr>
              <w:pStyle w:val="ListBullet2"/>
            </w:pPr>
            <w:r w:rsidRPr="003635F2">
              <w:t>purpose of test</w:t>
            </w:r>
          </w:p>
          <w:p w:rsidR="00000000" w:rsidRPr="003635F2" w:rsidP="003635F2">
            <w:pPr>
              <w:pStyle w:val="ListBullet2"/>
            </w:pPr>
            <w:r w:rsidRPr="003635F2">
              <w:t>test conditions and possible environmental impacts on performance of the instrument</w:t>
            </w:r>
          </w:p>
          <w:p w:rsidR="00000000" w:rsidRPr="003635F2" w:rsidP="003635F2">
            <w:pPr>
              <w:pStyle w:val="ListBullet2"/>
            </w:pPr>
            <w:r w:rsidRPr="003635F2">
              <w:t>key preparation/measurement steps in test method</w:t>
            </w:r>
          </w:p>
          <w:p w:rsidR="00000000" w:rsidRPr="003635F2" w:rsidP="003635F2">
            <w:pPr>
              <w:pStyle w:val="ListBullet2"/>
            </w:pPr>
            <w:r w:rsidRPr="003635F2">
              <w:t>calculation steps to give results in appropriat</w:t>
            </w:r>
            <w:r w:rsidRPr="003635F2">
              <w:t>e units and precision</w:t>
            </w:r>
          </w:p>
          <w:p w:rsidR="00000000" w:rsidRPr="003635F2" w:rsidP="003635F2">
            <w:pPr>
              <w:pStyle w:val="ListBullet2"/>
            </w:pPr>
            <w:r w:rsidRPr="003635F2">
              <w:t>maximum permissible errors for liquid measuring instruments under inspection</w:t>
            </w:r>
          </w:p>
          <w:p w:rsidR="00000000" w:rsidRPr="003635F2" w:rsidP="003635F2">
            <w:pPr>
              <w:pStyle w:val="ListBullet"/>
            </w:pPr>
            <w:r w:rsidRPr="003635F2">
              <w:t>procedures for completing inspection documentation</w:t>
            </w:r>
          </w:p>
          <w:p w:rsidR="00000000" w:rsidRPr="003635F2" w:rsidP="003635F2">
            <w:pPr>
              <w:pStyle w:val="ListBullet"/>
            </w:pPr>
            <w:r w:rsidRPr="003635F2">
              <w:t>organisational policy and procedures for inspecting instruments</w:t>
            </w:r>
          </w:p>
          <w:p w:rsidR="00000000" w:rsidRPr="003635F2" w:rsidP="003635F2">
            <w:pPr>
              <w:pStyle w:val="ListBullet"/>
            </w:pPr>
            <w:r w:rsidRPr="003635F2">
              <w:t>safety principles and procedures relevant to instruments</w:t>
            </w:r>
          </w:p>
          <w:p w:rsidR="00000000" w:rsidRPr="003635F2" w:rsidP="003635F2">
            <w:pPr>
              <w:pStyle w:val="ListBullet"/>
            </w:pPr>
            <w:r w:rsidRPr="003635F2">
              <w:t>basic first aid and site safety induction if required</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10" w:name="O_102456"/>
      <w:bookmarkEnd w:id="10"/>
      <w:r w:rsidRPr="003635F2">
        <w:t>Evidence Guide</w:t>
      </w:r>
    </w:p>
    <w:tbl>
      <w:tblPr>
        <w:tblW w:w="9570" w:type="dxa"/>
        <w:tblLayout w:type="fixed"/>
        <w:tblCellMar>
          <w:left w:w="62" w:type="dxa"/>
          <w:right w:w="62" w:type="dxa"/>
        </w:tblCellMar>
        <w:tblLook w:val="0000"/>
      </w:tblPr>
      <w:tblGrid>
        <w:gridCol w:w="3908"/>
        <w:gridCol w:w="5662"/>
      </w:tblGrid>
      <w:tr w:rsidTr="001B2B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EVIDENCE GUIDE</w:t>
            </w:r>
          </w:p>
        </w:tc>
      </w:tr>
      <w:tr w:rsidTr="001B2B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t>The Evidence Guide provides advice on assessment and must be read in conjunction with the performance criteria, required skills and knowledge, range statement and the Assessment Guidelines for the Training Package.</w:t>
            </w:r>
          </w:p>
        </w:tc>
      </w:tr>
      <w:tr w:rsidTr="001B2B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t xml:space="preserve">Competency must </w:t>
            </w:r>
            <w:r w:rsidRPr="003635F2">
              <w:t>be demonstrated in the ability to perform consistently at the required standard for any class of liquid measuring instrument listed in the Range Statement.</w:t>
            </w:r>
          </w:p>
        </w:tc>
      </w:tr>
      <w:tr w:rsidTr="001B2B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Assess</w:t>
            </w:r>
            <w:r w:rsidRPr="003635F2">
              <w:t>ors should ensure that candidates can:</w:t>
            </w:r>
          </w:p>
          <w:p w:rsidR="00000000" w:rsidRPr="003635F2" w:rsidP="003635F2">
            <w:pPr>
              <w:pStyle w:val="ListBullet"/>
            </w:pPr>
            <w:r w:rsidRPr="003635F2">
              <w:t>identify, access and apply test procedures</w:t>
            </w:r>
          </w:p>
          <w:p w:rsidR="00000000" w:rsidRPr="003635F2" w:rsidP="003635F2">
            <w:pPr>
              <w:pStyle w:val="ListBullet"/>
            </w:pPr>
            <w:r w:rsidRPr="003635F2">
              <w:t>identify and use suitable reference standards</w:t>
            </w:r>
          </w:p>
          <w:p w:rsidR="00000000" w:rsidRPr="003635F2" w:rsidP="003635F2">
            <w:pPr>
              <w:pStyle w:val="ListBullet"/>
            </w:pPr>
            <w:r w:rsidRPr="003635F2">
              <w:t>evaluate and adjust the impact of the operating environment on the performance of the instrument</w:t>
            </w:r>
          </w:p>
          <w:p w:rsidR="00000000" w:rsidRPr="003635F2" w:rsidP="003635F2">
            <w:pPr>
              <w:pStyle w:val="ListBullet"/>
            </w:pPr>
            <w:r w:rsidRPr="003635F2">
              <w:t>analyse test results to d</w:t>
            </w:r>
            <w:r w:rsidRPr="003635F2">
              <w:t>etermine the instrument's suitability for verification (trade use)</w:t>
            </w:r>
          </w:p>
          <w:p w:rsidR="00000000" w:rsidRPr="003635F2" w:rsidP="003635F2">
            <w:pPr>
              <w:pStyle w:val="ListBullet"/>
            </w:pPr>
            <w:r w:rsidRPr="003635F2">
              <w:t>identify the scope of a verifier performance audit and assess results with expected outcomes</w:t>
            </w:r>
          </w:p>
          <w:p w:rsidR="00000000" w:rsidRPr="003635F2" w:rsidP="003635F2">
            <w:pPr>
              <w:pStyle w:val="ListBullet"/>
            </w:pPr>
            <w:r w:rsidRPr="003635F2">
              <w:t>audit the performance of verifiers of liquid measuring instruments</w:t>
            </w:r>
          </w:p>
          <w:p w:rsidR="00000000" w:rsidRPr="003635F2" w:rsidP="003635F2">
            <w:pPr>
              <w:pStyle w:val="ListBullet"/>
            </w:pPr>
            <w:r w:rsidRPr="003635F2">
              <w:t>identify and implement additi</w:t>
            </w:r>
            <w:r w:rsidRPr="003635F2">
              <w:t>onal inspection strategies for non-instrument related breaches of national measurement legislation</w:t>
            </w:r>
          </w:p>
          <w:p w:rsidR="00000000" w:rsidRPr="003635F2" w:rsidP="003635F2">
            <w:pPr>
              <w:pStyle w:val="ListBullet"/>
            </w:pPr>
            <w:r w:rsidRPr="003635F2">
              <w:t>recognise and act on non-compliance</w:t>
            </w:r>
          </w:p>
          <w:p w:rsidR="00000000" w:rsidRPr="003635F2" w:rsidP="003635F2">
            <w:pPr>
              <w:pStyle w:val="ListBullet"/>
            </w:pPr>
            <w:r w:rsidRPr="003635F2">
              <w:t>maintain the security and confidentiality of data in accordance with organisational and regulatory requirements</w:t>
            </w:r>
          </w:p>
          <w:p w:rsidR="00000000" w:rsidP="003635F2">
            <w:pPr>
              <w:pStyle w:val="ListBullet"/>
              <w:rPr>
                <w:lang w:val="en-NZ"/>
              </w:rPr>
            </w:pPr>
            <w:r w:rsidRPr="003635F2">
              <w:t>report re</w:t>
            </w:r>
            <w:r w:rsidRPr="003635F2">
              <w:t>sults in the required formats and expected timeframe.</w:t>
            </w:r>
          </w:p>
        </w:tc>
      </w:tr>
      <w:tr w:rsidTr="001B2B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 xml:space="preserve">This unit of competency is to be assessed in the workplace or simulated workplace environment. </w:t>
            </w:r>
          </w:p>
          <w:p w:rsidR="00000000" w:rsidRPr="003635F2" w:rsidP="003635F2">
            <w:pPr>
              <w:pStyle w:val="BodyText"/>
            </w:pPr>
            <w:r w:rsidRPr="003635F2">
              <w:t>This unit of competency may be assessed with:</w:t>
            </w:r>
          </w:p>
          <w:p w:rsidR="00000000" w:rsidRPr="003635F2" w:rsidP="003635F2">
            <w:pPr>
              <w:pStyle w:val="ListBullet"/>
            </w:pPr>
            <w:r w:rsidRPr="003635F2">
              <w:t>MSATMREF30</w:t>
            </w:r>
            <w:r w:rsidRPr="003635F2">
              <w:t>1A Use and maintain reference standards.</w:t>
            </w:r>
          </w:p>
          <w:p w:rsidR="00000000" w:rsidRPr="003635F2" w:rsidP="003635F2">
            <w:pPr>
              <w:pStyle w:val="BodyText"/>
            </w:pPr>
            <w:r w:rsidRPr="003635F2">
              <w:t>Resources may include:</w:t>
            </w:r>
          </w:p>
          <w:p w:rsidR="00000000" w:rsidRPr="003635F2" w:rsidP="003635F2">
            <w:pPr>
              <w:pStyle w:val="ListBullet"/>
            </w:pPr>
            <w:r w:rsidRPr="003635F2">
              <w:t>liquid measuring instruments using volume measures, test equipment and reference standards</w:t>
            </w:r>
          </w:p>
          <w:p w:rsidR="00000000" w:rsidRPr="003635F2" w:rsidP="003635F2">
            <w:pPr>
              <w:pStyle w:val="ListBullet"/>
            </w:pPr>
            <w:r w:rsidRPr="003635F2">
              <w:t>safety equipment</w:t>
            </w:r>
          </w:p>
          <w:p w:rsidR="00000000" w:rsidRPr="003635F2" w:rsidP="003635F2">
            <w:pPr>
              <w:pStyle w:val="ListBullet"/>
            </w:pPr>
            <w:r w:rsidRPr="003635F2">
              <w:t>computer and relevant software and/or organisation information management system</w:t>
            </w:r>
          </w:p>
          <w:p w:rsidR="00000000" w:rsidRPr="003635F2" w:rsidP="003635F2">
            <w:pPr>
              <w:pStyle w:val="ListBullet"/>
            </w:pPr>
            <w:r w:rsidRPr="003635F2">
              <w:t>Cer</w:t>
            </w:r>
            <w:r w:rsidRPr="003635F2">
              <w:t>tificates of Approval for instruments</w:t>
            </w:r>
          </w:p>
          <w:p w:rsidR="00000000" w:rsidP="003635F2">
            <w:pPr>
              <w:pStyle w:val="ListBullet"/>
              <w:rPr>
                <w:lang w:val="en-NZ"/>
              </w:rPr>
            </w:pPr>
            <w:r w:rsidRPr="003635F2">
              <w:t>relevant legislative and organisational procedures.</w:t>
            </w:r>
          </w:p>
        </w:tc>
      </w:tr>
      <w:tr w:rsidTr="001B2B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The following assessment methods are suggested:</w:t>
            </w:r>
          </w:p>
          <w:p w:rsidR="00000000" w:rsidRPr="003635F2" w:rsidP="003635F2">
            <w:pPr>
              <w:pStyle w:val="ListBullet"/>
            </w:pPr>
            <w:r w:rsidRPr="003635F2">
              <w:t>questions to assess understanding of relevant procedures, licensing requirements, trader obligations and remedial actions</w:t>
            </w:r>
          </w:p>
          <w:p w:rsidR="00000000" w:rsidRPr="003635F2" w:rsidP="003635F2">
            <w:pPr>
              <w:pStyle w:val="ListBullet"/>
            </w:pPr>
            <w:r w:rsidRPr="003635F2">
              <w:t>review of inspection reports and verifier performance audit reports prepared by the candidate</w:t>
            </w:r>
          </w:p>
          <w:p w:rsidR="00000000" w:rsidRPr="003635F2" w:rsidP="003635F2">
            <w:pPr>
              <w:pStyle w:val="ListBullet"/>
            </w:pPr>
            <w:r w:rsidRPr="003635F2">
              <w:t>feedback from supervisors and peers rega</w:t>
            </w:r>
            <w:r w:rsidRPr="003635F2">
              <w:t>rding the candidate's ability to verify the performance of instruments in accordance with legislative and organisational procedures</w:t>
            </w:r>
          </w:p>
          <w:p w:rsidR="00000000" w:rsidRPr="003635F2" w:rsidP="003635F2">
            <w:pPr>
              <w:pStyle w:val="ListBullet"/>
            </w:pPr>
            <w:r w:rsidRPr="003635F2">
              <w:t>observation of the candidate conducting an inspection.</w:t>
            </w:r>
          </w:p>
          <w:p w:rsidR="00000000" w:rsidP="003635F2">
            <w:pPr>
              <w:pStyle w:val="BodyText"/>
              <w:rPr>
                <w:lang w:val="en-NZ"/>
              </w:rPr>
            </w:pPr>
            <w:r w:rsidRPr="003635F2">
              <w:t>In all cases, practical assessment should be supported by questions t</w:t>
            </w:r>
            <w:r w:rsidRPr="003635F2">
              <w:t>o assess underpinning knowledge and those aspects of competency which are difficult to assess directly. Questioning techniques should suit the language and literacy levels of the candidate.</w:t>
            </w:r>
          </w:p>
        </w:tc>
      </w:tr>
      <w:tr w:rsidTr="001B2B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Industry representatives have provide</w:t>
            </w:r>
            <w:r w:rsidRPr="003635F2">
              <w:t>d the case studies below to illustrate the practical application of this unit of competency and to show its relevance in a workplace setting.</w:t>
            </w:r>
          </w:p>
          <w:p w:rsidR="00000000" w:rsidRPr="003635F2" w:rsidP="003635F2">
            <w:pPr>
              <w:pStyle w:val="BodyText"/>
            </w:pPr>
          </w:p>
          <w:p w:rsidR="00000000" w:rsidRPr="003635F2" w:rsidP="003635F2">
            <w:pPr>
              <w:pStyle w:val="BodyText"/>
            </w:pPr>
            <w:r w:rsidRPr="003635F2">
              <w:t>An inspector arrives unannounced at a medium size service station to check the performance of a number of fuel di</w:t>
            </w:r>
            <w:r w:rsidRPr="003635F2">
              <w:t>spensers. After introducing him/herself to the site manager, the inspector explains the purpose of the visit and asks for the location of the fuel return points. The inspector performs a safety check, completes an AIP form, places safety barriers around th</w:t>
            </w:r>
            <w:r w:rsidRPr="003635F2">
              <w:t>e work area and then prepares the test equipment and reference standards. There are seven fuel dispensers with a total of 38 hoses.</w:t>
            </w:r>
          </w:p>
          <w:p w:rsidR="00000000" w:rsidRPr="003635F2" w:rsidP="003635F2">
            <w:pPr>
              <w:pStyle w:val="BodyText"/>
            </w:pPr>
            <w:r w:rsidRPr="003635F2">
              <w:t xml:space="preserve">The inspector tests a selection of dispensers visually. The National Test Procedure requires the inspector to dispense fuel </w:t>
            </w:r>
            <w:r w:rsidRPr="003635F2">
              <w:t>into 15L reference measures and then return the fuel to storage. Approximately 90 litres are dispensed per hose. The inspector finds a number of non-compliances on site. Two hoses are dispensing fuel outside the allowable maximum permissible error, one dis</w:t>
            </w:r>
            <w:r w:rsidRPr="003635F2">
              <w:t>penser has a faulty segment in its display and the lights are not working, the diesel dispenser failed the air elimination test and three hoses are badly worn. The inspector removes the verification mark from all non-compliant dispensers.</w:t>
            </w:r>
          </w:p>
          <w:p w:rsidR="00000000" w:rsidRPr="003635F2" w:rsidP="003635F2">
            <w:pPr>
              <w:pStyle w:val="BodyText"/>
            </w:pPr>
            <w:r w:rsidRPr="003635F2">
              <w:t>While testing the</w:t>
            </w:r>
            <w:r w:rsidRPr="003635F2">
              <w:t xml:space="preserve"> fuel dispenser, the inspector notices a number of items displayed for sale outside the office. On closer inspection, some of the pre-packaged items are found not to be marked with a measurement statement. </w:t>
            </w:r>
          </w:p>
          <w:p w:rsidR="00000000" w:rsidRPr="003635F2" w:rsidP="003635F2">
            <w:pPr>
              <w:pStyle w:val="BodyText"/>
            </w:pPr>
            <w:r w:rsidRPr="003635F2">
              <w:t>The inspector meets with the site manager to info</w:t>
            </w:r>
            <w:r w:rsidRPr="003635F2">
              <w:t>rm him of the non-compliant dispensers. He/she advises the manager not to use any unmarked dispensers, explains how they can be rectified and issues non- compliance notices. They also discuss the non-compliant pre-packaged articles. The inspector takes det</w:t>
            </w:r>
            <w:r w:rsidRPr="003635F2">
              <w:t>ails for further action, completes the AIP form and fuel usage report and then departs.</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11" w:name="O_102457"/>
      <w:bookmarkEnd w:id="11"/>
      <w:r w:rsidRPr="003635F2">
        <w:t>Range Statement</w:t>
      </w:r>
    </w:p>
    <w:tbl>
      <w:tblPr>
        <w:tblW w:w="0" w:type="auto"/>
        <w:tblLayout w:type="fixed"/>
        <w:tblCellMar>
          <w:left w:w="62" w:type="dxa"/>
          <w:right w:w="62" w:type="dxa"/>
        </w:tblCellMar>
        <w:tblLook w:val="0000"/>
      </w:tblPr>
      <w:tblGrid>
        <w:gridCol w:w="3516"/>
        <w:gridCol w:w="5006"/>
      </w:tblGrid>
      <w:tr w:rsidTr="001B2B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RANGE STATEMENT</w:t>
            </w:r>
          </w:p>
        </w:tc>
      </w:tr>
      <w:tr w:rsidTr="001B2B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t>The range statement relates to the unit of competency as a whole. It allows for different work environments and situations that may affect performance. Bold italicised wording, if used in the performance criteria, is detailed below. Essential operating con</w:t>
            </w:r>
            <w:r w:rsidRPr="003635F2">
              <w:t>ditions that may be present with training and assessment (depending on the work situation, needs of the candidate, accessibility of the item, and local industry and regional contexts) may also be included.</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Prescribed performance criteria for instruments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Prescribed performance criteria for instruments may include:</w:t>
            </w:r>
          </w:p>
          <w:p w:rsidR="00000000" w:rsidRPr="003635F2" w:rsidP="003635F2">
            <w:pPr>
              <w:pStyle w:val="ListBullet"/>
            </w:pPr>
            <w:r w:rsidRPr="003635F2">
              <w:t>design is in accordance with the appropriate Certificates of Approval</w:t>
            </w:r>
          </w:p>
          <w:p w:rsidR="00000000" w:rsidP="003635F2">
            <w:pPr>
              <w:pStyle w:val="ListBullet"/>
              <w:rPr>
                <w:lang w:val="en-NZ"/>
              </w:rPr>
            </w:pPr>
            <w:r w:rsidRPr="003635F2">
              <w:t>performance meets the criteria described in the Certificates of Approval, National Test Procedure and legislation</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Appropriate documentation</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Where reference is made to documentation, it is expected the latest version will be used.</w:t>
            </w:r>
          </w:p>
          <w:p w:rsidR="00000000" w:rsidRPr="003635F2" w:rsidP="003635F2">
            <w:pPr>
              <w:pStyle w:val="BodyText"/>
            </w:pPr>
            <w:r w:rsidRPr="003635F2">
              <w:t>Appropriate documentation may include:</w:t>
            </w:r>
          </w:p>
          <w:p w:rsidR="00000000" w:rsidRPr="003635F2" w:rsidP="003635F2">
            <w:pPr>
              <w:pStyle w:val="ListBullet"/>
            </w:pPr>
            <w:r w:rsidRPr="003635F2">
              <w:t>reference standards</w:t>
            </w:r>
          </w:p>
          <w:p w:rsidR="00000000" w:rsidRPr="003635F2" w:rsidP="003635F2">
            <w:pPr>
              <w:pStyle w:val="ListBullet"/>
            </w:pPr>
            <w:r w:rsidRPr="003635F2">
              <w:t>Certificates of Verification</w:t>
            </w:r>
          </w:p>
          <w:p w:rsidR="00000000" w:rsidRPr="003635F2" w:rsidP="003635F2">
            <w:pPr>
              <w:pStyle w:val="ListBullet"/>
            </w:pPr>
            <w:r w:rsidRPr="003635F2">
              <w:t>Certificates of Approval for liquid measuring instr</w:t>
            </w:r>
            <w:r w:rsidRPr="003635F2">
              <w:t>uments</w:t>
            </w:r>
          </w:p>
          <w:p w:rsidR="00000000" w:rsidRPr="003635F2" w:rsidP="003635F2">
            <w:pPr>
              <w:pStyle w:val="ListBullet"/>
            </w:pPr>
            <w:r w:rsidRPr="003635F2">
              <w:t>test procedures for verifying liquid measuring instruments</w:t>
            </w:r>
          </w:p>
          <w:p w:rsidR="00000000" w:rsidRPr="003635F2" w:rsidP="003635F2">
            <w:pPr>
              <w:pStyle w:val="ListBullet"/>
            </w:pPr>
            <w:r w:rsidRPr="003635F2">
              <w:t>organisational test reports</w:t>
            </w:r>
          </w:p>
          <w:p w:rsidR="00000000" w:rsidRPr="003635F2" w:rsidP="003635F2">
            <w:pPr>
              <w:pStyle w:val="ListBullet"/>
            </w:pPr>
            <w:r w:rsidRPr="003635F2">
              <w:t>organisational procedures e.g. company quality assurance manual</w:t>
            </w:r>
          </w:p>
          <w:p w:rsidR="00000000" w:rsidRPr="003635F2" w:rsidP="003635F2">
            <w:pPr>
              <w:pStyle w:val="ListBullet"/>
            </w:pPr>
            <w:r w:rsidRPr="003635F2">
              <w:t>National Measurement Act</w:t>
            </w:r>
          </w:p>
          <w:p w:rsidR="00000000" w:rsidRPr="003635F2" w:rsidP="003635F2">
            <w:pPr>
              <w:pStyle w:val="ListBullet"/>
            </w:pPr>
            <w:r w:rsidRPr="003635F2">
              <w:t>occupational health and safety (OHS) regulations, guidelines and procedur</w:t>
            </w:r>
            <w:r w:rsidRPr="003635F2">
              <w:t>es and material safety data sheets (MSDS)</w:t>
            </w:r>
          </w:p>
          <w:p w:rsidR="00000000" w:rsidP="003635F2">
            <w:pPr>
              <w:pStyle w:val="ListBullet"/>
              <w:rPr>
                <w:lang w:val="en-NZ"/>
              </w:rPr>
            </w:pPr>
            <w:r w:rsidRPr="003635F2">
              <w:t>equipment manuals and warranty, supplier catalogues and handbooks</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Certificates of Approval</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Certificates of Approval may include:</w:t>
            </w:r>
          </w:p>
          <w:p w:rsidR="00000000" w:rsidP="003635F2">
            <w:pPr>
              <w:pStyle w:val="ListBullet"/>
              <w:rPr>
                <w:lang w:val="en-NZ"/>
              </w:rPr>
            </w:pPr>
            <w:r w:rsidRPr="003635F2">
              <w:t>any Certificate issued by the Chief Metrologist under Regulation 60 of the National</w:t>
            </w:r>
            <w:r w:rsidRPr="003635F2">
              <w:t xml:space="preserve"> Measurement Regulations approving the pattern of a liquid measuring instrument as being suitable for trade</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Enforcement action</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Enforcement action may include:</w:t>
            </w:r>
          </w:p>
          <w:p w:rsidR="00000000" w:rsidRPr="003635F2" w:rsidP="003635F2">
            <w:pPr>
              <w:pStyle w:val="ListBullet"/>
            </w:pPr>
            <w:r w:rsidRPr="003635F2">
              <w:t>formal warnings</w:t>
            </w:r>
          </w:p>
          <w:p w:rsidR="00000000" w:rsidRPr="003635F2" w:rsidP="003635F2">
            <w:pPr>
              <w:pStyle w:val="ListBullet"/>
            </w:pPr>
            <w:r w:rsidRPr="003635F2">
              <w:t>infringement notice</w:t>
            </w:r>
          </w:p>
          <w:p w:rsidR="00000000" w:rsidRPr="003635F2" w:rsidP="003635F2">
            <w:pPr>
              <w:pStyle w:val="ListBullet"/>
            </w:pPr>
            <w:r w:rsidRPr="003635F2">
              <w:t>formal undertaking</w:t>
            </w:r>
          </w:p>
          <w:p w:rsidR="00000000" w:rsidRPr="003635F2" w:rsidP="003635F2">
            <w:pPr>
              <w:pStyle w:val="ListBullet"/>
            </w:pPr>
            <w:r w:rsidRPr="003635F2">
              <w:t>injunction</w:t>
            </w:r>
          </w:p>
          <w:p w:rsidR="00000000" w:rsidP="003635F2">
            <w:pPr>
              <w:pStyle w:val="ListBullet"/>
              <w:rPr>
                <w:lang w:val="en-NZ"/>
              </w:rPr>
            </w:pPr>
            <w:r w:rsidRPr="003635F2">
              <w:t>prosecution</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Test equipment</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Test equipment may include:</w:t>
            </w:r>
          </w:p>
          <w:p w:rsidR="00000000" w:rsidRPr="003635F2" w:rsidP="003635F2">
            <w:pPr>
              <w:pStyle w:val="ListBullet"/>
            </w:pPr>
            <w:r w:rsidRPr="003635F2">
              <w:t>reference standards of measurement</w:t>
            </w:r>
          </w:p>
          <w:p w:rsidR="00000000" w:rsidP="003635F2">
            <w:pPr>
              <w:pStyle w:val="ListBullet"/>
              <w:rPr>
                <w:lang w:val="en-NZ"/>
              </w:rPr>
            </w:pPr>
            <w:r w:rsidRPr="003635F2">
              <w:t xml:space="preserve">equipment other than reference standards of measurement such as pumps, funnels and hoses </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Legislation</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Legislation may include</w:t>
            </w:r>
          </w:p>
          <w:p w:rsidR="00000000" w:rsidRPr="003635F2" w:rsidP="003635F2">
            <w:pPr>
              <w:pStyle w:val="ListBullet"/>
            </w:pPr>
            <w:r w:rsidRPr="003635F2">
              <w:t>national measurement legislation</w:t>
            </w:r>
          </w:p>
          <w:p w:rsidR="00000000" w:rsidP="003635F2">
            <w:pPr>
              <w:pStyle w:val="ListBullet"/>
              <w:rPr>
                <w:lang w:val="en-NZ"/>
              </w:rPr>
            </w:pPr>
            <w:r w:rsidRPr="003635F2">
              <w:t>applicable Commonwealth, state a</w:t>
            </w:r>
            <w:r w:rsidRPr="003635F2">
              <w:t>nd territory OHS legislation</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National Measurement Institute policy</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National Measurement Institute policy may include:</w:t>
            </w:r>
          </w:p>
          <w:p w:rsidR="00000000" w:rsidRPr="003635F2" w:rsidP="003635F2">
            <w:pPr>
              <w:pStyle w:val="ListBullet"/>
            </w:pPr>
            <w:r w:rsidRPr="003635F2">
              <w:t>test procedure variations between a verification, in-service or audit inspection</w:t>
            </w:r>
          </w:p>
          <w:p w:rsidR="00000000" w:rsidRPr="003635F2" w:rsidP="003635F2">
            <w:pPr>
              <w:pStyle w:val="ListBullet"/>
            </w:pPr>
            <w:r w:rsidRPr="003635F2">
              <w:t>bulletin</w:t>
            </w:r>
          </w:p>
          <w:p w:rsidR="00000000" w:rsidRPr="003635F2" w:rsidP="003635F2">
            <w:pPr>
              <w:pStyle w:val="ListBullet"/>
            </w:pPr>
            <w:r w:rsidRPr="003635F2">
              <w:t>instruction</w:t>
            </w:r>
          </w:p>
          <w:p w:rsidR="00000000" w:rsidP="003635F2">
            <w:pPr>
              <w:pStyle w:val="ListBullet"/>
              <w:rPr>
                <w:lang w:val="en-NZ"/>
              </w:rPr>
            </w:pPr>
            <w:r w:rsidRPr="003635F2">
              <w:t>determination</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National Test Procedures for liquid measuring instruments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National Test Procedures for liquid measuring instruments may include:</w:t>
            </w:r>
          </w:p>
          <w:p w:rsidR="00000000" w:rsidRPr="003635F2" w:rsidP="003635F2">
            <w:pPr>
              <w:pStyle w:val="ListBullet"/>
            </w:pPr>
            <w:r w:rsidRPr="003635F2">
              <w:t xml:space="preserve">fuel dispensers other than LPG dispensers </w:t>
            </w:r>
          </w:p>
          <w:p w:rsidR="00000000" w:rsidRPr="003635F2" w:rsidP="003635F2">
            <w:pPr>
              <w:pStyle w:val="ListBullet"/>
            </w:pPr>
            <w:r w:rsidRPr="003635F2">
              <w:t>bulk flowmetering systems for liquid hydrocarbons other than LPG tested using a vol</w:t>
            </w:r>
            <w:r w:rsidRPr="003635F2">
              <w:t>ume measure</w:t>
            </w:r>
          </w:p>
          <w:p w:rsidR="00000000" w:rsidRPr="003635F2" w:rsidP="003635F2">
            <w:pPr>
              <w:pStyle w:val="ListBullet"/>
            </w:pPr>
            <w:r w:rsidRPr="003635F2">
              <w:t>milk flowmeters tested using a volume measure</w:t>
            </w:r>
          </w:p>
          <w:p w:rsidR="00000000" w:rsidP="003635F2">
            <w:pPr>
              <w:pStyle w:val="ListBullet"/>
              <w:rPr>
                <w:lang w:val="en-NZ"/>
              </w:rPr>
            </w:pPr>
            <w:r w:rsidRPr="003635F2">
              <w:t>any other test procedure prescribed by the National Measurement Institute</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OHS and environmental management requirements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OHS and environmental management requirements refer to:</w:t>
            </w:r>
          </w:p>
          <w:p w:rsidR="00000000" w:rsidRPr="003635F2" w:rsidP="003635F2">
            <w:pPr>
              <w:pStyle w:val="ListBullet"/>
            </w:pPr>
            <w:r w:rsidRPr="003635F2">
              <w:t xml:space="preserve">all operations must </w:t>
            </w:r>
            <w:r w:rsidRPr="003635F2">
              <w:t>comply with enterprise OHS and environmental management requirements, which may be imposed through state/territory or Federal legislation. These requirements must not be compromised at any time</w:t>
            </w:r>
          </w:p>
          <w:p w:rsidR="00000000" w:rsidRPr="003635F2" w:rsidP="003635F2">
            <w:pPr>
              <w:pStyle w:val="ListBullet"/>
            </w:pPr>
            <w:r w:rsidRPr="003635F2">
              <w:t>all operations assume the potentially hazardous nature of samp</w:t>
            </w:r>
            <w:r w:rsidRPr="003635F2">
              <w:t>les and require standard precautions to be applied</w:t>
            </w:r>
          </w:p>
          <w:p w:rsidR="00000000" w:rsidP="003635F2">
            <w:pPr>
              <w:pStyle w:val="ListBullet"/>
              <w:rPr>
                <w:lang w:val="en-NZ"/>
              </w:rPr>
            </w:pPr>
            <w:r w:rsidRPr="003635F2">
              <w:t>where relevant, users should access and apply current industry understanding of infection control issued by the National Health and Medical Research Council and State and Territory Departments of Health</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O</w:t>
            </w:r>
            <w:r w:rsidRPr="003635F2">
              <w:rPr>
                <w:rStyle w:val="SpecialBold"/>
              </w:rPr>
              <w:t>perating environmental impacts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Operating environmental impacts may include:</w:t>
            </w:r>
          </w:p>
          <w:p w:rsidR="00000000" w:rsidRPr="003635F2" w:rsidP="003635F2">
            <w:pPr>
              <w:pStyle w:val="ListBullet"/>
            </w:pPr>
            <w:r w:rsidRPr="003635F2">
              <w:t>vibration</w:t>
            </w:r>
          </w:p>
          <w:p w:rsidR="00000000" w:rsidRPr="003635F2" w:rsidP="003635F2">
            <w:pPr>
              <w:pStyle w:val="ListBullet"/>
            </w:pPr>
            <w:r w:rsidRPr="003635F2">
              <w:t>wind</w:t>
            </w:r>
          </w:p>
          <w:p w:rsidR="00000000" w:rsidRPr="003635F2" w:rsidP="003635F2">
            <w:pPr>
              <w:pStyle w:val="ListBullet"/>
            </w:pPr>
            <w:r w:rsidRPr="003635F2">
              <w:t>heat</w:t>
            </w:r>
          </w:p>
          <w:p w:rsidR="00000000" w:rsidRPr="003635F2" w:rsidP="003635F2">
            <w:pPr>
              <w:pStyle w:val="ListBullet"/>
            </w:pPr>
            <w:r w:rsidRPr="003635F2">
              <w:t>dust</w:t>
            </w:r>
          </w:p>
          <w:p w:rsidR="00000000" w:rsidRPr="003635F2" w:rsidP="003635F2">
            <w:pPr>
              <w:pStyle w:val="ListBullet"/>
            </w:pPr>
            <w:r w:rsidRPr="003635F2">
              <w:t>electromagnetic interference</w:t>
            </w:r>
          </w:p>
          <w:p w:rsidR="00000000" w:rsidP="003635F2">
            <w:pPr>
              <w:pStyle w:val="ListBullet"/>
              <w:rPr>
                <w:lang w:val="en-NZ"/>
              </w:rPr>
            </w:pPr>
            <w:r w:rsidRPr="003635F2">
              <w:t>out of level</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Records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Records may include:</w:t>
            </w:r>
          </w:p>
          <w:p w:rsidR="00000000" w:rsidRPr="003635F2" w:rsidP="003635F2">
            <w:pPr>
              <w:pStyle w:val="ListBullet"/>
            </w:pPr>
            <w:r w:rsidRPr="003635F2">
              <w:t>test reports</w:t>
            </w:r>
          </w:p>
          <w:p w:rsidR="00000000" w:rsidRPr="003635F2" w:rsidP="003635F2">
            <w:pPr>
              <w:pStyle w:val="ListBullet"/>
            </w:pPr>
            <w:r w:rsidRPr="003635F2">
              <w:t>AIP form</w:t>
            </w:r>
          </w:p>
          <w:p w:rsidR="00000000" w:rsidRPr="003635F2" w:rsidP="003635F2">
            <w:pPr>
              <w:pStyle w:val="ListBullet"/>
            </w:pPr>
            <w:r w:rsidRPr="003635F2">
              <w:t>safety procedures</w:t>
            </w:r>
          </w:p>
          <w:p w:rsidR="00000000" w:rsidP="003635F2">
            <w:pPr>
              <w:pStyle w:val="ListBullet"/>
              <w:rPr>
                <w:lang w:val="en-NZ"/>
              </w:rPr>
            </w:pPr>
            <w:r w:rsidRPr="003635F2">
              <w:t>a history of equipment calibration and</w:t>
            </w:r>
            <w:r w:rsidRPr="003635F2">
              <w:t xml:space="preserve"> test results</w:t>
            </w:r>
          </w:p>
        </w:tc>
      </w:tr>
      <w:tr w:rsidTr="001B2B31">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Liquid measuring instruments</w:t>
            </w:r>
            <w:r w:rsidRPr="003635F2">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Inspectors may be required to test and mark any of the classes of instruments from the following list.</w:t>
            </w:r>
          </w:p>
          <w:p w:rsidR="00000000" w:rsidRPr="003635F2" w:rsidP="003635F2">
            <w:pPr>
              <w:pStyle w:val="BodyText"/>
            </w:pPr>
            <w:r w:rsidRPr="003635F2">
              <w:t xml:space="preserve">Liquid measuring instruments may include: </w:t>
            </w:r>
          </w:p>
          <w:p w:rsidR="00000000" w:rsidRPr="003635F2" w:rsidP="003635F2">
            <w:pPr>
              <w:pStyle w:val="ListBullet"/>
            </w:pPr>
            <w:r w:rsidRPr="003635F2">
              <w:t xml:space="preserve">fuel dispensers other than LPG dispensers </w:t>
            </w:r>
          </w:p>
          <w:p w:rsidR="00000000" w:rsidRPr="003635F2" w:rsidP="003635F2">
            <w:pPr>
              <w:pStyle w:val="ListBullet"/>
            </w:pPr>
            <w:r w:rsidRPr="003635F2">
              <w:t>bulk flowmetering systems for liquid hydrocarbons other than LPG tested using a volume measure</w:t>
            </w:r>
          </w:p>
          <w:p w:rsidR="00000000" w:rsidRPr="003635F2" w:rsidP="003635F2">
            <w:pPr>
              <w:pStyle w:val="ListBullet"/>
            </w:pPr>
            <w:r w:rsidRPr="003635F2">
              <w:t>milk flowmeters tested using a volume measure</w:t>
            </w:r>
          </w:p>
          <w:p w:rsidR="00000000" w:rsidRPr="003635F2" w:rsidP="003635F2">
            <w:pPr>
              <w:pStyle w:val="ListBullet"/>
            </w:pPr>
            <w:r w:rsidRPr="003635F2">
              <w:t>or any other liquid measuring instrument prescribed by the National Measurement Institute</w:t>
            </w:r>
          </w:p>
        </w:tc>
      </w:tr>
    </w:tbl>
    <w:p w:rsidR="001B2B31" w:rsidP="003635F2">
      <w:pPr>
        <w:pStyle w:val="BodyText"/>
      </w:pPr>
    </w:p>
    <w:p w:rsidR="001B2B31" w:rsidP="003635F2">
      <w:pPr>
        <w:pStyle w:val="BodyText"/>
      </w:pPr>
    </w:p>
    <w:p w:rsidR="00000000" w:rsidRPr="003635F2" w:rsidP="003635F2">
      <w:pPr>
        <w:pStyle w:val="Heading1"/>
      </w:pPr>
      <w:bookmarkStart w:id="12" w:name="O_102458"/>
      <w:bookmarkEnd w:id="12"/>
      <w:r w:rsidRPr="003635F2">
        <w:t>Unit Sector(s)</w:t>
      </w:r>
    </w:p>
    <w:tbl>
      <w:tblPr>
        <w:tblW w:w="0" w:type="auto"/>
        <w:tblLayout w:type="fixed"/>
        <w:tblCellMar>
          <w:left w:w="62" w:type="dxa"/>
          <w:right w:w="62" w:type="dxa"/>
        </w:tblCellMar>
        <w:tblLook w:val="0000"/>
      </w:tblPr>
      <w:tblGrid>
        <w:gridCol w:w="2622"/>
        <w:gridCol w:w="5900"/>
      </w:tblGrid>
      <w:tr w:rsidTr="001B2B31">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r w:rsidRPr="003635F2">
              <w:t>Trade Measurement</w:t>
            </w: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13" w:name="O_159390"/>
      <w:bookmarkEnd w:id="13"/>
      <w:r w:rsidRPr="003635F2">
        <w:t>Competency field</w:t>
      </w:r>
    </w:p>
    <w:tbl>
      <w:tblPr>
        <w:tblW w:w="0" w:type="auto"/>
        <w:tblLayout w:type="fixed"/>
        <w:tblCellMar>
          <w:left w:w="62" w:type="dxa"/>
          <w:right w:w="62" w:type="dxa"/>
        </w:tblCellMar>
        <w:tblLook w:val="0000"/>
      </w:tblPr>
      <w:tblGrid>
        <w:gridCol w:w="2784"/>
        <w:gridCol w:w="5738"/>
      </w:tblGrid>
      <w:tr w:rsidTr="001B2B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p>
        </w:tc>
      </w:tr>
    </w:tbl>
    <w:p w:rsidR="00000000" w:rsidRPr="003635F2" w:rsidP="003635F2">
      <w:pPr>
        <w:pStyle w:val="BodyText"/>
      </w:pPr>
    </w:p>
    <w:p w:rsidR="00000000" w:rsidRPr="003635F2" w:rsidP="003635F2">
      <w:pPr>
        <w:pStyle w:val="AllowPageBreak"/>
      </w:pPr>
    </w:p>
    <w:p w:rsidR="00000000" w:rsidRPr="003635F2" w:rsidP="003635F2">
      <w:pPr>
        <w:pStyle w:val="Heading1"/>
      </w:pPr>
      <w:bookmarkStart w:id="14" w:name="O_159389"/>
      <w:bookmarkEnd w:id="14"/>
      <w:r w:rsidRPr="003635F2">
        <w:t>Co-requisite units</w:t>
      </w:r>
    </w:p>
    <w:tbl>
      <w:tblPr>
        <w:tblW w:w="0" w:type="auto"/>
        <w:tblLayout w:type="fixed"/>
        <w:tblCellMar>
          <w:left w:w="62" w:type="dxa"/>
          <w:right w:w="62" w:type="dxa"/>
        </w:tblCellMar>
        <w:tblLook w:val="0000"/>
      </w:tblPr>
      <w:tblGrid>
        <w:gridCol w:w="2641"/>
        <w:gridCol w:w="1322"/>
        <w:gridCol w:w="4559"/>
      </w:tblGrid>
      <w:tr w:rsidTr="001B2B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r w:rsidRPr="003635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p>
        </w:tc>
      </w:tr>
      <w:tr w:rsidTr="001B2B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5F2">
            <w:pPr>
              <w:pStyle w:val="BodyText"/>
              <w:rPr>
                <w:lang w:val="en-NZ"/>
              </w:rPr>
            </w:pPr>
          </w:p>
        </w:tc>
      </w:tr>
      <w:tr w:rsidTr="001B2B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5F2" w:rsidP="003635F2">
            <w:pPr>
              <w:pStyle w:val="BodyText"/>
            </w:pPr>
          </w:p>
        </w:tc>
      </w:tr>
    </w:tbl>
    <w:p w:rsidR="00000000" w:rsidRPr="003635F2" w:rsidP="003635F2">
      <w:pPr>
        <w:pStyle w:val="BodyText"/>
      </w:pPr>
    </w:p>
    <w:p w:rsidR="00000000" w:rsidRPr="003635F2" w:rsidP="003635F2"/>
    <w:sectPr w:rsidSect="00363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B31" w:rsidP="001B2B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31" w:rsidP="003635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1B2B31" w:rsidP="00363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2B31" w:rsidP="00363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F2" w:rsidRPr="001B2B31" w:rsidP="001B2B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31" w:rsidRPr="002D2AF8" w:rsidP="003635F2">
    <w:pPr>
      <w:pStyle w:val="Header"/>
      <w:framePr w:wrap="around"/>
    </w:pPr>
    <w:r>
      <w:fldChar w:fldCharType="begin"/>
    </w:r>
    <w:r>
      <w:instrText xml:space="preserve"> TITLE   \* MERGEFORMAT </w:instrText>
    </w:r>
    <w:r>
      <w:fldChar w:fldCharType="separate"/>
    </w:r>
    <w:r>
      <w:t>MSATMINS402A Inspect a range of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B2B31" w:rsidP="00363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A8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69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4D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5F2"/>
    <w:pPr>
      <w:spacing w:before="360" w:after="60"/>
      <w:outlineLvl w:val="0"/>
    </w:pPr>
    <w:rPr>
      <w:sz w:val="32"/>
    </w:rPr>
  </w:style>
  <w:style w:type="paragraph" w:styleId="Heading2">
    <w:name w:val="heading 2"/>
    <w:basedOn w:val="HeadingBase"/>
    <w:next w:val="BodyText"/>
    <w:link w:val="Heading2Char"/>
    <w:qFormat/>
    <w:rsid w:val="003635F2"/>
    <w:pPr>
      <w:keepLines/>
      <w:spacing w:before="240" w:after="120"/>
      <w:outlineLvl w:val="1"/>
    </w:pPr>
    <w:rPr>
      <w:sz w:val="28"/>
      <w:szCs w:val="40"/>
    </w:rPr>
  </w:style>
  <w:style w:type="paragraph" w:styleId="Heading3">
    <w:name w:val="heading 3"/>
    <w:basedOn w:val="HeadingBase"/>
    <w:next w:val="BodyText"/>
    <w:link w:val="Heading3Char"/>
    <w:qFormat/>
    <w:rsid w:val="003635F2"/>
    <w:pPr>
      <w:spacing w:before="180" w:after="120"/>
      <w:outlineLvl w:val="2"/>
    </w:pPr>
    <w:rPr>
      <w:spacing w:val="-10"/>
      <w:kern w:val="32"/>
    </w:rPr>
  </w:style>
  <w:style w:type="paragraph" w:styleId="Heading4">
    <w:name w:val="heading 4"/>
    <w:basedOn w:val="HeadingBase"/>
    <w:next w:val="BodyText"/>
    <w:link w:val="Heading4Char"/>
    <w:qFormat/>
    <w:rsid w:val="003635F2"/>
    <w:pPr>
      <w:spacing w:before="160" w:after="120"/>
      <w:outlineLvl w:val="3"/>
    </w:pPr>
    <w:rPr>
      <w:sz w:val="22"/>
    </w:rPr>
  </w:style>
  <w:style w:type="paragraph" w:styleId="Heading5">
    <w:name w:val="heading 5"/>
    <w:basedOn w:val="HeadingBase"/>
    <w:next w:val="Normal"/>
    <w:link w:val="Heading5Char"/>
    <w:qFormat/>
    <w:rsid w:val="003635F2"/>
    <w:pPr>
      <w:spacing w:before="80"/>
      <w:outlineLvl w:val="4"/>
    </w:pPr>
    <w:rPr>
      <w:color w:val="918585"/>
      <w:sz w:val="20"/>
    </w:rPr>
  </w:style>
  <w:style w:type="paragraph" w:styleId="Heading6">
    <w:name w:val="heading 6"/>
    <w:basedOn w:val="HeadingBase"/>
    <w:next w:val="Normal"/>
    <w:link w:val="Heading6Char"/>
    <w:qFormat/>
    <w:rsid w:val="003635F2"/>
    <w:pPr>
      <w:spacing w:before="60"/>
      <w:outlineLvl w:val="5"/>
    </w:pPr>
    <w:rPr>
      <w:color w:val="918585"/>
      <w:sz w:val="20"/>
    </w:rPr>
  </w:style>
  <w:style w:type="paragraph" w:styleId="Heading7">
    <w:name w:val="heading 7"/>
    <w:basedOn w:val="Normal"/>
    <w:next w:val="Normal"/>
    <w:link w:val="Heading7Char"/>
    <w:qFormat/>
    <w:rsid w:val="003635F2"/>
    <w:pPr>
      <w:ind w:left="720"/>
      <w:outlineLvl w:val="6"/>
    </w:pPr>
    <w:rPr>
      <w:i/>
    </w:rPr>
  </w:style>
  <w:style w:type="paragraph" w:styleId="Heading8">
    <w:name w:val="heading 8"/>
    <w:basedOn w:val="Normal"/>
    <w:next w:val="Normal"/>
    <w:link w:val="Heading8Char"/>
    <w:qFormat/>
    <w:rsid w:val="003635F2"/>
    <w:pPr>
      <w:ind w:left="720"/>
      <w:outlineLvl w:val="7"/>
    </w:pPr>
    <w:rPr>
      <w:i/>
    </w:rPr>
  </w:style>
  <w:style w:type="paragraph" w:styleId="Heading9">
    <w:name w:val="heading 9"/>
    <w:basedOn w:val="Normal"/>
    <w:next w:val="Normal"/>
    <w:link w:val="Heading9Char"/>
    <w:qFormat/>
    <w:rsid w:val="003635F2"/>
    <w:pPr>
      <w:ind w:left="720"/>
      <w:outlineLvl w:val="8"/>
    </w:pPr>
    <w:rPr>
      <w:i/>
    </w:rPr>
  </w:style>
  <w:style w:type="character" w:default="1" w:styleId="DefaultParagraphFont">
    <w:name w:val="Default Paragraph Font"/>
    <w:uiPriority w:val="1"/>
    <w:unhideWhenUsed/>
    <w:rsid w:val="00363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5F2"/>
  </w:style>
  <w:style w:type="character" w:customStyle="1" w:styleId="Heading1Char">
    <w:name w:val="Heading 1 Char"/>
    <w:basedOn w:val="DefaultParagraphFont"/>
    <w:link w:val="Heading1"/>
    <w:rsid w:val="003635F2"/>
    <w:rPr>
      <w:rFonts w:ascii="Times New Roman" w:eastAsia="Times New Roman" w:hAnsi="Times New Roman" w:cs="Times New Roman"/>
      <w:b/>
      <w:sz w:val="32"/>
      <w:szCs w:val="20"/>
      <w:lang w:eastAsia="en-US"/>
    </w:rPr>
  </w:style>
  <w:style w:type="paragraph" w:styleId="BodyText">
    <w:name w:val="Body Text"/>
    <w:basedOn w:val="Normal"/>
    <w:link w:val="BodyTextChar"/>
    <w:rsid w:val="00363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5F2"/>
    <w:rPr>
      <w:rFonts w:ascii="Times New Roman" w:eastAsia="Times New Roman" w:hAnsi="Times New Roman" w:cs="Times New Roman"/>
      <w:sz w:val="24"/>
      <w:lang w:eastAsia="en-US"/>
    </w:rPr>
  </w:style>
  <w:style w:type="paragraph" w:styleId="Footer">
    <w:name w:val="footer"/>
    <w:basedOn w:val="Normal"/>
    <w:link w:val="FooterChar"/>
    <w:rsid w:val="00363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5F2"/>
    <w:rPr>
      <w:rFonts w:ascii="Times New Roman" w:eastAsia="Times New Roman" w:hAnsi="Times New Roman" w:cs="Times New Roman"/>
      <w:sz w:val="16"/>
      <w:lang w:eastAsia="en-US"/>
    </w:rPr>
  </w:style>
  <w:style w:type="paragraph" w:styleId="List">
    <w:name w:val="List"/>
    <w:basedOn w:val="BodyText"/>
    <w:next w:val="BodyText"/>
    <w:rsid w:val="003635F2"/>
    <w:pPr>
      <w:tabs>
        <w:tab w:val="left" w:pos="340"/>
      </w:tabs>
      <w:spacing w:before="60" w:after="60"/>
      <w:ind w:left="340" w:hanging="340"/>
    </w:pPr>
  </w:style>
  <w:style w:type="paragraph" w:styleId="ListBullet">
    <w:name w:val="List Bullet"/>
    <w:basedOn w:val="List"/>
    <w:rsid w:val="003635F2"/>
    <w:pPr>
      <w:numPr>
        <w:numId w:val="13"/>
      </w:numPr>
      <w:tabs>
        <w:tab w:val="clear" w:pos="340"/>
      </w:tabs>
      <w:spacing w:before="40" w:after="40"/>
    </w:pPr>
  </w:style>
  <w:style w:type="character" w:customStyle="1" w:styleId="SpecialBold">
    <w:name w:val="Special Bold"/>
    <w:basedOn w:val="DefaultParagraphFont"/>
    <w:rsid w:val="003635F2"/>
    <w:rPr>
      <w:b/>
      <w:spacing w:val="0"/>
    </w:rPr>
  </w:style>
  <w:style w:type="paragraph" w:styleId="ListBullet2">
    <w:name w:val="List Bullet 2"/>
    <w:basedOn w:val="List2"/>
    <w:rsid w:val="003635F2"/>
    <w:pPr>
      <w:numPr>
        <w:numId w:val="14"/>
      </w:numPr>
      <w:tabs>
        <w:tab w:val="clear" w:pos="680"/>
      </w:tabs>
    </w:pPr>
  </w:style>
  <w:style w:type="paragraph" w:customStyle="1" w:styleId="SuperHeading">
    <w:name w:val="SuperHeading"/>
    <w:basedOn w:val="Normal"/>
    <w:rsid w:val="003635F2"/>
    <w:pPr>
      <w:spacing w:before="240" w:after="120"/>
      <w:outlineLvl w:val="0"/>
    </w:pPr>
    <w:rPr>
      <w:rFonts w:ascii="Times New Roman" w:hAnsi="Times New Roman"/>
      <w:b/>
      <w:sz w:val="28"/>
    </w:rPr>
  </w:style>
  <w:style w:type="paragraph" w:customStyle="1" w:styleId="AllowPageBreak">
    <w:name w:val="AllowPageBreak"/>
    <w:rsid w:val="00363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35F2"/>
    <w:pPr>
      <w:tabs>
        <w:tab w:val="left" w:pos="680"/>
      </w:tabs>
      <w:spacing w:before="60" w:after="60"/>
      <w:ind w:left="680" w:hanging="340"/>
    </w:pPr>
  </w:style>
  <w:style w:type="character" w:customStyle="1" w:styleId="Heading2Char">
    <w:name w:val="Heading 2 Char"/>
    <w:basedOn w:val="DefaultParagraphFont"/>
    <w:link w:val="Heading2"/>
    <w:rsid w:val="00363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5F2"/>
    <w:rPr>
      <w:rFonts w:ascii="Courier New" w:eastAsia="Times New Roman" w:hAnsi="Courier New" w:cs="Times New Roman"/>
      <w:i/>
      <w:szCs w:val="20"/>
      <w:lang w:eastAsia="en-US"/>
    </w:rPr>
  </w:style>
  <w:style w:type="paragraph" w:customStyle="1" w:styleId="HeadingBase">
    <w:name w:val="Heading Base"/>
    <w:rsid w:val="00363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5F2"/>
    <w:pPr>
      <w:tabs>
        <w:tab w:val="right" w:leader="dot" w:pos="9072"/>
      </w:tabs>
      <w:ind w:left="567"/>
    </w:pPr>
    <w:rPr>
      <w:szCs w:val="22"/>
    </w:rPr>
  </w:style>
  <w:style w:type="paragraph" w:customStyle="1" w:styleId="TOCBase">
    <w:name w:val="TOC Base"/>
    <w:rsid w:val="00363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5F2"/>
    <w:pPr>
      <w:tabs>
        <w:tab w:val="right" w:leader="dot" w:pos="9072"/>
      </w:tabs>
      <w:spacing w:before="40" w:after="40"/>
      <w:ind w:left="284"/>
    </w:pPr>
    <w:rPr>
      <w:rFonts w:ascii="Times New Roman" w:hAnsi="Times New Roman"/>
    </w:rPr>
  </w:style>
  <w:style w:type="paragraph" w:styleId="TOC1">
    <w:name w:val="toc 1"/>
    <w:basedOn w:val="TOCBase"/>
    <w:next w:val="Normal"/>
    <w:rsid w:val="00363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5F2"/>
    <w:pPr>
      <w:spacing w:before="5040"/>
      <w:jc w:val="center"/>
    </w:pPr>
    <w:rPr>
      <w:sz w:val="48"/>
      <w:szCs w:val="72"/>
      <w:lang w:val="en-US"/>
    </w:rPr>
  </w:style>
  <w:style w:type="character" w:customStyle="1" w:styleId="TitleChar">
    <w:name w:val="Title Char"/>
    <w:basedOn w:val="DefaultParagraphFont"/>
    <w:link w:val="Title"/>
    <w:rsid w:val="00363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5F2"/>
    <w:pPr>
      <w:tabs>
        <w:tab w:val="left" w:pos="3600"/>
        <w:tab w:val="left" w:pos="3958"/>
      </w:tabs>
    </w:pPr>
  </w:style>
  <w:style w:type="paragraph" w:customStyle="1" w:styleId="Note">
    <w:name w:val="Note"/>
    <w:basedOn w:val="BodyText"/>
    <w:rsid w:val="00363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5F2"/>
    <w:pPr>
      <w:framePr w:wrap="auto" w:hAnchor="text" w:y="6049"/>
    </w:pPr>
    <w:rPr>
      <w:color w:val="000000"/>
      <w:sz w:val="40"/>
    </w:rPr>
  </w:style>
  <w:style w:type="paragraph" w:customStyle="1" w:styleId="TOCTitle">
    <w:name w:val="TOCTitle"/>
    <w:basedOn w:val="Heading1"/>
    <w:rsid w:val="003635F2"/>
    <w:pPr>
      <w:spacing w:after="240"/>
      <w:jc w:val="center"/>
      <w:outlineLvl w:val="9"/>
    </w:pPr>
    <w:rPr>
      <w:caps/>
    </w:rPr>
  </w:style>
  <w:style w:type="paragraph" w:customStyle="1" w:styleId="Version">
    <w:name w:val="Version"/>
    <w:rsid w:val="00363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5F2"/>
    <w:pPr>
      <w:keepNext w:val="0"/>
      <w:tabs>
        <w:tab w:val="right" w:pos="4176"/>
      </w:tabs>
      <w:ind w:left="198" w:hanging="198"/>
    </w:pPr>
    <w:rPr>
      <w:rFonts w:ascii="Garamond" w:hAnsi="Garamond"/>
    </w:rPr>
  </w:style>
  <w:style w:type="paragraph" w:styleId="IndexHeading">
    <w:name w:val="index heading"/>
    <w:basedOn w:val="Normal"/>
    <w:next w:val="Index1"/>
    <w:semiHidden/>
    <w:rsid w:val="003635F2"/>
    <w:pPr>
      <w:spacing w:before="120" w:after="120"/>
    </w:pPr>
    <w:rPr>
      <w:rFonts w:ascii="Arial" w:hAnsi="Arial"/>
      <w:b/>
      <w:color w:val="918585"/>
      <w:sz w:val="24"/>
    </w:rPr>
  </w:style>
  <w:style w:type="paragraph" w:styleId="Header">
    <w:name w:val="header"/>
    <w:basedOn w:val="Normal"/>
    <w:link w:val="HeaderChar"/>
    <w:rsid w:val="00363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5F2"/>
    <w:rPr>
      <w:rFonts w:ascii="Times New Roman" w:eastAsia="Times New Roman" w:hAnsi="Times New Roman" w:cs="Times New Roman"/>
      <w:sz w:val="16"/>
      <w:szCs w:val="20"/>
      <w:lang w:val="en-GB" w:eastAsia="en-US"/>
    </w:rPr>
  </w:style>
  <w:style w:type="paragraph" w:customStyle="1" w:styleId="Chapter">
    <w:name w:val="Chapter"/>
    <w:basedOn w:val="Normal"/>
    <w:rsid w:val="003635F2"/>
    <w:pPr>
      <w:spacing w:before="240"/>
    </w:pPr>
    <w:rPr>
      <w:rFonts w:ascii="Times New Roman" w:hAnsi="Times New Roman"/>
      <w:smallCaps/>
      <w:spacing w:val="80"/>
      <w:sz w:val="28"/>
    </w:rPr>
  </w:style>
  <w:style w:type="paragraph" w:customStyle="1" w:styleId="InChapter">
    <w:name w:val="InChapter"/>
    <w:basedOn w:val="Heading3"/>
    <w:rsid w:val="003635F2"/>
    <w:pPr>
      <w:spacing w:after="240"/>
      <w:outlineLvl w:val="9"/>
    </w:pPr>
    <w:rPr>
      <w:noProof/>
    </w:rPr>
  </w:style>
  <w:style w:type="paragraph" w:styleId="Index2">
    <w:name w:val="index 2"/>
    <w:basedOn w:val="Normal"/>
    <w:next w:val="Normal"/>
    <w:semiHidden/>
    <w:rsid w:val="003635F2"/>
    <w:pPr>
      <w:tabs>
        <w:tab w:val="right" w:pos="4176"/>
      </w:tabs>
      <w:ind w:left="568" w:hanging="284"/>
    </w:pPr>
    <w:rPr>
      <w:rFonts w:ascii="Garamond" w:hAnsi="Garamond"/>
    </w:rPr>
  </w:style>
  <w:style w:type="paragraph" w:customStyle="1" w:styleId="Byline">
    <w:name w:val="Byline"/>
    <w:rsid w:val="00363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5F2"/>
    <w:pPr>
      <w:tabs>
        <w:tab w:val="clear" w:pos="3600"/>
        <w:tab w:val="clear" w:pos="3958"/>
      </w:tabs>
      <w:jc w:val="right"/>
    </w:pPr>
  </w:style>
  <w:style w:type="character" w:styleId="Emphasis">
    <w:name w:val="Emphasis"/>
    <w:basedOn w:val="DefaultParagraphFont"/>
    <w:qFormat/>
    <w:rsid w:val="003635F2"/>
    <w:rPr>
      <w:i/>
    </w:rPr>
  </w:style>
  <w:style w:type="paragraph" w:styleId="Caption">
    <w:name w:val="caption"/>
    <w:basedOn w:val="BodyText"/>
    <w:next w:val="Normal"/>
    <w:qFormat/>
    <w:rsid w:val="003635F2"/>
    <w:pPr>
      <w:framePr w:w="2268" w:hSpace="181" w:vSpace="181" w:wrap="around" w:vAnchor="text" w:hAnchor="page" w:x="1135" w:y="285" w:anchorLock="1"/>
    </w:pPr>
    <w:rPr>
      <w:i/>
    </w:rPr>
  </w:style>
  <w:style w:type="paragraph" w:customStyle="1" w:styleId="MiniTOCTitle">
    <w:name w:val="MiniTOCTitle"/>
    <w:basedOn w:val="Heading4"/>
    <w:rsid w:val="003635F2"/>
    <w:pPr>
      <w:spacing w:before="240"/>
      <w:outlineLvl w:val="9"/>
    </w:pPr>
    <w:rPr>
      <w:noProof/>
      <w:sz w:val="24"/>
    </w:rPr>
  </w:style>
  <w:style w:type="paragraph" w:customStyle="1" w:styleId="MiniTOCItem">
    <w:name w:val="MiniTOCItem"/>
    <w:basedOn w:val="ListBullet"/>
    <w:rsid w:val="003635F2"/>
    <w:pPr>
      <w:numPr>
        <w:numId w:val="0"/>
      </w:numPr>
      <w:tabs>
        <w:tab w:val="right" w:leader="dot" w:pos="6521"/>
      </w:tabs>
      <w:spacing w:before="0" w:after="0"/>
    </w:pPr>
  </w:style>
  <w:style w:type="paragraph" w:customStyle="1" w:styleId="TOFTitle">
    <w:name w:val="TOFTitle"/>
    <w:basedOn w:val="TOCTitle"/>
    <w:rsid w:val="003635F2"/>
  </w:style>
  <w:style w:type="paragraph" w:styleId="TableofFigures">
    <w:name w:val="table of figures"/>
    <w:basedOn w:val="Normal"/>
    <w:next w:val="Normal"/>
    <w:semiHidden/>
    <w:rsid w:val="003635F2"/>
    <w:pPr>
      <w:tabs>
        <w:tab w:val="right" w:leader="dot" w:pos="9072"/>
      </w:tabs>
      <w:ind w:left="970" w:hanging="403"/>
    </w:pPr>
    <w:rPr>
      <w:rFonts w:ascii="Times New Roman" w:hAnsi="Times New Roman"/>
      <w:b/>
    </w:rPr>
  </w:style>
  <w:style w:type="paragraph" w:styleId="ListNumber">
    <w:name w:val="List Number"/>
    <w:basedOn w:val="List"/>
    <w:rsid w:val="003635F2"/>
    <w:pPr>
      <w:numPr>
        <w:numId w:val="11"/>
      </w:numPr>
    </w:pPr>
  </w:style>
  <w:style w:type="character" w:customStyle="1" w:styleId="WingdingSymbols">
    <w:name w:val="Wingding Symbols"/>
    <w:rsid w:val="003635F2"/>
    <w:rPr>
      <w:rFonts w:ascii="Wingdings" w:hAnsi="Wingdings"/>
    </w:rPr>
  </w:style>
  <w:style w:type="paragraph" w:customStyle="1" w:styleId="TableHeading">
    <w:name w:val="Table Heading"/>
    <w:basedOn w:val="HeadingBase"/>
    <w:rsid w:val="003635F2"/>
    <w:pPr>
      <w:keepLines/>
      <w:pBdr>
        <w:bottom w:val="single" w:sz="6" w:space="1" w:color="918585"/>
      </w:pBdr>
      <w:spacing w:before="240"/>
    </w:pPr>
  </w:style>
  <w:style w:type="character" w:customStyle="1" w:styleId="HotSpot">
    <w:name w:val="HotSpot"/>
    <w:rsid w:val="003635F2"/>
    <w:rPr>
      <w:color w:val="0033CC"/>
      <w:u w:val="none"/>
    </w:rPr>
  </w:style>
  <w:style w:type="paragraph" w:customStyle="1" w:styleId="BodyTextRight">
    <w:name w:val="Body Text Right"/>
    <w:basedOn w:val="BodyText"/>
    <w:rsid w:val="003635F2"/>
    <w:pPr>
      <w:spacing w:before="0" w:after="0"/>
      <w:jc w:val="right"/>
    </w:pPr>
  </w:style>
  <w:style w:type="paragraph" w:styleId="Index3">
    <w:name w:val="index 3"/>
    <w:basedOn w:val="ListNumber2"/>
    <w:next w:val="Normal"/>
    <w:semiHidden/>
    <w:rsid w:val="003635F2"/>
    <w:pPr>
      <w:numPr>
        <w:numId w:val="0"/>
      </w:numPr>
      <w:tabs>
        <w:tab w:val="right" w:leader="dot" w:pos="4176"/>
      </w:tabs>
    </w:pPr>
  </w:style>
  <w:style w:type="paragraph" w:styleId="ListNumber2">
    <w:name w:val="List Number 2"/>
    <w:basedOn w:val="List2"/>
    <w:rsid w:val="003635F2"/>
    <w:pPr>
      <w:numPr>
        <w:numId w:val="10"/>
      </w:numPr>
      <w:tabs>
        <w:tab w:val="clear" w:pos="1060"/>
      </w:tabs>
    </w:pPr>
  </w:style>
  <w:style w:type="paragraph" w:customStyle="1" w:styleId="MarginNote">
    <w:name w:val="Margin Note"/>
    <w:basedOn w:val="BodyText"/>
    <w:rsid w:val="00363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5F2"/>
    <w:rPr>
      <w:sz w:val="32"/>
    </w:rPr>
  </w:style>
  <w:style w:type="paragraph" w:customStyle="1" w:styleId="HeadingProcedure">
    <w:name w:val="Heading Procedure"/>
    <w:basedOn w:val="HeadingBase"/>
    <w:next w:val="Normal"/>
    <w:rsid w:val="003635F2"/>
    <w:pPr>
      <w:tabs>
        <w:tab w:val="left" w:pos="0"/>
      </w:tabs>
      <w:spacing w:before="120" w:after="60"/>
    </w:pPr>
    <w:rPr>
      <w:i/>
      <w:color w:val="918585"/>
      <w:sz w:val="22"/>
    </w:rPr>
  </w:style>
  <w:style w:type="paragraph" w:customStyle="1" w:styleId="TableBodyText">
    <w:name w:val="Table Body Text"/>
    <w:basedOn w:val="BodyText"/>
    <w:rsid w:val="003635F2"/>
    <w:pPr>
      <w:spacing w:before="60" w:after="60"/>
    </w:pPr>
  </w:style>
  <w:style w:type="paragraph" w:styleId="ListContinue">
    <w:name w:val="List Continue"/>
    <w:basedOn w:val="List"/>
    <w:rsid w:val="003635F2"/>
    <w:pPr>
      <w:ind w:firstLine="0"/>
    </w:pPr>
  </w:style>
  <w:style w:type="paragraph" w:customStyle="1" w:styleId="ListNote">
    <w:name w:val="List Note"/>
    <w:basedOn w:val="List"/>
    <w:rsid w:val="003635F2"/>
    <w:pPr>
      <w:pBdr>
        <w:top w:val="single" w:sz="6" w:space="2" w:color="918585"/>
        <w:bottom w:val="single" w:sz="6" w:space="2" w:color="918585"/>
      </w:pBdr>
      <w:tabs>
        <w:tab w:val="left" w:pos="1021"/>
      </w:tabs>
      <w:ind w:firstLine="0"/>
    </w:pPr>
  </w:style>
  <w:style w:type="paragraph" w:customStyle="1" w:styleId="Warning">
    <w:name w:val="Warning"/>
    <w:basedOn w:val="BodyText"/>
    <w:rsid w:val="003635F2"/>
    <w:pPr>
      <w:shd w:val="clear" w:color="auto" w:fill="D9D9D9"/>
      <w:tabs>
        <w:tab w:val="left" w:pos="992"/>
      </w:tabs>
      <w:ind w:left="119" w:right="119"/>
    </w:pPr>
    <w:rPr>
      <w:sz w:val="20"/>
    </w:rPr>
  </w:style>
  <w:style w:type="paragraph" w:customStyle="1" w:styleId="MarginIcons">
    <w:name w:val="Margin Icons"/>
    <w:basedOn w:val="BodyText"/>
    <w:rsid w:val="00363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5F2"/>
    <w:rPr>
      <w:rFonts w:ascii="Courier New" w:hAnsi="Courier New"/>
    </w:rPr>
  </w:style>
  <w:style w:type="paragraph" w:customStyle="1" w:styleId="NoteBullet">
    <w:name w:val="Note Bullet"/>
    <w:basedOn w:val="Note"/>
    <w:rsid w:val="003635F2"/>
    <w:pPr>
      <w:tabs>
        <w:tab w:val="clear" w:pos="680"/>
      </w:tabs>
      <w:spacing w:before="60" w:after="60"/>
    </w:pPr>
  </w:style>
  <w:style w:type="paragraph" w:customStyle="1" w:styleId="SubHeading2">
    <w:name w:val="SubHeading2"/>
    <w:basedOn w:val="HeadingBase"/>
    <w:rsid w:val="003635F2"/>
    <w:pPr>
      <w:spacing w:before="240" w:after="60"/>
    </w:pPr>
    <w:rPr>
      <w:sz w:val="20"/>
    </w:rPr>
  </w:style>
  <w:style w:type="paragraph" w:customStyle="1" w:styleId="SubHeading1">
    <w:name w:val="SubHeading1"/>
    <w:basedOn w:val="HeadingBase"/>
    <w:rsid w:val="003635F2"/>
    <w:pPr>
      <w:spacing w:before="240" w:after="60"/>
    </w:pPr>
    <w:rPr>
      <w:color w:val="918585"/>
      <w:sz w:val="22"/>
    </w:rPr>
  </w:style>
  <w:style w:type="paragraph" w:customStyle="1" w:styleId="SideHeading">
    <w:name w:val="Side Heading"/>
    <w:basedOn w:val="HeadingBase"/>
    <w:rsid w:val="00363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5F2"/>
    <w:pPr>
      <w:numPr>
        <w:numId w:val="12"/>
      </w:numPr>
    </w:pPr>
  </w:style>
  <w:style w:type="paragraph" w:styleId="PlainText">
    <w:name w:val="Plain Text"/>
    <w:basedOn w:val="Normal"/>
    <w:link w:val="PlainTextChar"/>
    <w:rsid w:val="003635F2"/>
    <w:rPr>
      <w:sz w:val="20"/>
    </w:rPr>
  </w:style>
  <w:style w:type="character" w:customStyle="1" w:styleId="PlainTextChar">
    <w:name w:val="Plain Text Char"/>
    <w:basedOn w:val="DefaultParagraphFont"/>
    <w:link w:val="PlainText"/>
    <w:rsid w:val="003635F2"/>
    <w:rPr>
      <w:rFonts w:ascii="Courier New" w:eastAsia="Times New Roman" w:hAnsi="Courier New" w:cs="Times New Roman"/>
      <w:sz w:val="20"/>
      <w:szCs w:val="20"/>
      <w:lang w:eastAsia="en-US"/>
    </w:rPr>
  </w:style>
  <w:style w:type="character" w:customStyle="1" w:styleId="MenuOption">
    <w:name w:val="Menu Option"/>
    <w:basedOn w:val="DefaultParagraphFont"/>
    <w:rsid w:val="003635F2"/>
    <w:rPr>
      <w:b/>
      <w:smallCaps/>
    </w:rPr>
  </w:style>
  <w:style w:type="paragraph" w:customStyle="1" w:styleId="TableListNumber">
    <w:name w:val="Table List Number"/>
    <w:basedOn w:val="ListNumber"/>
    <w:rsid w:val="003635F2"/>
    <w:pPr>
      <w:numPr>
        <w:numId w:val="0"/>
      </w:numPr>
    </w:pPr>
  </w:style>
  <w:style w:type="paragraph" w:styleId="TOC4">
    <w:name w:val="toc 4"/>
    <w:basedOn w:val="TOCBase"/>
    <w:next w:val="Normal"/>
    <w:semiHidden/>
    <w:rsid w:val="003635F2"/>
    <w:pPr>
      <w:tabs>
        <w:tab w:val="right" w:leader="dot" w:pos="9071"/>
      </w:tabs>
      <w:ind w:left="1701"/>
    </w:pPr>
  </w:style>
  <w:style w:type="paragraph" w:customStyle="1" w:styleId="ListAlpha">
    <w:name w:val="List Alpha"/>
    <w:basedOn w:val="List"/>
    <w:rsid w:val="003635F2"/>
    <w:pPr>
      <w:numPr>
        <w:numId w:val="9"/>
      </w:numPr>
    </w:pPr>
  </w:style>
  <w:style w:type="paragraph" w:customStyle="1" w:styleId="ListAlpha2">
    <w:name w:val="List Alpha 2"/>
    <w:basedOn w:val="List2"/>
    <w:rsid w:val="003635F2"/>
    <w:pPr>
      <w:numPr>
        <w:numId w:val="8"/>
      </w:numPr>
    </w:pPr>
  </w:style>
  <w:style w:type="paragraph" w:styleId="List3">
    <w:name w:val="List 3"/>
    <w:basedOn w:val="BodyText"/>
    <w:rsid w:val="003635F2"/>
    <w:pPr>
      <w:tabs>
        <w:tab w:val="left" w:pos="1021"/>
      </w:tabs>
      <w:spacing w:before="60" w:after="60"/>
      <w:ind w:left="1020" w:hanging="340"/>
    </w:pPr>
  </w:style>
  <w:style w:type="paragraph" w:styleId="List4">
    <w:name w:val="List 4"/>
    <w:basedOn w:val="BodyText"/>
    <w:rsid w:val="003635F2"/>
    <w:pPr>
      <w:tabs>
        <w:tab w:val="left" w:pos="1361"/>
      </w:tabs>
      <w:spacing w:before="60" w:after="60"/>
      <w:ind w:left="1361" w:hanging="340"/>
    </w:pPr>
  </w:style>
  <w:style w:type="paragraph" w:styleId="List5">
    <w:name w:val="List 5"/>
    <w:basedOn w:val="BodyText"/>
    <w:rsid w:val="003635F2"/>
    <w:pPr>
      <w:tabs>
        <w:tab w:val="left" w:pos="1701"/>
      </w:tabs>
      <w:spacing w:before="60" w:after="60"/>
      <w:ind w:left="1701" w:hanging="340"/>
    </w:pPr>
  </w:style>
  <w:style w:type="paragraph" w:styleId="ListBullet3">
    <w:name w:val="List Bullet 3"/>
    <w:basedOn w:val="List3"/>
    <w:rsid w:val="003635F2"/>
    <w:pPr>
      <w:numPr>
        <w:numId w:val="15"/>
      </w:numPr>
      <w:tabs>
        <w:tab w:val="clear" w:pos="1021"/>
      </w:tabs>
      <w:ind w:left="1037" w:hanging="357"/>
    </w:pPr>
  </w:style>
  <w:style w:type="paragraph" w:styleId="ListBullet4">
    <w:name w:val="List Bullet 4"/>
    <w:basedOn w:val="List4"/>
    <w:rsid w:val="003635F2"/>
    <w:pPr>
      <w:numPr>
        <w:numId w:val="3"/>
      </w:numPr>
    </w:pPr>
  </w:style>
  <w:style w:type="paragraph" w:styleId="ListBullet5">
    <w:name w:val="List Bullet 5"/>
    <w:basedOn w:val="List5"/>
    <w:rsid w:val="003635F2"/>
    <w:pPr>
      <w:numPr>
        <w:numId w:val="4"/>
      </w:numPr>
    </w:pPr>
  </w:style>
  <w:style w:type="paragraph" w:styleId="ListContinue2">
    <w:name w:val="List Continue 2"/>
    <w:basedOn w:val="List2"/>
    <w:rsid w:val="003635F2"/>
    <w:pPr>
      <w:ind w:firstLine="0"/>
    </w:pPr>
  </w:style>
  <w:style w:type="paragraph" w:styleId="ListContinue3">
    <w:name w:val="List Continue 3"/>
    <w:basedOn w:val="List3"/>
    <w:rsid w:val="003635F2"/>
    <w:pPr>
      <w:ind w:left="1021" w:firstLine="0"/>
    </w:pPr>
  </w:style>
  <w:style w:type="paragraph" w:styleId="ListContinue4">
    <w:name w:val="List Continue 4"/>
    <w:basedOn w:val="List4"/>
    <w:rsid w:val="003635F2"/>
    <w:pPr>
      <w:ind w:firstLine="0"/>
    </w:pPr>
  </w:style>
  <w:style w:type="paragraph" w:styleId="ListContinue5">
    <w:name w:val="List Continue 5"/>
    <w:basedOn w:val="List5"/>
    <w:rsid w:val="003635F2"/>
    <w:pPr>
      <w:ind w:firstLine="0"/>
    </w:pPr>
  </w:style>
  <w:style w:type="paragraph" w:styleId="ListNumber3">
    <w:name w:val="List Number 3"/>
    <w:basedOn w:val="List3"/>
    <w:rsid w:val="003635F2"/>
    <w:pPr>
      <w:numPr>
        <w:numId w:val="5"/>
      </w:numPr>
    </w:pPr>
  </w:style>
  <w:style w:type="paragraph" w:styleId="ListNumber4">
    <w:name w:val="List Number 4"/>
    <w:basedOn w:val="List4"/>
    <w:rsid w:val="003635F2"/>
    <w:pPr>
      <w:numPr>
        <w:numId w:val="6"/>
      </w:numPr>
    </w:pPr>
  </w:style>
  <w:style w:type="paragraph" w:styleId="ListNumber5">
    <w:name w:val="List Number 5"/>
    <w:basedOn w:val="List5"/>
    <w:rsid w:val="003635F2"/>
    <w:pPr>
      <w:numPr>
        <w:numId w:val="7"/>
      </w:numPr>
    </w:pPr>
  </w:style>
  <w:style w:type="paragraph" w:styleId="BlockText">
    <w:name w:val="Block Text"/>
    <w:basedOn w:val="Normal"/>
    <w:rsid w:val="003635F2"/>
    <w:pPr>
      <w:spacing w:after="120"/>
      <w:ind w:left="1440" w:right="1440"/>
    </w:pPr>
  </w:style>
  <w:style w:type="character" w:customStyle="1" w:styleId="Subscript">
    <w:name w:val="Subscript"/>
    <w:basedOn w:val="DefaultParagraphFont"/>
    <w:rsid w:val="003635F2"/>
    <w:rPr>
      <w:sz w:val="16"/>
      <w:vertAlign w:val="subscript"/>
    </w:rPr>
  </w:style>
  <w:style w:type="character" w:customStyle="1" w:styleId="Superscript">
    <w:name w:val="Superscript"/>
    <w:basedOn w:val="DefaultParagraphFont"/>
    <w:rsid w:val="003635F2"/>
    <w:rPr>
      <w:sz w:val="16"/>
      <w:vertAlign w:val="superscript"/>
    </w:rPr>
  </w:style>
  <w:style w:type="character" w:customStyle="1" w:styleId="Symbols">
    <w:name w:val="Symbols"/>
    <w:basedOn w:val="DefaultParagraphFont"/>
    <w:rsid w:val="003635F2"/>
    <w:rPr>
      <w:rFonts w:ascii="Symbol" w:hAnsi="Symbol"/>
    </w:rPr>
  </w:style>
  <w:style w:type="character" w:customStyle="1" w:styleId="MenuOptions">
    <w:name w:val="Menu Options"/>
    <w:basedOn w:val="DefaultParagraphFont"/>
    <w:rsid w:val="003635F2"/>
    <w:rPr>
      <w:rFonts w:ascii="Arial Narrow" w:hAnsi="Arial Narrow"/>
      <w:smallCaps/>
    </w:rPr>
  </w:style>
  <w:style w:type="character" w:customStyle="1" w:styleId="Buttons">
    <w:name w:val="Buttons"/>
    <w:basedOn w:val="DefaultParagraphFont"/>
    <w:rsid w:val="003635F2"/>
    <w:rPr>
      <w:b/>
    </w:rPr>
  </w:style>
  <w:style w:type="character" w:customStyle="1" w:styleId="Underlined">
    <w:name w:val="Underlined"/>
    <w:basedOn w:val="DefaultParagraphFont"/>
    <w:rsid w:val="003635F2"/>
    <w:rPr>
      <w:u w:val="single"/>
    </w:rPr>
  </w:style>
  <w:style w:type="paragraph" w:customStyle="1" w:styleId="TableBodyTextRight">
    <w:name w:val="Table Body Text Right"/>
    <w:basedOn w:val="TableBodyText"/>
    <w:rsid w:val="003635F2"/>
    <w:pPr>
      <w:widowControl w:val="0"/>
      <w:autoSpaceDE w:val="0"/>
      <w:autoSpaceDN w:val="0"/>
      <w:adjustRightInd w:val="0"/>
      <w:jc w:val="right"/>
    </w:pPr>
    <w:rPr>
      <w:rFonts w:cs="Arial"/>
      <w:szCs w:val="18"/>
    </w:rPr>
  </w:style>
  <w:style w:type="paragraph" w:customStyle="1" w:styleId="CopyrightText">
    <w:name w:val="Copyright Text"/>
    <w:basedOn w:val="BodyText"/>
    <w:rsid w:val="003635F2"/>
    <w:rPr>
      <w:sz w:val="18"/>
    </w:rPr>
  </w:style>
  <w:style w:type="paragraph" w:customStyle="1" w:styleId="BodySmallRight">
    <w:name w:val="Body Small Right"/>
    <w:basedOn w:val="BodyTextRight"/>
    <w:rsid w:val="003635F2"/>
    <w:rPr>
      <w:sz w:val="18"/>
      <w:szCs w:val="18"/>
    </w:rPr>
  </w:style>
  <w:style w:type="paragraph" w:customStyle="1" w:styleId="MarginEdition">
    <w:name w:val="Margin Edition"/>
    <w:basedOn w:val="MarginNote"/>
    <w:rsid w:val="003635F2"/>
    <w:pPr>
      <w:spacing w:before="0" w:after="0"/>
    </w:pPr>
    <w:rPr>
      <w:rFonts w:ascii="Times New Roman" w:hAnsi="Times New Roman"/>
      <w:color w:val="999999"/>
    </w:rPr>
  </w:style>
  <w:style w:type="paragraph" w:customStyle="1" w:styleId="Spacer">
    <w:name w:val="Spacer"/>
    <w:basedOn w:val="Normal"/>
    <w:rsid w:val="003635F2"/>
    <w:rPr>
      <w:sz w:val="2"/>
      <w:szCs w:val="2"/>
    </w:rPr>
  </w:style>
  <w:style w:type="character" w:customStyle="1" w:styleId="Small">
    <w:name w:val="Small"/>
    <w:basedOn w:val="DefaultParagraphFont"/>
    <w:rsid w:val="003635F2"/>
    <w:rPr>
      <w:sz w:val="16"/>
    </w:rPr>
  </w:style>
  <w:style w:type="paragraph" w:customStyle="1" w:styleId="WideTable">
    <w:name w:val="Wide Table"/>
    <w:basedOn w:val="Normal"/>
    <w:rsid w:val="003635F2"/>
    <w:pPr>
      <w:ind w:left="-1418"/>
    </w:pPr>
    <w:rPr>
      <w:sz w:val="2"/>
      <w:szCs w:val="2"/>
    </w:rPr>
  </w:style>
  <w:style w:type="character" w:styleId="PageNumber">
    <w:name w:val="page number"/>
    <w:basedOn w:val="DefaultParagraphFont"/>
    <w:rsid w:val="003635F2"/>
  </w:style>
  <w:style w:type="paragraph" w:styleId="Quote">
    <w:name w:val="Quote"/>
    <w:basedOn w:val="Heading1"/>
    <w:link w:val="QuoteChar"/>
    <w:qFormat/>
    <w:rsid w:val="003635F2"/>
    <w:rPr>
      <w:b w:val="0"/>
      <w:sz w:val="72"/>
      <w:szCs w:val="72"/>
      <w:lang w:val="en-NZ"/>
    </w:rPr>
  </w:style>
  <w:style w:type="character" w:customStyle="1" w:styleId="QuoteChar">
    <w:name w:val="Quote Char"/>
    <w:basedOn w:val="DefaultParagraphFont"/>
    <w:link w:val="Quote"/>
    <w:rsid w:val="00363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5F2"/>
    <w:pPr>
      <w:pageBreakBefore/>
    </w:pPr>
  </w:style>
  <w:style w:type="paragraph" w:customStyle="1" w:styleId="Border">
    <w:name w:val="Border"/>
    <w:basedOn w:val="Normal"/>
    <w:qFormat/>
    <w:rsid w:val="00363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5F2"/>
    <w:rPr>
      <w:b/>
      <w:bCs/>
      <w:i/>
      <w:iCs/>
      <w:color w:val="auto"/>
    </w:rPr>
  </w:style>
  <w:style w:type="paragraph" w:styleId="IntenseQuote">
    <w:name w:val="Intense Quote"/>
    <w:basedOn w:val="Normal"/>
    <w:next w:val="Normal"/>
    <w:link w:val="IntenseQuoteChar"/>
    <w:uiPriority w:val="30"/>
    <w:qFormat/>
    <w:rsid w:val="00363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5F2"/>
    <w:rPr>
      <w:smallCaps/>
      <w:color w:val="auto"/>
      <w:u w:val="single"/>
    </w:rPr>
  </w:style>
  <w:style w:type="character" w:styleId="IntenseReference">
    <w:name w:val="Intense Reference"/>
    <w:basedOn w:val="DefaultParagraphFont"/>
    <w:uiPriority w:val="32"/>
    <w:qFormat/>
    <w:rsid w:val="003635F2"/>
    <w:rPr>
      <w:b/>
      <w:bCs/>
      <w:smallCaps/>
      <w:color w:val="auto"/>
      <w:spacing w:val="5"/>
      <w:u w:val="single"/>
    </w:rPr>
  </w:style>
  <w:style w:type="paragraph" w:customStyle="1" w:styleId="2ColumnHeading">
    <w:name w:val="2Column Heading"/>
    <w:basedOn w:val="BodyText"/>
    <w:qFormat/>
    <w:rsid w:val="003635F2"/>
    <w:pPr>
      <w:spacing w:after="60"/>
      <w:ind w:left="-2268"/>
    </w:pPr>
    <w:rPr>
      <w:b/>
    </w:rPr>
  </w:style>
  <w:style w:type="paragraph" w:customStyle="1" w:styleId="Heading1TOC">
    <w:name w:val="Heading1 TOC"/>
    <w:basedOn w:val="Normal"/>
    <w:qFormat/>
    <w:rsid w:val="003635F2"/>
    <w:pPr>
      <w:spacing w:before="240" w:after="120"/>
    </w:pPr>
    <w:rPr>
      <w:rFonts w:ascii="Times New Roman" w:hAnsi="Times New Roman"/>
      <w:b/>
      <w:sz w:val="32"/>
    </w:rPr>
  </w:style>
  <w:style w:type="paragraph" w:customStyle="1" w:styleId="Heading2TOC">
    <w:name w:val="Heading2 TOC"/>
    <w:basedOn w:val="Normal"/>
    <w:qFormat/>
    <w:rsid w:val="003635F2"/>
    <w:pPr>
      <w:spacing w:before="240" w:after="60"/>
    </w:pPr>
    <w:rPr>
      <w:rFonts w:ascii="Times New Roman" w:hAnsi="Times New Roman"/>
      <w:b/>
      <w:sz w:val="28"/>
    </w:rPr>
  </w:style>
  <w:style w:type="character" w:customStyle="1" w:styleId="Underline">
    <w:name w:val="Underline"/>
    <w:basedOn w:val="DefaultParagraphFont"/>
    <w:qFormat/>
    <w:rsid w:val="003635F2"/>
    <w:rPr>
      <w:u w:val="single"/>
    </w:rPr>
  </w:style>
  <w:style w:type="character" w:customStyle="1" w:styleId="BoldandItalics">
    <w:name w:val="Bold and Italics"/>
    <w:qFormat/>
    <w:rsid w:val="003635F2"/>
    <w:rPr>
      <w:b/>
      <w:i/>
      <w:u w:val="none"/>
    </w:rPr>
  </w:style>
  <w:style w:type="paragraph" w:styleId="BalloonText">
    <w:name w:val="Balloon Text"/>
    <w:basedOn w:val="Normal"/>
    <w:link w:val="BalloonTextChar"/>
    <w:rsid w:val="003635F2"/>
    <w:rPr>
      <w:rFonts w:ascii="Tahoma" w:hAnsi="Tahoma" w:cs="Tahoma"/>
      <w:sz w:val="16"/>
      <w:szCs w:val="16"/>
    </w:rPr>
  </w:style>
  <w:style w:type="character" w:customStyle="1" w:styleId="BalloonTextChar">
    <w:name w:val="Balloon Text Char"/>
    <w:basedOn w:val="DefaultParagraphFont"/>
    <w:link w:val="BalloonText"/>
    <w:rsid w:val="00363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5F2"/>
    <w:rPr>
      <w:b/>
      <w:color w:val="660033"/>
      <w:spacing w:val="0"/>
    </w:rPr>
  </w:style>
  <w:style w:type="paragraph" w:customStyle="1" w:styleId="Nameditemlist">
    <w:name w:val="Named item list"/>
    <w:basedOn w:val="BodyText"/>
    <w:qFormat/>
    <w:rsid w:val="003635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2564</Words>
  <Characters>16584</Characters>
  <Application>Microsoft Office Word</Application>
  <DocSecurity>0</DocSecurity>
  <Lines>514</Lines>
  <Paragraphs>258</Paragraphs>
  <ScaleCrop>false</ScaleCrop>
  <Company>Author-it Software Corporation Ltd.</Company>
  <LinksUpToDate>false</LinksUpToDate>
  <CharactersWithSpaces>19050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MSATMINS402A Inspect a range of liquid measuring instruments using volume measures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2012-10-11T22:11:00Z</dcterms:created>
  <dcterms:modified xsi:type="dcterms:W3CDTF">2012-10-11T22:11:00Z</dcterms:modified>
</cp:coreProperties>
</file>