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5DA" w:rsidP="000C35DA">
      <w:pPr>
        <w:pStyle w:val="Title"/>
      </w:pPr>
      <w:r>
        <w:fldChar w:fldCharType="begin"/>
      </w:r>
      <w:r>
        <w:instrText xml:space="preserve"> TITLE   \* MERGEFORMAT </w:instrText>
      </w:r>
      <w:r>
        <w:fldChar w:fldCharType="separate"/>
      </w:r>
      <w:r>
        <w:t>MSATCM508A Monitor secondary steelmaking operations</w:t>
      </w:r>
      <w:r>
        <w:fldChar w:fldCharType="end"/>
      </w:r>
    </w:p>
    <w:p w:rsidR="000C35DA" w:rsidP="000C35DA">
      <w:pPr>
        <w:pStyle w:val="Version"/>
        <w:sectPr w:rsidSect="008276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7650" w:rsidP="00827650">
      <w:pPr>
        <w:pStyle w:val="SuperHeading"/>
      </w:pPr>
      <w:r w:rsidRPr="00827650">
        <w:t>MSATCM508A Monitor secondary steelmaking operations</w:t>
      </w:r>
    </w:p>
    <w:p w:rsidR="00000000" w:rsidRPr="00827650" w:rsidP="00827650">
      <w:pPr>
        <w:pStyle w:val="SuperHeading"/>
      </w:pPr>
    </w:p>
    <w:p w:rsidR="00000000" w:rsidRPr="00827650" w:rsidP="00827650">
      <w:pPr>
        <w:pStyle w:val="Heading1"/>
      </w:pPr>
      <w:bookmarkStart w:id="1" w:name="O_102207"/>
      <w:bookmarkEnd w:id="1"/>
      <w:r w:rsidRPr="00827650">
        <w:t>Modification History</w:t>
      </w:r>
    </w:p>
    <w:p w:rsidR="00000000" w:rsidRPr="00827650" w:rsidP="00827650">
      <w:pPr>
        <w:pStyle w:val="BodyText"/>
      </w:pPr>
      <w:r w:rsidRPr="00827650">
        <w:t>Not applicable.</w:t>
      </w:r>
    </w:p>
    <w:p w:rsidR="00000000" w:rsidRPr="00827650" w:rsidP="00827650">
      <w:pPr>
        <w:pStyle w:val="AllowPageBreak"/>
      </w:pPr>
    </w:p>
    <w:p w:rsidR="00000000" w:rsidRPr="00827650" w:rsidP="00827650">
      <w:pPr>
        <w:pStyle w:val="Heading1"/>
      </w:pPr>
      <w:bookmarkStart w:id="2" w:name="O_102208"/>
      <w:bookmarkEnd w:id="2"/>
      <w:r w:rsidRPr="00827650">
        <w:t>Unit Descriptor</w:t>
      </w:r>
    </w:p>
    <w:tbl>
      <w:tblPr>
        <w:tblW w:w="0" w:type="auto"/>
        <w:tblCellMar>
          <w:left w:w="62" w:type="dxa"/>
          <w:right w:w="62" w:type="dxa"/>
        </w:tblCellMar>
        <w:tblLook w:val="0000"/>
      </w:tblPr>
      <w:tblGrid>
        <w:gridCol w:w="2376"/>
        <w:gridCol w:w="6820"/>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t>This unit covers the knowledge and skills to monitor the production of slabs prior t</w:t>
            </w:r>
            <w:r w:rsidRPr="00827650">
              <w:t>o rolling</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3" w:name="O_102209"/>
      <w:bookmarkEnd w:id="3"/>
      <w:r w:rsidRPr="00827650">
        <w:t>Application of the Unit</w:t>
      </w:r>
    </w:p>
    <w:tbl>
      <w:tblPr>
        <w:tblW w:w="0" w:type="auto"/>
        <w:tblCellMar>
          <w:left w:w="62" w:type="dxa"/>
          <w:right w:w="62" w:type="dxa"/>
        </w:tblCellMar>
        <w:tblLook w:val="0000"/>
      </w:tblPr>
      <w:tblGrid>
        <w:gridCol w:w="2376"/>
        <w:gridCol w:w="6820"/>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t xml:space="preserve">In a typical scenario, a technician will be required to monitor the post steelmaking processes including adjustments within the ladle and control </w:t>
            </w:r>
            <w:r w:rsidRPr="00827650">
              <w:t>of the continuous casting of slabs in accordance with parameters provided and standard operating procedures</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4" w:name="O_102210"/>
      <w:bookmarkEnd w:id="4"/>
      <w:r w:rsidRPr="00827650">
        <w:t>Licensing/Regulatory Information</w:t>
      </w:r>
    </w:p>
    <w:p w:rsidR="00000000" w:rsidRPr="00827650" w:rsidP="00827650">
      <w:pPr>
        <w:pStyle w:val="BodyText"/>
      </w:pPr>
      <w:r w:rsidRPr="00827650">
        <w:t>Not applicable.</w:t>
      </w:r>
    </w:p>
    <w:p w:rsidR="00000000" w:rsidRPr="00827650" w:rsidP="00827650">
      <w:pPr>
        <w:pStyle w:val="AllowPageBreak"/>
      </w:pPr>
    </w:p>
    <w:p w:rsidR="00000000" w:rsidRPr="00827650" w:rsidP="00827650">
      <w:pPr>
        <w:pStyle w:val="Heading1"/>
      </w:pPr>
      <w:bookmarkStart w:id="5" w:name="O_102211"/>
      <w:bookmarkEnd w:id="5"/>
      <w:r w:rsidRPr="00827650">
        <w:t>Pre-Requisites</w:t>
      </w:r>
    </w:p>
    <w:tbl>
      <w:tblPr>
        <w:tblW w:w="0" w:type="auto"/>
        <w:tblCellMar>
          <w:left w:w="62" w:type="dxa"/>
          <w:right w:w="62" w:type="dxa"/>
        </w:tblCellMar>
        <w:tblLook w:val="0000"/>
      </w:tblPr>
      <w:tblGrid>
        <w:gridCol w:w="2376"/>
        <w:gridCol w:w="1739"/>
        <w:gridCol w:w="5081"/>
      </w:tblGrid>
      <w:tr w:rsidTr="000C35DA">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rPr>
                <w:rStyle w:val="Emphasis"/>
              </w:rPr>
              <w:t>MSATCM301A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Emphasis"/>
              </w:rPr>
              <w:t>Test the mechanical properties of materials</w:t>
            </w:r>
          </w:p>
        </w:tc>
      </w:tr>
      <w:tr w:rsidTr="000C35D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Emphasis"/>
              </w:rPr>
              <w:t>Interpret basic binary phase diagrams</w:t>
            </w:r>
          </w:p>
        </w:tc>
      </w:tr>
      <w:tr w:rsidTr="000C35D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rPr>
                <w:rStyle w:val="Emphasis"/>
              </w:rPr>
              <w:t>MSATCM503A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Emphasis"/>
              </w:rPr>
              <w:t>Recommend a refractory for an application</w:t>
            </w:r>
          </w:p>
        </w:tc>
      </w:tr>
      <w:tr w:rsidTr="000C35D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p>
        </w:tc>
      </w:tr>
      <w:tr w:rsidTr="000C35D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6" w:name="O_102212"/>
      <w:bookmarkEnd w:id="6"/>
      <w:r w:rsidRPr="00827650">
        <w:t>Employability Skills Information</w:t>
      </w:r>
    </w:p>
    <w:tbl>
      <w:tblPr>
        <w:tblW w:w="0" w:type="auto"/>
        <w:tblCellMar>
          <w:left w:w="62" w:type="dxa"/>
          <w:right w:w="62" w:type="dxa"/>
        </w:tblCellMar>
        <w:tblLook w:val="0000"/>
      </w:tblPr>
      <w:tblGrid>
        <w:gridCol w:w="2376"/>
        <w:gridCol w:w="6820"/>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t>This unit contains employability skills.</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7" w:name="O_102213"/>
      <w:bookmarkEnd w:id="7"/>
      <w:r w:rsidRPr="00827650">
        <w:t>Elements and Performance Criteria Pre-Content</w:t>
      </w:r>
    </w:p>
    <w:p w:rsidR="00000000" w:rsidRPr="00827650" w:rsidP="00827650">
      <w:pPr>
        <w:pStyle w:val="BodyText"/>
      </w:pPr>
      <w:r w:rsidRPr="00827650">
        <w:t>Not applicable.</w:t>
      </w:r>
    </w:p>
    <w:p w:rsidR="00000000" w:rsidRPr="00827650" w:rsidP="00827650">
      <w:pPr>
        <w:pStyle w:val="AllowPageBreak"/>
      </w:pPr>
    </w:p>
    <w:p w:rsidR="00000000" w:rsidRPr="00827650" w:rsidP="00827650">
      <w:pPr>
        <w:pStyle w:val="Heading1"/>
      </w:pPr>
      <w:bookmarkStart w:id="8" w:name="O_102214"/>
      <w:bookmarkEnd w:id="8"/>
      <w:r w:rsidRPr="00827650">
        <w:t>Elements and Performance Criteria</w:t>
      </w:r>
    </w:p>
    <w:tbl>
      <w:tblPr>
        <w:tblW w:w="0" w:type="auto"/>
        <w:tblCellMar>
          <w:left w:w="62" w:type="dxa"/>
          <w:right w:w="62" w:type="dxa"/>
        </w:tblCellMar>
        <w:tblLook w:val="0000"/>
      </w:tblPr>
      <w:tblGrid>
        <w:gridCol w:w="2644"/>
        <w:gridCol w:w="6552"/>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PERFORMANCE CRITERIA</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List"/>
              <w:rPr>
                <w:lang w:val="en-NZ"/>
              </w:rPr>
            </w:pPr>
            <w:r w:rsidRPr="00827650">
              <w:t>1.</w:t>
            </w:r>
            <w:r w:rsidRPr="00827650">
              <w:tab/>
              <w:t>Produce slabs to specification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List2"/>
            </w:pPr>
            <w:r w:rsidRPr="00827650">
              <w:t>1.1.</w:t>
            </w:r>
            <w:r w:rsidRPr="00827650">
              <w:tab/>
            </w:r>
            <w:r w:rsidRPr="00827650">
              <w:t>Adjust contents of ladle in accordance with procedures</w:t>
            </w:r>
          </w:p>
          <w:p w:rsidR="00000000" w:rsidRPr="00827650" w:rsidP="00827650">
            <w:pPr>
              <w:pStyle w:val="List2"/>
            </w:pPr>
            <w:r w:rsidRPr="00827650">
              <w:t>1.2.</w:t>
            </w:r>
            <w:r w:rsidRPr="00827650">
              <w:tab/>
              <w:t>Monitor continuous casting process in accordance with standard operating procedure</w:t>
            </w:r>
          </w:p>
          <w:p w:rsidR="00000000" w:rsidRPr="00827650" w:rsidP="00827650">
            <w:pPr>
              <w:pStyle w:val="List2"/>
            </w:pPr>
            <w:r w:rsidRPr="00827650">
              <w:t>1.3.</w:t>
            </w:r>
            <w:r w:rsidRPr="00827650">
              <w:tab/>
              <w:t>Apply metallurgical principles to determine and prioritise required actions in accordance with standard oper</w:t>
            </w:r>
            <w:r w:rsidRPr="00827650">
              <w:t>ating procedures</w:t>
            </w:r>
          </w:p>
          <w:p w:rsidR="00000000" w:rsidRPr="00827650" w:rsidP="00827650">
            <w:pPr>
              <w:pStyle w:val="List2"/>
            </w:pPr>
            <w:r w:rsidRPr="00827650">
              <w:t>1.4.</w:t>
            </w:r>
            <w:r w:rsidRPr="00827650">
              <w:tab/>
              <w:t>Record adjustments and variations to specifications / schedules and report to appropriate personnel</w:t>
            </w:r>
          </w:p>
          <w:p w:rsidR="00000000" w:rsidRPr="00827650" w:rsidP="00827650">
            <w:pPr>
              <w:pStyle w:val="List2"/>
            </w:pPr>
            <w:r w:rsidRPr="00827650">
              <w:t>1.5.</w:t>
            </w:r>
            <w:r w:rsidRPr="00827650">
              <w:tab/>
              <w:t>All events outside of parameters or standard operating procedures is immediately referred to appropriate personnel for remedial a</w:t>
            </w:r>
            <w:r w:rsidRPr="00827650">
              <w:t>ction</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9" w:name="O_102215"/>
      <w:bookmarkEnd w:id="9"/>
      <w:r w:rsidRPr="00827650">
        <w:t>Required Skills and Knowledge</w:t>
      </w:r>
    </w:p>
    <w:tbl>
      <w:tblPr>
        <w:tblW w:w="0" w:type="auto"/>
        <w:tblCellMar>
          <w:left w:w="62" w:type="dxa"/>
          <w:right w:w="62" w:type="dxa"/>
        </w:tblCellMar>
        <w:tblLook w:val="0000"/>
      </w:tblPr>
      <w:tblGrid>
        <w:gridCol w:w="9196"/>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REQUIRED SKILLS AND KNOWLEDGE</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t>This describes the essential skills and knowledge and their level, required for this unit.</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Required skills</w:t>
            </w:r>
            <w:r w:rsidRPr="00827650">
              <w:t>:</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ListBullet"/>
            </w:pPr>
            <w:r w:rsidRPr="00827650">
              <w:t>Carry out all work according to OH&amp;S practices</w:t>
            </w:r>
          </w:p>
          <w:p w:rsidR="00000000" w:rsidRPr="00827650" w:rsidP="00827650">
            <w:pPr>
              <w:pStyle w:val="ListBullet"/>
            </w:pPr>
            <w:r w:rsidRPr="00827650">
              <w:t>Read, interpret and follow information on work specifications, standard operating procedures and work instructions and other reference material</w:t>
            </w:r>
          </w:p>
          <w:p w:rsidR="00000000" w:rsidRPr="00827650" w:rsidP="00827650">
            <w:pPr>
              <w:pStyle w:val="ListBullet"/>
            </w:pPr>
            <w:r w:rsidRPr="00827650">
              <w:t>Maintain accurate records</w:t>
            </w:r>
          </w:p>
          <w:p w:rsidR="00000000" w:rsidRPr="00827650" w:rsidP="00827650">
            <w:pPr>
              <w:pStyle w:val="ListBullet"/>
            </w:pPr>
            <w:r w:rsidRPr="00827650">
              <w:t>Meet specifications for furnace output</w:t>
            </w:r>
          </w:p>
          <w:p w:rsidR="00000000" w:rsidP="00827650">
            <w:pPr>
              <w:pStyle w:val="ListBullet"/>
              <w:rPr>
                <w:lang w:val="en-NZ"/>
              </w:rPr>
            </w:pPr>
            <w:r w:rsidRPr="00827650">
              <w:t>Communicate within the workplace</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Required knowledge</w:t>
            </w:r>
            <w:r w:rsidRPr="00827650">
              <w:t>:</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t>Competency includes sufficient knowledge of:</w:t>
            </w:r>
          </w:p>
          <w:p w:rsidR="00000000" w:rsidRPr="00827650" w:rsidP="00827650">
            <w:pPr>
              <w:pStyle w:val="ListBullet"/>
            </w:pPr>
            <w:r w:rsidRPr="00827650">
              <w:t>post steelmaking methods employed</w:t>
            </w:r>
          </w:p>
          <w:p w:rsidR="00000000" w:rsidRPr="00827650" w:rsidP="00827650">
            <w:pPr>
              <w:pStyle w:val="ListBullet3"/>
            </w:pPr>
            <w:r w:rsidRPr="00827650">
              <w:t>ladler stirring</w:t>
            </w:r>
          </w:p>
          <w:p w:rsidR="00000000" w:rsidRPr="00827650" w:rsidP="00827650">
            <w:pPr>
              <w:pStyle w:val="ListBullet3"/>
            </w:pPr>
            <w:r w:rsidRPr="00827650">
              <w:t>adle heating/ladle furnace</w:t>
            </w:r>
          </w:p>
          <w:p w:rsidR="00000000" w:rsidRPr="00827650" w:rsidP="00827650">
            <w:pPr>
              <w:pStyle w:val="ListBullet3"/>
            </w:pPr>
            <w:r w:rsidRPr="00827650">
              <w:t>degassing - vacuum, ladle, stream, circulating.</w:t>
            </w:r>
          </w:p>
          <w:p w:rsidR="00000000" w:rsidRPr="00827650" w:rsidP="00827650">
            <w:pPr>
              <w:pStyle w:val="ListBullet3"/>
            </w:pPr>
            <w:r w:rsidRPr="00827650">
              <w:t>argon oxygen decarburation (AOD)</w:t>
            </w:r>
          </w:p>
          <w:p w:rsidR="00000000" w:rsidRPr="00827650" w:rsidP="00827650">
            <w:pPr>
              <w:pStyle w:val="ListBullet3"/>
            </w:pPr>
            <w:r w:rsidRPr="00827650">
              <w:t>lectroslag refining, remelting (ESR)</w:t>
            </w:r>
          </w:p>
          <w:p w:rsidR="00000000" w:rsidRPr="00827650" w:rsidP="00827650">
            <w:pPr>
              <w:pStyle w:val="ListBullet3"/>
            </w:pPr>
            <w:r w:rsidRPr="00827650">
              <w:t>vacuum melting e.g. VAR</w:t>
            </w:r>
          </w:p>
          <w:p w:rsidR="00000000" w:rsidRPr="00827650" w:rsidP="00827650">
            <w:pPr>
              <w:pStyle w:val="ListBullet"/>
            </w:pPr>
            <w:r w:rsidRPr="00827650">
              <w:t>types of steel - ingot characteristics (rimmed, capped, killed and semi-killed)</w:t>
            </w:r>
          </w:p>
          <w:p w:rsidR="00000000" w:rsidRPr="00827650" w:rsidP="00827650">
            <w:pPr>
              <w:pStyle w:val="ListBullet"/>
            </w:pPr>
            <w:r w:rsidRPr="00827650">
              <w:t>factors contributing to successful casting</w:t>
            </w:r>
          </w:p>
          <w:p w:rsidR="00000000" w:rsidRPr="00827650" w:rsidP="00827650">
            <w:pPr>
              <w:pStyle w:val="ListBullet"/>
            </w:pPr>
            <w:r w:rsidRPr="00827650">
              <w:t xml:space="preserve">ingots </w:t>
            </w:r>
          </w:p>
          <w:p w:rsidR="00000000" w:rsidRPr="00827650" w:rsidP="00827650">
            <w:pPr>
              <w:pStyle w:val="ListBullet2"/>
            </w:pPr>
            <w:r w:rsidRPr="00827650">
              <w:t>influence of pouring techniques on structures of ingots</w:t>
            </w:r>
          </w:p>
          <w:p w:rsidR="00000000" w:rsidRPr="00827650" w:rsidP="00827650">
            <w:pPr>
              <w:pStyle w:val="ListBullet2"/>
            </w:pPr>
            <w:r w:rsidRPr="00827650">
              <w:t>pit practices</w:t>
            </w:r>
          </w:p>
          <w:p w:rsidR="00000000" w:rsidRPr="00827650" w:rsidP="00827650">
            <w:pPr>
              <w:pStyle w:val="ListBullet2"/>
            </w:pPr>
            <w:r w:rsidRPr="00827650">
              <w:t>teeming - type of ingot moulds</w:t>
            </w:r>
          </w:p>
          <w:p w:rsidR="00000000" w:rsidRPr="00827650" w:rsidP="00827650">
            <w:pPr>
              <w:pStyle w:val="ListBullet"/>
            </w:pPr>
            <w:r w:rsidRPr="00827650">
              <w:t>mode of solidification</w:t>
            </w:r>
          </w:p>
          <w:p w:rsidR="00000000" w:rsidRPr="00827650" w:rsidP="00827650">
            <w:pPr>
              <w:pStyle w:val="ListBullet2"/>
            </w:pPr>
            <w:r w:rsidRPr="00827650">
              <w:t>types of ingot structure</w:t>
            </w:r>
          </w:p>
          <w:p w:rsidR="00000000" w:rsidRPr="00827650" w:rsidP="00827650">
            <w:pPr>
              <w:pStyle w:val="ListBullet2"/>
            </w:pPr>
            <w:r w:rsidRPr="00827650">
              <w:t>control of ingot structure</w:t>
            </w:r>
          </w:p>
          <w:p w:rsidR="00000000" w:rsidRPr="00827650" w:rsidP="00827650">
            <w:pPr>
              <w:pStyle w:val="ListBullet2"/>
            </w:pPr>
            <w:r w:rsidRPr="00827650">
              <w:t>ingot defects</w:t>
            </w:r>
          </w:p>
          <w:p w:rsidR="00000000" w:rsidRPr="00827650" w:rsidP="00827650">
            <w:pPr>
              <w:pStyle w:val="ListBullet"/>
            </w:pPr>
            <w:r w:rsidRPr="00827650">
              <w:t>continuous casting processes</w:t>
            </w:r>
          </w:p>
          <w:p w:rsidR="00000000" w:rsidRPr="00827650" w:rsidP="00827650">
            <w:pPr>
              <w:pStyle w:val="ListBullet2"/>
            </w:pPr>
            <w:r w:rsidRPr="00827650">
              <w:t>basic principles</w:t>
            </w:r>
          </w:p>
          <w:p w:rsidR="00000000" w:rsidRPr="00827650" w:rsidP="00827650">
            <w:pPr>
              <w:pStyle w:val="ListBullet2"/>
            </w:pPr>
            <w:r w:rsidRPr="00827650">
              <w:t>need for concast</w:t>
            </w:r>
          </w:p>
          <w:p w:rsidR="00000000" w:rsidRPr="00827650" w:rsidP="00827650">
            <w:pPr>
              <w:pStyle w:val="ListBullet2"/>
            </w:pPr>
            <w:r w:rsidRPr="00827650">
              <w:t>development - new technologies and facilities of contin</w:t>
            </w:r>
            <w:r w:rsidRPr="00827650">
              <w:t>uous casting for concast</w:t>
            </w:r>
          </w:p>
          <w:p w:rsidR="00000000" w:rsidRPr="00827650" w:rsidP="00827650">
            <w:pPr>
              <w:pStyle w:val="ListBullet2"/>
            </w:pPr>
            <w:r w:rsidRPr="00827650">
              <w:t>types of concast units - VCC, HCC, curvilinear</w:t>
            </w:r>
          </w:p>
          <w:p w:rsidR="00000000" w:rsidRPr="00827650" w:rsidP="00827650">
            <w:pPr>
              <w:pStyle w:val="ListBullet2"/>
            </w:pPr>
            <w:r w:rsidRPr="00827650">
              <w:t>description of plant equipment and process principles ,concast operations</w:t>
            </w:r>
          </w:p>
          <w:p w:rsidR="00000000" w:rsidRPr="00827650" w:rsidP="00827650">
            <w:pPr>
              <w:pStyle w:val="ListBullet"/>
            </w:pPr>
            <w:r w:rsidRPr="00827650">
              <w:t>metallurgical aspects</w:t>
            </w:r>
          </w:p>
          <w:p w:rsidR="00000000" w:rsidRPr="00827650" w:rsidP="00827650">
            <w:pPr>
              <w:pStyle w:val="ListBullet2"/>
            </w:pPr>
            <w:r w:rsidRPr="00827650">
              <w:t>instrumentation - sensor quality</w:t>
            </w:r>
          </w:p>
          <w:p w:rsidR="00000000" w:rsidRPr="00827650" w:rsidP="00827650">
            <w:pPr>
              <w:pStyle w:val="ListBullet2"/>
            </w:pPr>
            <w:r w:rsidRPr="00827650">
              <w:t>solidification/internal quality</w:t>
            </w:r>
          </w:p>
          <w:p w:rsidR="00000000" w:rsidRPr="00827650" w:rsidP="00827650">
            <w:pPr>
              <w:pStyle w:val="ListBullet2"/>
            </w:pPr>
            <w:r w:rsidRPr="00827650">
              <w:t>defects and their origin - avoidance of defects</w:t>
            </w:r>
          </w:p>
          <w:p w:rsidR="00000000" w:rsidRPr="00827650" w:rsidP="00827650">
            <w:pPr>
              <w:pStyle w:val="ListBullet2"/>
            </w:pPr>
            <w:r w:rsidRPr="00827650">
              <w:t>compare concast units and static ingot production</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10" w:name="O_102216"/>
      <w:bookmarkEnd w:id="10"/>
      <w:r w:rsidRPr="00827650">
        <w:t>Evidence Guide</w:t>
      </w:r>
    </w:p>
    <w:tbl>
      <w:tblPr>
        <w:tblW w:w="0" w:type="auto"/>
        <w:tblCellMar>
          <w:left w:w="62" w:type="dxa"/>
          <w:right w:w="62" w:type="dxa"/>
        </w:tblCellMar>
        <w:tblLook w:val="0000"/>
      </w:tblPr>
      <w:tblGrid>
        <w:gridCol w:w="2515"/>
        <w:gridCol w:w="6681"/>
      </w:tblGrid>
      <w:tr w:rsidTr="000C35D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EVIDENCE GUIDE</w:t>
            </w:r>
          </w:p>
        </w:tc>
      </w:tr>
      <w:tr w:rsidTr="000C35D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t>The Evidence Guide provides advice on assessment and must be read in conjunction with the Performance Criteria, Required Skills and Knowledge, the Range Statement and the Assessment Guidelines for the Training Package.</w:t>
            </w:r>
          </w:p>
        </w:tc>
      </w:tr>
      <w:tr w:rsidTr="000C35DA">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27650">
            <w:pPr>
              <w:pStyle w:val="BodyText"/>
              <w:rPr>
                <w:lang w:val="en-NZ"/>
              </w:rPr>
            </w:pPr>
            <w:r w:rsidRPr="00827650">
              <w:t>A person who</w:t>
            </w:r>
            <w:r w:rsidRPr="00827650">
              <w:t xml:space="preserve"> demonstrates competency in this unit must be able to monitor secondary steelmaking operations. Critical aspects for assessment and evidence are required to demonstrate competency in this unit.</w:t>
            </w:r>
          </w:p>
        </w:tc>
      </w:tr>
      <w:tr w:rsidTr="000C35DA">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827650" w:rsidP="00827650">
            <w:pPr>
              <w:pStyle w:val="BodyText"/>
            </w:pPr>
            <w:r w:rsidRPr="00827650">
              <w:t>It is essential that competence is demonstrated in the ability to:</w:t>
            </w:r>
          </w:p>
          <w:p w:rsidR="00000000" w:rsidRPr="00827650" w:rsidP="00827650">
            <w:pPr>
              <w:pStyle w:val="ListBullet"/>
            </w:pPr>
            <w:r w:rsidRPr="00827650">
              <w:t>Use OH&amp;S practices in accordance with standard operating procedures</w:t>
            </w:r>
          </w:p>
          <w:p w:rsidR="00000000" w:rsidRPr="00827650" w:rsidP="00827650">
            <w:pPr>
              <w:pStyle w:val="ListBullet"/>
            </w:pPr>
            <w:r w:rsidRPr="00827650">
              <w:t>Explain the general princip</w:t>
            </w:r>
            <w:r w:rsidRPr="00827650">
              <w:t>les of continuous casting</w:t>
            </w:r>
          </w:p>
          <w:p w:rsidR="00000000" w:rsidP="00827650">
            <w:pPr>
              <w:pStyle w:val="ListBullet"/>
              <w:rPr>
                <w:lang w:val="en-NZ"/>
              </w:rPr>
            </w:pPr>
            <w:r w:rsidRPr="00827650">
              <w:t>Monitor the operation of a continuous cast process under direction and  consistently achieve required slab output specification</w:t>
            </w:r>
          </w:p>
        </w:tc>
      </w:tr>
      <w:tr w:rsidTr="000C35DA">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27650">
            <w:pPr>
              <w:pStyle w:val="BodyText"/>
              <w:rPr>
                <w:lang w:val="en-NZ"/>
              </w:rPr>
            </w:pPr>
            <w:r w:rsidRPr="00827650">
              <w:t>This unit may be assessed concurrently with other relevant units.</w:t>
            </w:r>
          </w:p>
        </w:tc>
      </w:tr>
      <w:tr w:rsidTr="000C35DA">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Assess</w:t>
            </w:r>
            <w:r w:rsidRPr="00827650">
              <w:rPr>
                <w:rStyle w:val="SpecialBold"/>
              </w:rPr>
              <w:t>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827650" w:rsidP="00827650">
            <w:pPr>
              <w:pStyle w:val="BodyText"/>
            </w:pPr>
            <w:r w:rsidRPr="00827650">
              <w:t>Assessors must be satisfied that the person can consistently perform the unit as a whole, as defined by the elements, performance criteria, skills and knowledge.  A holistic approach should be taken to the assessment.</w:t>
            </w:r>
          </w:p>
          <w:p w:rsidR="00000000" w:rsidRPr="00827650" w:rsidP="00827650">
            <w:pPr>
              <w:pStyle w:val="BodyText"/>
            </w:pPr>
            <w:r w:rsidRPr="00827650">
              <w:t>Assessors shou</w:t>
            </w:r>
            <w:r w:rsidRPr="00827650">
              <w:t>ld gather sufficient, fair, valid, reliable, authentic and current evidence from a range of sources.  Sources of evidence may include direct observation, reports from supervisors, peers and colleagues, project work, samples, organisation records and questi</w:t>
            </w:r>
            <w:r w:rsidRPr="00827650">
              <w:t>oning.  Assessment should not require language, literacy or numeracy skills beyond those required for the unit.</w:t>
            </w:r>
          </w:p>
          <w:p w:rsidR="00000000" w:rsidRPr="00827650" w:rsidP="00827650">
            <w:pPr>
              <w:pStyle w:val="BodyText"/>
            </w:pPr>
            <w:r w:rsidRPr="00827650">
              <w:t>The assessee will have access to all techniques, procedures, information, resources and aids which would normally be available in the workplace.</w:t>
            </w:r>
          </w:p>
          <w:p w:rsidR="00000000" w:rsidP="00827650">
            <w:pPr>
              <w:pStyle w:val="BodyText"/>
              <w:rPr>
                <w:lang w:val="en-NZ"/>
              </w:rPr>
            </w:pPr>
            <w:r w:rsidRPr="00827650">
              <w:t>The method of assessment should be discussed and agreed with the assessee prior to the commencement of assessment.</w:t>
            </w:r>
          </w:p>
        </w:tc>
      </w:tr>
      <w:tr w:rsidTr="000C35D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t>This section should be read in conjunction with the range of variables for this unit of competency. Resources required include suitable access to an operating plant or equipment that allows for appropriate and realistic simulation. A bank of case studies/s</w:t>
            </w:r>
            <w:r w:rsidRPr="00827650">
              <w:t>cenarios and questions will also be required to the extent that they form part of the assessment method. Questioning may take place either in the workplace, or in an adjacent, quiet facility such as an office or lunchroom. No other special resources are re</w:t>
            </w:r>
            <w:r w:rsidRPr="00827650">
              <w:t>quired.</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11" w:name="O_102217"/>
      <w:bookmarkEnd w:id="11"/>
      <w:r w:rsidRPr="00827650">
        <w:t>Range Statement</w:t>
      </w:r>
    </w:p>
    <w:tbl>
      <w:tblPr>
        <w:tblW w:w="0" w:type="auto"/>
        <w:tblCellMar>
          <w:left w:w="62" w:type="dxa"/>
          <w:right w:w="62" w:type="dxa"/>
        </w:tblCellMar>
        <w:tblLook w:val="0000"/>
      </w:tblPr>
      <w:tblGrid>
        <w:gridCol w:w="2510"/>
        <w:gridCol w:w="6686"/>
      </w:tblGrid>
      <w:tr w:rsidTr="000C35D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RANGE STATEMENT</w:t>
            </w:r>
          </w:p>
        </w:tc>
      </w:tr>
      <w:tr w:rsidTr="000C35D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t xml:space="preserve">The range statement relates to the unit of competency as a whole. It allows for different work environments and situations that may affect </w:t>
            </w:r>
            <w:r w:rsidRPr="00827650">
              <w:t>performance. Bold italicised wording, if used in the performance criteria, is detailed below. Essential operating conditions that may be present with training and assessment (depending on the work situation, needs of the candidate, accessibility of the ite</w:t>
            </w:r>
            <w:r w:rsidRPr="00827650">
              <w:t>m, and local industry and regional contexts) may also be included.</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Codes of practice</w:t>
            </w:r>
            <w:r w:rsidRPr="00827650">
              <w:t>/</w:t>
            </w:r>
            <w:r w:rsidRPr="0082765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t>Where reference is made to industry codes of practice, and/or Australian/international standards, it is expected the latest version will be used.</w:t>
            </w:r>
          </w:p>
        </w:tc>
      </w:tr>
      <w:tr w:rsidTr="000C35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Metallurgica</w:t>
            </w:r>
            <w:r w:rsidRPr="00827650">
              <w:rPr>
                <w:rStyle w:val="SpecialBold"/>
              </w:rPr>
              <w:t>l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ListBullet"/>
            </w:pPr>
            <w:r w:rsidRPr="00827650">
              <w:t>Post steelmaking methods employed</w:t>
            </w:r>
          </w:p>
          <w:p w:rsidR="00000000" w:rsidRPr="00827650" w:rsidP="00827650">
            <w:pPr>
              <w:pStyle w:val="ListBullet"/>
            </w:pPr>
            <w:r w:rsidRPr="00827650">
              <w:t>Types of steel - ingot characteristics (Rimmed, capped, killed and semi-killed)</w:t>
            </w:r>
          </w:p>
          <w:p w:rsidR="00000000" w:rsidRPr="00827650" w:rsidP="00827650">
            <w:pPr>
              <w:pStyle w:val="ListBullet"/>
            </w:pPr>
            <w:r w:rsidRPr="00827650">
              <w:t>Factors contributing to successful casting</w:t>
            </w:r>
          </w:p>
          <w:p w:rsidR="00000000" w:rsidRPr="00827650" w:rsidP="00827650">
            <w:pPr>
              <w:pStyle w:val="ListBullet"/>
            </w:pPr>
            <w:r w:rsidRPr="00827650">
              <w:t>Mode of solidification</w:t>
            </w:r>
          </w:p>
          <w:p w:rsidR="00000000" w:rsidRPr="00827650" w:rsidP="00827650">
            <w:pPr>
              <w:pStyle w:val="ListBullet"/>
            </w:pPr>
            <w:r w:rsidRPr="00827650">
              <w:t>Continuous Casting Processes</w:t>
            </w:r>
          </w:p>
          <w:p w:rsidR="00000000" w:rsidRPr="00827650" w:rsidP="00827650">
            <w:pPr>
              <w:pStyle w:val="ListBullet"/>
            </w:pPr>
            <w:r w:rsidRPr="00827650">
              <w:t>Metallurgical aspects</w:t>
            </w:r>
          </w:p>
        </w:tc>
      </w:tr>
    </w:tbl>
    <w:p w:rsidR="000C35DA" w:rsidP="00827650">
      <w:pPr>
        <w:pStyle w:val="BodyText"/>
      </w:pPr>
    </w:p>
    <w:p w:rsidR="000C35DA" w:rsidP="00827650">
      <w:pPr>
        <w:pStyle w:val="BodyText"/>
      </w:pPr>
    </w:p>
    <w:p w:rsidR="00000000" w:rsidRPr="00827650" w:rsidP="00827650">
      <w:pPr>
        <w:pStyle w:val="Heading1"/>
      </w:pPr>
      <w:bookmarkStart w:id="12" w:name="O_102218"/>
      <w:bookmarkEnd w:id="12"/>
      <w:r w:rsidRPr="00827650">
        <w:t>Unit Sector(s)</w:t>
      </w:r>
    </w:p>
    <w:tbl>
      <w:tblPr>
        <w:tblW w:w="0" w:type="auto"/>
        <w:tblCellMar>
          <w:left w:w="62" w:type="dxa"/>
          <w:right w:w="62" w:type="dxa"/>
        </w:tblCellMar>
        <w:tblLook w:val="0000"/>
      </w:tblPr>
      <w:tblGrid>
        <w:gridCol w:w="2376"/>
        <w:gridCol w:w="6820"/>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r w:rsidRPr="00827650">
              <w:t>Metallurgy</w:t>
            </w: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13" w:name="O_159350"/>
      <w:bookmarkEnd w:id="13"/>
      <w:r w:rsidRPr="00827650">
        <w:t>Competency field</w:t>
      </w:r>
    </w:p>
    <w:tbl>
      <w:tblPr>
        <w:tblW w:w="0" w:type="auto"/>
        <w:tblCellMar>
          <w:left w:w="62" w:type="dxa"/>
          <w:right w:w="62" w:type="dxa"/>
        </w:tblCellMar>
        <w:tblLook w:val="0000"/>
      </w:tblPr>
      <w:tblGrid>
        <w:gridCol w:w="2376"/>
        <w:gridCol w:w="6820"/>
      </w:tblGrid>
      <w:tr w:rsidTr="000C35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p>
        </w:tc>
      </w:tr>
    </w:tbl>
    <w:p w:rsidR="00000000" w:rsidRPr="00827650" w:rsidP="00827650">
      <w:pPr>
        <w:pStyle w:val="BodyText"/>
      </w:pPr>
    </w:p>
    <w:p w:rsidR="00000000" w:rsidRPr="00827650" w:rsidP="00827650">
      <w:pPr>
        <w:pStyle w:val="AllowPageBreak"/>
      </w:pPr>
    </w:p>
    <w:p w:rsidR="00000000" w:rsidRPr="00827650" w:rsidP="00827650">
      <w:pPr>
        <w:pStyle w:val="Heading1"/>
      </w:pPr>
      <w:bookmarkStart w:id="14" w:name="O_159349"/>
      <w:bookmarkEnd w:id="14"/>
      <w:r w:rsidRPr="00827650">
        <w:t>Co-requisite units</w:t>
      </w:r>
    </w:p>
    <w:tbl>
      <w:tblPr>
        <w:tblW w:w="0" w:type="auto"/>
        <w:tblCellMar>
          <w:left w:w="62" w:type="dxa"/>
          <w:right w:w="62" w:type="dxa"/>
        </w:tblCellMar>
        <w:tblLook w:val="0000"/>
      </w:tblPr>
      <w:tblGrid>
        <w:gridCol w:w="2376"/>
        <w:gridCol w:w="1739"/>
        <w:gridCol w:w="5081"/>
      </w:tblGrid>
      <w:tr w:rsidTr="000C35DA">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r w:rsidRPr="0082765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50">
            <w:pPr>
              <w:pStyle w:val="BodyText"/>
              <w:rPr>
                <w:lang w:val="en-NZ"/>
              </w:rPr>
            </w:pPr>
          </w:p>
        </w:tc>
      </w:tr>
      <w:tr w:rsidTr="000C35DA">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50" w:rsidP="00827650">
            <w:pPr>
              <w:pStyle w:val="BodyText"/>
            </w:pPr>
          </w:p>
        </w:tc>
      </w:tr>
    </w:tbl>
    <w:p w:rsidR="00000000" w:rsidRPr="00827650" w:rsidP="00827650">
      <w:pPr>
        <w:pStyle w:val="BodyText"/>
      </w:pPr>
    </w:p>
    <w:p w:rsidR="00000000" w:rsidRPr="00827650" w:rsidP="00827650"/>
    <w:sectPr w:rsidSect="008276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5DA" w:rsidP="000C3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5DA" w:rsidP="008276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35DA" w:rsidP="008276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35DA" w:rsidP="008276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5DA" w:rsidP="000C35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5DA" w:rsidP="00827650">
    <w:pPr>
      <w:pStyle w:val="Header"/>
      <w:framePr w:wrap="around"/>
    </w:pPr>
    <w:r>
      <w:fldChar w:fldCharType="begin"/>
    </w:r>
    <w:r>
      <w:instrText xml:space="preserve"> TITLE   \* MERGEFORMAT </w:instrText>
    </w:r>
    <w:r>
      <w:fldChar w:fldCharType="separate"/>
    </w:r>
    <w:r>
      <w:t>MSATCM508A Monitor secondary steelmaking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35DA" w:rsidP="008276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C0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AE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602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6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650"/>
    <w:pPr>
      <w:spacing w:before="360" w:after="60"/>
      <w:outlineLvl w:val="0"/>
    </w:pPr>
    <w:rPr>
      <w:sz w:val="32"/>
    </w:rPr>
  </w:style>
  <w:style w:type="paragraph" w:styleId="Heading2">
    <w:name w:val="heading 2"/>
    <w:basedOn w:val="HeadingBase"/>
    <w:next w:val="BodyText"/>
    <w:link w:val="Heading2Char"/>
    <w:qFormat/>
    <w:rsid w:val="00827650"/>
    <w:pPr>
      <w:keepLines/>
      <w:spacing w:before="240" w:after="120"/>
      <w:outlineLvl w:val="1"/>
    </w:pPr>
    <w:rPr>
      <w:sz w:val="28"/>
      <w:szCs w:val="40"/>
    </w:rPr>
  </w:style>
  <w:style w:type="paragraph" w:styleId="Heading3">
    <w:name w:val="heading 3"/>
    <w:basedOn w:val="HeadingBase"/>
    <w:next w:val="BodyText"/>
    <w:link w:val="Heading3Char"/>
    <w:qFormat/>
    <w:rsid w:val="00827650"/>
    <w:pPr>
      <w:spacing w:before="180" w:after="120"/>
      <w:outlineLvl w:val="2"/>
    </w:pPr>
    <w:rPr>
      <w:spacing w:val="-10"/>
      <w:kern w:val="32"/>
    </w:rPr>
  </w:style>
  <w:style w:type="paragraph" w:styleId="Heading4">
    <w:name w:val="heading 4"/>
    <w:basedOn w:val="HeadingBase"/>
    <w:next w:val="BodyText"/>
    <w:link w:val="Heading4Char"/>
    <w:qFormat/>
    <w:rsid w:val="00827650"/>
    <w:pPr>
      <w:spacing w:before="160" w:after="120"/>
      <w:outlineLvl w:val="3"/>
    </w:pPr>
    <w:rPr>
      <w:sz w:val="22"/>
    </w:rPr>
  </w:style>
  <w:style w:type="paragraph" w:styleId="Heading5">
    <w:name w:val="heading 5"/>
    <w:basedOn w:val="HeadingBase"/>
    <w:next w:val="Normal"/>
    <w:link w:val="Heading5Char"/>
    <w:qFormat/>
    <w:rsid w:val="00827650"/>
    <w:pPr>
      <w:spacing w:before="80"/>
      <w:outlineLvl w:val="4"/>
    </w:pPr>
    <w:rPr>
      <w:color w:val="918585"/>
      <w:sz w:val="20"/>
    </w:rPr>
  </w:style>
  <w:style w:type="paragraph" w:styleId="Heading6">
    <w:name w:val="heading 6"/>
    <w:basedOn w:val="HeadingBase"/>
    <w:next w:val="Normal"/>
    <w:link w:val="Heading6Char"/>
    <w:qFormat/>
    <w:rsid w:val="00827650"/>
    <w:pPr>
      <w:spacing w:before="60"/>
      <w:outlineLvl w:val="5"/>
    </w:pPr>
    <w:rPr>
      <w:color w:val="918585"/>
      <w:sz w:val="20"/>
    </w:rPr>
  </w:style>
  <w:style w:type="paragraph" w:styleId="Heading7">
    <w:name w:val="heading 7"/>
    <w:basedOn w:val="Normal"/>
    <w:next w:val="Normal"/>
    <w:link w:val="Heading7Char"/>
    <w:qFormat/>
    <w:rsid w:val="00827650"/>
    <w:pPr>
      <w:ind w:left="720"/>
      <w:outlineLvl w:val="6"/>
    </w:pPr>
    <w:rPr>
      <w:i/>
    </w:rPr>
  </w:style>
  <w:style w:type="paragraph" w:styleId="Heading8">
    <w:name w:val="heading 8"/>
    <w:basedOn w:val="Normal"/>
    <w:next w:val="Normal"/>
    <w:link w:val="Heading8Char"/>
    <w:qFormat/>
    <w:rsid w:val="00827650"/>
    <w:pPr>
      <w:ind w:left="720"/>
      <w:outlineLvl w:val="7"/>
    </w:pPr>
    <w:rPr>
      <w:i/>
    </w:rPr>
  </w:style>
  <w:style w:type="paragraph" w:styleId="Heading9">
    <w:name w:val="heading 9"/>
    <w:basedOn w:val="Normal"/>
    <w:next w:val="Normal"/>
    <w:link w:val="Heading9Char"/>
    <w:qFormat/>
    <w:rsid w:val="00827650"/>
    <w:pPr>
      <w:ind w:left="720"/>
      <w:outlineLvl w:val="8"/>
    </w:pPr>
    <w:rPr>
      <w:i/>
    </w:rPr>
  </w:style>
  <w:style w:type="character" w:default="1" w:styleId="DefaultParagraphFont">
    <w:name w:val="Default Paragraph Font"/>
    <w:uiPriority w:val="1"/>
    <w:unhideWhenUsed/>
    <w:rsid w:val="00827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650"/>
  </w:style>
  <w:style w:type="character" w:customStyle="1" w:styleId="Heading1Char">
    <w:name w:val="Heading 1 Char"/>
    <w:link w:val="Heading1"/>
    <w:rsid w:val="00827650"/>
    <w:rPr>
      <w:rFonts w:ascii="Times New Roman" w:eastAsia="Times New Roman" w:hAnsi="Times New Roman" w:cs="Times New Roman"/>
      <w:b/>
      <w:sz w:val="32"/>
      <w:szCs w:val="20"/>
      <w:lang w:eastAsia="en-US"/>
    </w:rPr>
  </w:style>
  <w:style w:type="paragraph" w:styleId="BodyText">
    <w:name w:val="Body Text"/>
    <w:basedOn w:val="Normal"/>
    <w:link w:val="BodyTextChar"/>
    <w:rsid w:val="00827650"/>
    <w:pPr>
      <w:spacing w:before="120" w:after="120"/>
      <w:contextualSpacing/>
    </w:pPr>
    <w:rPr>
      <w:rFonts w:ascii="Times New Roman" w:hAnsi="Times New Roman"/>
      <w:sz w:val="24"/>
      <w:szCs w:val="22"/>
    </w:rPr>
  </w:style>
  <w:style w:type="character" w:customStyle="1" w:styleId="BodyTextChar">
    <w:name w:val="Body Text Char"/>
    <w:link w:val="BodyText"/>
    <w:rsid w:val="00827650"/>
    <w:rPr>
      <w:rFonts w:ascii="Times New Roman" w:eastAsia="Times New Roman" w:hAnsi="Times New Roman" w:cs="Times New Roman"/>
      <w:sz w:val="24"/>
      <w:lang w:val="en-US" w:eastAsia="en-US"/>
    </w:rPr>
  </w:style>
  <w:style w:type="paragraph" w:styleId="Footer">
    <w:name w:val="footer"/>
    <w:basedOn w:val="Normal"/>
    <w:link w:val="FooterChar"/>
    <w:rsid w:val="00827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7650"/>
    <w:rPr>
      <w:rFonts w:ascii="Times New Roman" w:eastAsia="Times New Roman" w:hAnsi="Times New Roman" w:cs="Times New Roman"/>
      <w:sz w:val="16"/>
      <w:lang w:val="en-US" w:eastAsia="en-US"/>
    </w:rPr>
  </w:style>
  <w:style w:type="paragraph" w:styleId="List">
    <w:name w:val="List"/>
    <w:basedOn w:val="BodyText"/>
    <w:next w:val="BodyText"/>
    <w:rsid w:val="00827650"/>
    <w:pPr>
      <w:tabs>
        <w:tab w:val="left" w:pos="340"/>
      </w:tabs>
      <w:spacing w:before="60" w:after="60"/>
      <w:ind w:left="340" w:hanging="340"/>
    </w:pPr>
  </w:style>
  <w:style w:type="paragraph" w:styleId="ListBullet">
    <w:name w:val="List Bullet"/>
    <w:basedOn w:val="List"/>
    <w:rsid w:val="00827650"/>
    <w:pPr>
      <w:numPr>
        <w:numId w:val="14"/>
      </w:numPr>
      <w:tabs>
        <w:tab w:val="clear" w:pos="340"/>
      </w:tabs>
      <w:spacing w:before="40" w:after="40"/>
    </w:pPr>
  </w:style>
  <w:style w:type="character" w:customStyle="1" w:styleId="SpecialBold">
    <w:name w:val="Special Bold"/>
    <w:rsid w:val="00827650"/>
    <w:rPr>
      <w:b/>
      <w:spacing w:val="0"/>
    </w:rPr>
  </w:style>
  <w:style w:type="paragraph" w:styleId="ListBullet2">
    <w:name w:val="List Bullet 2"/>
    <w:basedOn w:val="List2"/>
    <w:rsid w:val="00827650"/>
    <w:pPr>
      <w:numPr>
        <w:numId w:val="15"/>
      </w:numPr>
      <w:tabs>
        <w:tab w:val="clear" w:pos="680"/>
      </w:tabs>
    </w:pPr>
  </w:style>
  <w:style w:type="paragraph" w:styleId="Header">
    <w:name w:val="header"/>
    <w:basedOn w:val="Normal"/>
    <w:link w:val="HeaderChar"/>
    <w:rsid w:val="00827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7650"/>
    <w:rPr>
      <w:rFonts w:ascii="Times New Roman" w:eastAsia="Times New Roman" w:hAnsi="Times New Roman" w:cs="Times New Roman"/>
      <w:sz w:val="16"/>
      <w:szCs w:val="20"/>
      <w:lang w:val="en-GB" w:eastAsia="en-US"/>
    </w:rPr>
  </w:style>
  <w:style w:type="character" w:styleId="Emphasis">
    <w:name w:val="Emphasis"/>
    <w:qFormat/>
    <w:rsid w:val="00827650"/>
    <w:rPr>
      <w:i/>
    </w:rPr>
  </w:style>
  <w:style w:type="paragraph" w:customStyle="1" w:styleId="SuperHeading">
    <w:name w:val="SuperHeading"/>
    <w:basedOn w:val="Normal"/>
    <w:rsid w:val="00827650"/>
    <w:pPr>
      <w:spacing w:before="240" w:after="120"/>
      <w:outlineLvl w:val="0"/>
    </w:pPr>
    <w:rPr>
      <w:rFonts w:ascii="Times New Roman" w:hAnsi="Times New Roman"/>
      <w:b/>
      <w:sz w:val="28"/>
    </w:rPr>
  </w:style>
  <w:style w:type="paragraph" w:customStyle="1" w:styleId="AllowPageBreak">
    <w:name w:val="AllowPageBreak"/>
    <w:rsid w:val="008276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7650"/>
    <w:pPr>
      <w:tabs>
        <w:tab w:val="left" w:pos="680"/>
      </w:tabs>
      <w:spacing w:before="60" w:after="60"/>
      <w:ind w:left="680" w:hanging="340"/>
    </w:pPr>
  </w:style>
  <w:style w:type="paragraph" w:styleId="ListBullet3">
    <w:name w:val="List Bullet 3"/>
    <w:basedOn w:val="List3"/>
    <w:rsid w:val="00827650"/>
    <w:pPr>
      <w:numPr>
        <w:numId w:val="3"/>
      </w:numPr>
      <w:tabs>
        <w:tab w:val="clear" w:pos="1021"/>
      </w:tabs>
      <w:ind w:left="1037" w:hanging="357"/>
    </w:pPr>
  </w:style>
  <w:style w:type="character" w:customStyle="1" w:styleId="Heading2Char">
    <w:name w:val="Heading 2 Char"/>
    <w:link w:val="Heading2"/>
    <w:rsid w:val="00827650"/>
    <w:rPr>
      <w:rFonts w:ascii="Times New Roman" w:eastAsia="Times New Roman" w:hAnsi="Times New Roman" w:cs="Times New Roman"/>
      <w:b/>
      <w:sz w:val="28"/>
      <w:szCs w:val="40"/>
      <w:lang w:eastAsia="en-US"/>
    </w:rPr>
  </w:style>
  <w:style w:type="character" w:customStyle="1" w:styleId="Heading3Char">
    <w:name w:val="Heading 3 Char"/>
    <w:link w:val="Heading3"/>
    <w:rsid w:val="008276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7650"/>
    <w:rPr>
      <w:rFonts w:ascii="Times New Roman" w:eastAsia="Times New Roman" w:hAnsi="Times New Roman" w:cs="Times New Roman"/>
      <w:b/>
      <w:szCs w:val="20"/>
      <w:lang w:eastAsia="en-US"/>
    </w:rPr>
  </w:style>
  <w:style w:type="character" w:customStyle="1" w:styleId="Heading5Char">
    <w:name w:val="Heading 5 Char"/>
    <w:link w:val="Heading5"/>
    <w:rsid w:val="008276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7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6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6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650"/>
    <w:rPr>
      <w:rFonts w:ascii="Courier New" w:eastAsia="Times New Roman" w:hAnsi="Courier New" w:cs="Times New Roman"/>
      <w:i/>
      <w:szCs w:val="20"/>
      <w:lang w:val="en-US" w:eastAsia="en-US"/>
    </w:rPr>
  </w:style>
  <w:style w:type="paragraph" w:customStyle="1" w:styleId="HeadingBase">
    <w:name w:val="Heading Base"/>
    <w:rsid w:val="00827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650"/>
    <w:pPr>
      <w:tabs>
        <w:tab w:val="right" w:leader="dot" w:pos="9072"/>
      </w:tabs>
      <w:ind w:left="567"/>
    </w:pPr>
    <w:rPr>
      <w:szCs w:val="22"/>
    </w:rPr>
  </w:style>
  <w:style w:type="paragraph" w:customStyle="1" w:styleId="TOCBase">
    <w:name w:val="TOC Base"/>
    <w:rsid w:val="00827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650"/>
    <w:pPr>
      <w:tabs>
        <w:tab w:val="right" w:leader="dot" w:pos="9072"/>
      </w:tabs>
      <w:spacing w:before="40" w:after="40"/>
      <w:ind w:left="284"/>
    </w:pPr>
    <w:rPr>
      <w:rFonts w:ascii="Times New Roman" w:hAnsi="Times New Roman"/>
    </w:rPr>
  </w:style>
  <w:style w:type="paragraph" w:styleId="TOC1">
    <w:name w:val="toc 1"/>
    <w:basedOn w:val="TOCBase"/>
    <w:next w:val="Normal"/>
    <w:rsid w:val="008276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650"/>
    <w:pPr>
      <w:spacing w:before="5040"/>
      <w:jc w:val="center"/>
    </w:pPr>
    <w:rPr>
      <w:sz w:val="48"/>
      <w:szCs w:val="72"/>
      <w:lang w:val="en-US"/>
    </w:rPr>
  </w:style>
  <w:style w:type="character" w:customStyle="1" w:styleId="TitleChar">
    <w:name w:val="Title Char"/>
    <w:link w:val="Title"/>
    <w:rsid w:val="00827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650"/>
    <w:pPr>
      <w:tabs>
        <w:tab w:val="left" w:pos="3600"/>
        <w:tab w:val="left" w:pos="3958"/>
      </w:tabs>
    </w:pPr>
  </w:style>
  <w:style w:type="paragraph" w:customStyle="1" w:styleId="Note">
    <w:name w:val="Note"/>
    <w:basedOn w:val="BodyText"/>
    <w:rsid w:val="008276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650"/>
    <w:pPr>
      <w:framePr w:wrap="auto" w:hAnchor="text" w:y="6049"/>
    </w:pPr>
    <w:rPr>
      <w:color w:val="000000"/>
      <w:sz w:val="40"/>
    </w:rPr>
  </w:style>
  <w:style w:type="paragraph" w:customStyle="1" w:styleId="TOCTitle">
    <w:name w:val="TOCTitle"/>
    <w:basedOn w:val="Heading1"/>
    <w:rsid w:val="00827650"/>
    <w:pPr>
      <w:spacing w:after="240"/>
      <w:jc w:val="center"/>
      <w:outlineLvl w:val="9"/>
    </w:pPr>
    <w:rPr>
      <w:caps/>
    </w:rPr>
  </w:style>
  <w:style w:type="paragraph" w:customStyle="1" w:styleId="Version">
    <w:name w:val="Version"/>
    <w:rsid w:val="008276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650"/>
    <w:pPr>
      <w:keepNext w:val="0"/>
      <w:tabs>
        <w:tab w:val="right" w:pos="4176"/>
      </w:tabs>
      <w:ind w:left="198" w:hanging="198"/>
    </w:pPr>
    <w:rPr>
      <w:rFonts w:ascii="Garamond" w:hAnsi="Garamond"/>
    </w:rPr>
  </w:style>
  <w:style w:type="paragraph" w:styleId="IndexHeading">
    <w:name w:val="index heading"/>
    <w:basedOn w:val="Normal"/>
    <w:next w:val="Index1"/>
    <w:semiHidden/>
    <w:rsid w:val="00827650"/>
    <w:pPr>
      <w:spacing w:before="120" w:after="120"/>
    </w:pPr>
    <w:rPr>
      <w:rFonts w:ascii="Arial" w:hAnsi="Arial"/>
      <w:b/>
      <w:color w:val="918585"/>
      <w:sz w:val="24"/>
    </w:rPr>
  </w:style>
  <w:style w:type="paragraph" w:customStyle="1" w:styleId="Chapter">
    <w:name w:val="Chapter"/>
    <w:basedOn w:val="Normal"/>
    <w:rsid w:val="00827650"/>
    <w:pPr>
      <w:spacing w:before="240"/>
    </w:pPr>
    <w:rPr>
      <w:rFonts w:ascii="Times New Roman" w:hAnsi="Times New Roman"/>
      <w:smallCaps/>
      <w:spacing w:val="80"/>
      <w:sz w:val="28"/>
    </w:rPr>
  </w:style>
  <w:style w:type="paragraph" w:customStyle="1" w:styleId="InChapter">
    <w:name w:val="InChapter"/>
    <w:basedOn w:val="Heading3"/>
    <w:rsid w:val="00827650"/>
    <w:pPr>
      <w:spacing w:after="240"/>
      <w:outlineLvl w:val="9"/>
    </w:pPr>
    <w:rPr>
      <w:noProof/>
    </w:rPr>
  </w:style>
  <w:style w:type="paragraph" w:styleId="Index2">
    <w:name w:val="index 2"/>
    <w:basedOn w:val="Normal"/>
    <w:next w:val="Normal"/>
    <w:semiHidden/>
    <w:rsid w:val="00827650"/>
    <w:pPr>
      <w:tabs>
        <w:tab w:val="right" w:pos="4176"/>
      </w:tabs>
      <w:ind w:left="568" w:hanging="284"/>
    </w:pPr>
    <w:rPr>
      <w:rFonts w:ascii="Garamond" w:hAnsi="Garamond"/>
    </w:rPr>
  </w:style>
  <w:style w:type="paragraph" w:customStyle="1" w:styleId="Byline">
    <w:name w:val="Byline"/>
    <w:rsid w:val="00827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650"/>
    <w:pPr>
      <w:tabs>
        <w:tab w:val="clear" w:pos="3600"/>
        <w:tab w:val="clear" w:pos="3958"/>
      </w:tabs>
      <w:jc w:val="right"/>
    </w:pPr>
  </w:style>
  <w:style w:type="paragraph" w:styleId="Caption">
    <w:name w:val="caption"/>
    <w:basedOn w:val="BodyText"/>
    <w:next w:val="Normal"/>
    <w:qFormat/>
    <w:rsid w:val="00827650"/>
    <w:pPr>
      <w:framePr w:w="2268" w:hSpace="181" w:vSpace="181" w:wrap="around" w:vAnchor="text" w:hAnchor="page" w:x="1135" w:y="285" w:anchorLock="1"/>
    </w:pPr>
    <w:rPr>
      <w:i/>
    </w:rPr>
  </w:style>
  <w:style w:type="paragraph" w:customStyle="1" w:styleId="MiniTOCTitle">
    <w:name w:val="MiniTOCTitle"/>
    <w:basedOn w:val="Heading4"/>
    <w:rsid w:val="00827650"/>
    <w:pPr>
      <w:spacing w:before="240"/>
      <w:outlineLvl w:val="9"/>
    </w:pPr>
    <w:rPr>
      <w:noProof/>
      <w:sz w:val="24"/>
    </w:rPr>
  </w:style>
  <w:style w:type="paragraph" w:customStyle="1" w:styleId="MiniTOCItem">
    <w:name w:val="MiniTOCItem"/>
    <w:basedOn w:val="ListBullet"/>
    <w:rsid w:val="00827650"/>
    <w:pPr>
      <w:numPr>
        <w:numId w:val="0"/>
      </w:numPr>
      <w:tabs>
        <w:tab w:val="right" w:leader="dot" w:pos="6521"/>
      </w:tabs>
      <w:spacing w:before="0" w:after="0"/>
    </w:pPr>
  </w:style>
  <w:style w:type="paragraph" w:customStyle="1" w:styleId="TOFTitle">
    <w:name w:val="TOFTitle"/>
    <w:basedOn w:val="TOCTitle"/>
    <w:rsid w:val="00827650"/>
  </w:style>
  <w:style w:type="paragraph" w:styleId="TableofFigures">
    <w:name w:val="table of figures"/>
    <w:basedOn w:val="Normal"/>
    <w:next w:val="Normal"/>
    <w:semiHidden/>
    <w:rsid w:val="00827650"/>
    <w:pPr>
      <w:tabs>
        <w:tab w:val="right" w:leader="dot" w:pos="9072"/>
      </w:tabs>
      <w:ind w:left="970" w:hanging="403"/>
    </w:pPr>
    <w:rPr>
      <w:rFonts w:ascii="Times New Roman" w:hAnsi="Times New Roman"/>
      <w:b/>
    </w:rPr>
  </w:style>
  <w:style w:type="paragraph" w:styleId="ListNumber">
    <w:name w:val="List Number"/>
    <w:basedOn w:val="List"/>
    <w:rsid w:val="00827650"/>
    <w:pPr>
      <w:numPr>
        <w:numId w:val="12"/>
      </w:numPr>
    </w:pPr>
  </w:style>
  <w:style w:type="character" w:customStyle="1" w:styleId="WingdingSymbols">
    <w:name w:val="Wingding Symbols"/>
    <w:rsid w:val="00827650"/>
    <w:rPr>
      <w:rFonts w:ascii="Wingdings" w:hAnsi="Wingdings"/>
    </w:rPr>
  </w:style>
  <w:style w:type="paragraph" w:customStyle="1" w:styleId="TableHeading">
    <w:name w:val="Table Heading"/>
    <w:basedOn w:val="HeadingBase"/>
    <w:rsid w:val="00827650"/>
    <w:pPr>
      <w:keepLines/>
      <w:pBdr>
        <w:bottom w:val="single" w:sz="6" w:space="1" w:color="918585"/>
      </w:pBdr>
      <w:spacing w:before="240"/>
    </w:pPr>
  </w:style>
  <w:style w:type="character" w:customStyle="1" w:styleId="HotSpot">
    <w:name w:val="HotSpot"/>
    <w:rsid w:val="00827650"/>
    <w:rPr>
      <w:color w:val="0033CC"/>
      <w:u w:val="none"/>
    </w:rPr>
  </w:style>
  <w:style w:type="paragraph" w:customStyle="1" w:styleId="BodyTextRight">
    <w:name w:val="Body Text Right"/>
    <w:basedOn w:val="BodyText"/>
    <w:rsid w:val="00827650"/>
    <w:pPr>
      <w:spacing w:before="0" w:after="0"/>
      <w:jc w:val="right"/>
    </w:pPr>
  </w:style>
  <w:style w:type="paragraph" w:styleId="Index3">
    <w:name w:val="index 3"/>
    <w:basedOn w:val="ListNumber2"/>
    <w:next w:val="Normal"/>
    <w:semiHidden/>
    <w:rsid w:val="00827650"/>
    <w:pPr>
      <w:numPr>
        <w:numId w:val="0"/>
      </w:numPr>
      <w:tabs>
        <w:tab w:val="right" w:leader="dot" w:pos="4176"/>
      </w:tabs>
    </w:pPr>
  </w:style>
  <w:style w:type="paragraph" w:styleId="ListNumber2">
    <w:name w:val="List Number 2"/>
    <w:basedOn w:val="List2"/>
    <w:rsid w:val="00827650"/>
    <w:pPr>
      <w:numPr>
        <w:numId w:val="11"/>
      </w:numPr>
      <w:tabs>
        <w:tab w:val="clear" w:pos="1060"/>
      </w:tabs>
    </w:pPr>
  </w:style>
  <w:style w:type="paragraph" w:customStyle="1" w:styleId="MarginNote">
    <w:name w:val="Margin Note"/>
    <w:basedOn w:val="BodyText"/>
    <w:rsid w:val="00827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76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650"/>
    <w:rPr>
      <w:sz w:val="32"/>
    </w:rPr>
  </w:style>
  <w:style w:type="paragraph" w:customStyle="1" w:styleId="HeadingProcedure">
    <w:name w:val="Heading Procedure"/>
    <w:basedOn w:val="HeadingBase"/>
    <w:next w:val="Normal"/>
    <w:rsid w:val="00827650"/>
    <w:pPr>
      <w:tabs>
        <w:tab w:val="left" w:pos="0"/>
      </w:tabs>
      <w:spacing w:before="120" w:after="60"/>
    </w:pPr>
    <w:rPr>
      <w:i/>
      <w:color w:val="918585"/>
      <w:sz w:val="22"/>
    </w:rPr>
  </w:style>
  <w:style w:type="paragraph" w:customStyle="1" w:styleId="TableBodyText">
    <w:name w:val="Table Body Text"/>
    <w:basedOn w:val="BodyText"/>
    <w:rsid w:val="00827650"/>
    <w:pPr>
      <w:spacing w:before="60" w:after="60"/>
    </w:pPr>
  </w:style>
  <w:style w:type="paragraph" w:styleId="ListContinue">
    <w:name w:val="List Continue"/>
    <w:basedOn w:val="List"/>
    <w:rsid w:val="00827650"/>
    <w:pPr>
      <w:ind w:firstLine="0"/>
    </w:pPr>
  </w:style>
  <w:style w:type="paragraph" w:customStyle="1" w:styleId="ListNote">
    <w:name w:val="List Note"/>
    <w:basedOn w:val="List"/>
    <w:rsid w:val="00827650"/>
    <w:pPr>
      <w:pBdr>
        <w:top w:val="single" w:sz="6" w:space="2" w:color="918585"/>
        <w:bottom w:val="single" w:sz="6" w:space="2" w:color="918585"/>
      </w:pBdr>
      <w:tabs>
        <w:tab w:val="left" w:pos="1021"/>
      </w:tabs>
      <w:ind w:firstLine="0"/>
    </w:pPr>
  </w:style>
  <w:style w:type="paragraph" w:customStyle="1" w:styleId="Warning">
    <w:name w:val="Warning"/>
    <w:basedOn w:val="BodyText"/>
    <w:rsid w:val="00827650"/>
    <w:pPr>
      <w:shd w:val="clear" w:color="auto" w:fill="D9D9D9"/>
      <w:tabs>
        <w:tab w:val="left" w:pos="992"/>
      </w:tabs>
      <w:ind w:left="119" w:right="119"/>
    </w:pPr>
    <w:rPr>
      <w:sz w:val="20"/>
    </w:rPr>
  </w:style>
  <w:style w:type="paragraph" w:customStyle="1" w:styleId="MarginIcons">
    <w:name w:val="Margin Icons"/>
    <w:basedOn w:val="BodyText"/>
    <w:rsid w:val="008276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7650"/>
    <w:rPr>
      <w:rFonts w:ascii="Courier New" w:hAnsi="Courier New"/>
    </w:rPr>
  </w:style>
  <w:style w:type="paragraph" w:customStyle="1" w:styleId="NoteBullet">
    <w:name w:val="Note Bullet"/>
    <w:basedOn w:val="Note"/>
    <w:rsid w:val="00827650"/>
    <w:pPr>
      <w:tabs>
        <w:tab w:val="clear" w:pos="680"/>
      </w:tabs>
      <w:spacing w:before="60" w:after="60"/>
    </w:pPr>
  </w:style>
  <w:style w:type="paragraph" w:customStyle="1" w:styleId="SubHeading2">
    <w:name w:val="SubHeading2"/>
    <w:basedOn w:val="HeadingBase"/>
    <w:rsid w:val="00827650"/>
    <w:pPr>
      <w:spacing w:before="240" w:after="60"/>
    </w:pPr>
    <w:rPr>
      <w:sz w:val="20"/>
    </w:rPr>
  </w:style>
  <w:style w:type="paragraph" w:customStyle="1" w:styleId="SubHeading1">
    <w:name w:val="SubHeading1"/>
    <w:basedOn w:val="HeadingBase"/>
    <w:rsid w:val="00827650"/>
    <w:pPr>
      <w:spacing w:before="240" w:after="60"/>
    </w:pPr>
    <w:rPr>
      <w:color w:val="918585"/>
      <w:sz w:val="22"/>
    </w:rPr>
  </w:style>
  <w:style w:type="paragraph" w:customStyle="1" w:styleId="SideHeading">
    <w:name w:val="Side Heading"/>
    <w:basedOn w:val="HeadingBase"/>
    <w:rsid w:val="008276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650"/>
    <w:pPr>
      <w:numPr>
        <w:numId w:val="13"/>
      </w:numPr>
    </w:pPr>
  </w:style>
  <w:style w:type="paragraph" w:styleId="PlainText">
    <w:name w:val="Plain Text"/>
    <w:basedOn w:val="Normal"/>
    <w:link w:val="PlainTextChar"/>
    <w:rsid w:val="00827650"/>
    <w:rPr>
      <w:sz w:val="20"/>
    </w:rPr>
  </w:style>
  <w:style w:type="character" w:customStyle="1" w:styleId="PlainTextChar">
    <w:name w:val="Plain Text Char"/>
    <w:basedOn w:val="DefaultParagraphFont"/>
    <w:link w:val="PlainText"/>
    <w:rsid w:val="00827650"/>
    <w:rPr>
      <w:rFonts w:ascii="Courier New" w:eastAsia="Times New Roman" w:hAnsi="Courier New" w:cs="Times New Roman"/>
      <w:sz w:val="20"/>
      <w:szCs w:val="20"/>
      <w:lang w:val="en-US" w:eastAsia="en-US"/>
    </w:rPr>
  </w:style>
  <w:style w:type="character" w:customStyle="1" w:styleId="MenuOption">
    <w:name w:val="Menu Option"/>
    <w:rsid w:val="00827650"/>
    <w:rPr>
      <w:b/>
      <w:smallCaps/>
    </w:rPr>
  </w:style>
  <w:style w:type="paragraph" w:customStyle="1" w:styleId="TableListNumber">
    <w:name w:val="Table List Number"/>
    <w:basedOn w:val="ListNumber"/>
    <w:rsid w:val="00827650"/>
    <w:pPr>
      <w:numPr>
        <w:numId w:val="0"/>
      </w:numPr>
    </w:pPr>
  </w:style>
  <w:style w:type="paragraph" w:styleId="TOC4">
    <w:name w:val="toc 4"/>
    <w:basedOn w:val="TOCBase"/>
    <w:next w:val="Normal"/>
    <w:semiHidden/>
    <w:rsid w:val="00827650"/>
    <w:pPr>
      <w:tabs>
        <w:tab w:val="right" w:leader="dot" w:pos="9071"/>
      </w:tabs>
      <w:ind w:left="1701"/>
    </w:pPr>
  </w:style>
  <w:style w:type="paragraph" w:customStyle="1" w:styleId="ListAlpha">
    <w:name w:val="List Alpha"/>
    <w:basedOn w:val="List"/>
    <w:rsid w:val="00827650"/>
    <w:pPr>
      <w:numPr>
        <w:numId w:val="10"/>
      </w:numPr>
    </w:pPr>
  </w:style>
  <w:style w:type="paragraph" w:customStyle="1" w:styleId="ListAlpha2">
    <w:name w:val="List Alpha 2"/>
    <w:basedOn w:val="List2"/>
    <w:rsid w:val="00827650"/>
    <w:pPr>
      <w:numPr>
        <w:numId w:val="9"/>
      </w:numPr>
    </w:pPr>
  </w:style>
  <w:style w:type="paragraph" w:styleId="List3">
    <w:name w:val="List 3"/>
    <w:basedOn w:val="BodyText"/>
    <w:rsid w:val="00827650"/>
    <w:pPr>
      <w:tabs>
        <w:tab w:val="left" w:pos="1021"/>
      </w:tabs>
      <w:spacing w:before="60" w:after="60"/>
      <w:ind w:left="1020" w:hanging="340"/>
    </w:pPr>
  </w:style>
  <w:style w:type="paragraph" w:styleId="List4">
    <w:name w:val="List 4"/>
    <w:basedOn w:val="BodyText"/>
    <w:rsid w:val="00827650"/>
    <w:pPr>
      <w:tabs>
        <w:tab w:val="left" w:pos="1361"/>
      </w:tabs>
      <w:spacing w:before="60" w:after="60"/>
      <w:ind w:left="1361" w:hanging="340"/>
    </w:pPr>
  </w:style>
  <w:style w:type="paragraph" w:styleId="List5">
    <w:name w:val="List 5"/>
    <w:basedOn w:val="BodyText"/>
    <w:rsid w:val="00827650"/>
    <w:pPr>
      <w:tabs>
        <w:tab w:val="left" w:pos="1701"/>
      </w:tabs>
      <w:spacing w:before="60" w:after="60"/>
      <w:ind w:left="1701" w:hanging="340"/>
    </w:pPr>
  </w:style>
  <w:style w:type="paragraph" w:styleId="ListBullet4">
    <w:name w:val="List Bullet 4"/>
    <w:basedOn w:val="List4"/>
    <w:rsid w:val="00827650"/>
    <w:pPr>
      <w:numPr>
        <w:numId w:val="4"/>
      </w:numPr>
    </w:pPr>
  </w:style>
  <w:style w:type="paragraph" w:styleId="ListBullet5">
    <w:name w:val="List Bullet 5"/>
    <w:basedOn w:val="List5"/>
    <w:rsid w:val="00827650"/>
    <w:pPr>
      <w:numPr>
        <w:numId w:val="5"/>
      </w:numPr>
    </w:pPr>
  </w:style>
  <w:style w:type="paragraph" w:styleId="ListContinue2">
    <w:name w:val="List Continue 2"/>
    <w:basedOn w:val="List2"/>
    <w:rsid w:val="00827650"/>
    <w:pPr>
      <w:ind w:firstLine="0"/>
    </w:pPr>
  </w:style>
  <w:style w:type="paragraph" w:styleId="ListContinue3">
    <w:name w:val="List Continue 3"/>
    <w:basedOn w:val="List3"/>
    <w:rsid w:val="00827650"/>
    <w:pPr>
      <w:ind w:left="1021" w:firstLine="0"/>
    </w:pPr>
  </w:style>
  <w:style w:type="paragraph" w:styleId="ListContinue4">
    <w:name w:val="List Continue 4"/>
    <w:basedOn w:val="List4"/>
    <w:rsid w:val="00827650"/>
    <w:pPr>
      <w:ind w:firstLine="0"/>
    </w:pPr>
  </w:style>
  <w:style w:type="paragraph" w:styleId="ListContinue5">
    <w:name w:val="List Continue 5"/>
    <w:basedOn w:val="List5"/>
    <w:rsid w:val="00827650"/>
    <w:pPr>
      <w:ind w:firstLine="0"/>
    </w:pPr>
  </w:style>
  <w:style w:type="paragraph" w:styleId="ListNumber3">
    <w:name w:val="List Number 3"/>
    <w:basedOn w:val="List3"/>
    <w:rsid w:val="00827650"/>
    <w:pPr>
      <w:numPr>
        <w:numId w:val="6"/>
      </w:numPr>
    </w:pPr>
  </w:style>
  <w:style w:type="paragraph" w:styleId="ListNumber4">
    <w:name w:val="List Number 4"/>
    <w:basedOn w:val="List4"/>
    <w:rsid w:val="00827650"/>
    <w:pPr>
      <w:numPr>
        <w:numId w:val="7"/>
      </w:numPr>
    </w:pPr>
  </w:style>
  <w:style w:type="paragraph" w:styleId="ListNumber5">
    <w:name w:val="List Number 5"/>
    <w:basedOn w:val="List5"/>
    <w:rsid w:val="00827650"/>
    <w:pPr>
      <w:numPr>
        <w:numId w:val="8"/>
      </w:numPr>
    </w:pPr>
  </w:style>
  <w:style w:type="paragraph" w:styleId="BlockText">
    <w:name w:val="Block Text"/>
    <w:basedOn w:val="Normal"/>
    <w:rsid w:val="00827650"/>
    <w:pPr>
      <w:spacing w:after="120"/>
      <w:ind w:left="1440" w:right="1440"/>
    </w:pPr>
  </w:style>
  <w:style w:type="character" w:customStyle="1" w:styleId="Subscript">
    <w:name w:val="Subscript"/>
    <w:rsid w:val="00827650"/>
    <w:rPr>
      <w:sz w:val="16"/>
      <w:vertAlign w:val="subscript"/>
    </w:rPr>
  </w:style>
  <w:style w:type="character" w:customStyle="1" w:styleId="Superscript">
    <w:name w:val="Superscript"/>
    <w:rsid w:val="00827650"/>
    <w:rPr>
      <w:sz w:val="16"/>
      <w:vertAlign w:val="superscript"/>
    </w:rPr>
  </w:style>
  <w:style w:type="character" w:customStyle="1" w:styleId="Symbols">
    <w:name w:val="Symbols"/>
    <w:rsid w:val="00827650"/>
    <w:rPr>
      <w:rFonts w:ascii="Symbol" w:hAnsi="Symbol"/>
    </w:rPr>
  </w:style>
  <w:style w:type="character" w:customStyle="1" w:styleId="MenuOptions">
    <w:name w:val="Menu Options"/>
    <w:rsid w:val="00827650"/>
    <w:rPr>
      <w:rFonts w:ascii="Arial Narrow" w:hAnsi="Arial Narrow"/>
      <w:smallCaps/>
    </w:rPr>
  </w:style>
  <w:style w:type="character" w:customStyle="1" w:styleId="Buttons">
    <w:name w:val="Buttons"/>
    <w:rsid w:val="00827650"/>
    <w:rPr>
      <w:b/>
    </w:rPr>
  </w:style>
  <w:style w:type="character" w:customStyle="1" w:styleId="Underlined">
    <w:name w:val="Underlined"/>
    <w:rsid w:val="00827650"/>
    <w:rPr>
      <w:u w:val="single"/>
    </w:rPr>
  </w:style>
  <w:style w:type="paragraph" w:customStyle="1" w:styleId="TableBodyTextRight">
    <w:name w:val="Table Body Text Right"/>
    <w:basedOn w:val="TableBodyText"/>
    <w:rsid w:val="00827650"/>
    <w:pPr>
      <w:widowControl w:val="0"/>
      <w:autoSpaceDE w:val="0"/>
      <w:autoSpaceDN w:val="0"/>
      <w:adjustRightInd w:val="0"/>
      <w:jc w:val="right"/>
    </w:pPr>
    <w:rPr>
      <w:rFonts w:cs="Arial"/>
      <w:szCs w:val="18"/>
    </w:rPr>
  </w:style>
  <w:style w:type="paragraph" w:customStyle="1" w:styleId="CopyrightText">
    <w:name w:val="Copyright Text"/>
    <w:basedOn w:val="BodyText"/>
    <w:rsid w:val="00827650"/>
    <w:rPr>
      <w:sz w:val="18"/>
    </w:rPr>
  </w:style>
  <w:style w:type="paragraph" w:customStyle="1" w:styleId="BodySmallRight">
    <w:name w:val="Body Small Right"/>
    <w:basedOn w:val="BodyTextRight"/>
    <w:rsid w:val="00827650"/>
    <w:rPr>
      <w:sz w:val="18"/>
      <w:szCs w:val="18"/>
    </w:rPr>
  </w:style>
  <w:style w:type="paragraph" w:customStyle="1" w:styleId="MarginEdition">
    <w:name w:val="Margin Edition"/>
    <w:basedOn w:val="MarginNote"/>
    <w:rsid w:val="00827650"/>
    <w:pPr>
      <w:spacing w:before="0" w:after="0"/>
    </w:pPr>
    <w:rPr>
      <w:rFonts w:ascii="Times New Roman" w:hAnsi="Times New Roman"/>
      <w:color w:val="999999"/>
    </w:rPr>
  </w:style>
  <w:style w:type="paragraph" w:customStyle="1" w:styleId="Spacer">
    <w:name w:val="Spacer"/>
    <w:basedOn w:val="Normal"/>
    <w:rsid w:val="00827650"/>
    <w:rPr>
      <w:sz w:val="2"/>
      <w:szCs w:val="2"/>
    </w:rPr>
  </w:style>
  <w:style w:type="character" w:customStyle="1" w:styleId="Small">
    <w:name w:val="Small"/>
    <w:rsid w:val="00827650"/>
    <w:rPr>
      <w:sz w:val="16"/>
    </w:rPr>
  </w:style>
  <w:style w:type="paragraph" w:customStyle="1" w:styleId="WideTable">
    <w:name w:val="Wide Table"/>
    <w:basedOn w:val="Normal"/>
    <w:rsid w:val="00827650"/>
    <w:pPr>
      <w:ind w:left="-1418"/>
    </w:pPr>
    <w:rPr>
      <w:sz w:val="2"/>
      <w:szCs w:val="2"/>
    </w:rPr>
  </w:style>
  <w:style w:type="character" w:styleId="PageNumber">
    <w:name w:val="page number"/>
    <w:rsid w:val="00827650"/>
  </w:style>
  <w:style w:type="paragraph" w:styleId="Quote">
    <w:name w:val="Quote"/>
    <w:basedOn w:val="Heading1"/>
    <w:link w:val="QuoteChar"/>
    <w:qFormat/>
    <w:rsid w:val="00827650"/>
    <w:rPr>
      <w:b w:val="0"/>
      <w:sz w:val="72"/>
      <w:szCs w:val="72"/>
      <w:lang w:val="en-NZ"/>
    </w:rPr>
  </w:style>
  <w:style w:type="character" w:customStyle="1" w:styleId="QuoteChar">
    <w:name w:val="Quote Char"/>
    <w:link w:val="Quote"/>
    <w:rsid w:val="00827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650"/>
    <w:pPr>
      <w:pageBreakBefore/>
    </w:pPr>
  </w:style>
  <w:style w:type="paragraph" w:customStyle="1" w:styleId="Border">
    <w:name w:val="Border"/>
    <w:basedOn w:val="Normal"/>
    <w:qFormat/>
    <w:rsid w:val="00827650"/>
    <w:pPr>
      <w:pBdr>
        <w:top w:val="single" w:sz="18" w:space="1" w:color="auto"/>
      </w:pBdr>
    </w:pPr>
    <w:rPr>
      <w:rFonts w:ascii="Times New Roman" w:hAnsi="Times New Roman"/>
      <w:color w:val="FFFFFF"/>
      <w:sz w:val="2"/>
    </w:rPr>
  </w:style>
  <w:style w:type="character" w:styleId="IntenseEmphasis">
    <w:name w:val="Intense Emphasis"/>
    <w:uiPriority w:val="21"/>
    <w:qFormat/>
    <w:rsid w:val="00827650"/>
    <w:rPr>
      <w:b/>
      <w:bCs/>
      <w:i/>
      <w:iCs/>
      <w:color w:val="auto"/>
    </w:rPr>
  </w:style>
  <w:style w:type="paragraph" w:styleId="IntenseQuote">
    <w:name w:val="Intense Quote"/>
    <w:basedOn w:val="Normal"/>
    <w:next w:val="Normal"/>
    <w:link w:val="IntenseQuoteChar"/>
    <w:uiPriority w:val="30"/>
    <w:qFormat/>
    <w:rsid w:val="008276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7650"/>
    <w:rPr>
      <w:rFonts w:ascii="Courier New" w:eastAsia="Times New Roman" w:hAnsi="Courier New" w:cs="Times New Roman"/>
      <w:b/>
      <w:bCs/>
      <w:i/>
      <w:iCs/>
      <w:szCs w:val="20"/>
      <w:lang w:val="en-US" w:eastAsia="en-US"/>
    </w:rPr>
  </w:style>
  <w:style w:type="character" w:styleId="SubtleReference">
    <w:name w:val="Subtle Reference"/>
    <w:uiPriority w:val="31"/>
    <w:qFormat/>
    <w:rsid w:val="00827650"/>
    <w:rPr>
      <w:smallCaps/>
      <w:color w:val="auto"/>
      <w:u w:val="single"/>
    </w:rPr>
  </w:style>
  <w:style w:type="character" w:styleId="IntenseReference">
    <w:name w:val="Intense Reference"/>
    <w:uiPriority w:val="32"/>
    <w:qFormat/>
    <w:rsid w:val="00827650"/>
    <w:rPr>
      <w:b/>
      <w:bCs/>
      <w:smallCaps/>
      <w:color w:val="auto"/>
      <w:spacing w:val="5"/>
      <w:u w:val="single"/>
    </w:rPr>
  </w:style>
  <w:style w:type="paragraph" w:customStyle="1" w:styleId="2ColumnHeading">
    <w:name w:val="2Column Heading"/>
    <w:basedOn w:val="BodyText"/>
    <w:qFormat/>
    <w:rsid w:val="00827650"/>
    <w:pPr>
      <w:spacing w:after="60"/>
      <w:ind w:left="-2268"/>
    </w:pPr>
    <w:rPr>
      <w:b/>
    </w:rPr>
  </w:style>
  <w:style w:type="paragraph" w:customStyle="1" w:styleId="Heading1TOC">
    <w:name w:val="Heading1 TOC"/>
    <w:basedOn w:val="Normal"/>
    <w:qFormat/>
    <w:rsid w:val="00827650"/>
    <w:pPr>
      <w:spacing w:before="240" w:after="120"/>
    </w:pPr>
    <w:rPr>
      <w:rFonts w:ascii="Times New Roman" w:hAnsi="Times New Roman"/>
      <w:b/>
      <w:sz w:val="32"/>
    </w:rPr>
  </w:style>
  <w:style w:type="paragraph" w:customStyle="1" w:styleId="Heading2TOC">
    <w:name w:val="Heading2 TOC"/>
    <w:basedOn w:val="Normal"/>
    <w:qFormat/>
    <w:rsid w:val="00827650"/>
    <w:pPr>
      <w:spacing w:before="240" w:after="60"/>
    </w:pPr>
    <w:rPr>
      <w:rFonts w:ascii="Times New Roman" w:hAnsi="Times New Roman"/>
      <w:b/>
      <w:sz w:val="28"/>
    </w:rPr>
  </w:style>
  <w:style w:type="character" w:customStyle="1" w:styleId="Underline">
    <w:name w:val="Underline"/>
    <w:qFormat/>
    <w:rsid w:val="00827650"/>
    <w:rPr>
      <w:u w:val="single"/>
    </w:rPr>
  </w:style>
  <w:style w:type="character" w:customStyle="1" w:styleId="BoldandItalics">
    <w:name w:val="Bold and Italics"/>
    <w:qFormat/>
    <w:rsid w:val="00827650"/>
    <w:rPr>
      <w:b/>
      <w:i/>
      <w:u w:val="none"/>
    </w:rPr>
  </w:style>
  <w:style w:type="paragraph" w:styleId="BalloonText">
    <w:name w:val="Balloon Text"/>
    <w:basedOn w:val="Normal"/>
    <w:link w:val="BalloonTextChar"/>
    <w:rsid w:val="00827650"/>
    <w:rPr>
      <w:rFonts w:ascii="Tahoma" w:hAnsi="Tahoma" w:cs="Tahoma"/>
      <w:sz w:val="16"/>
      <w:szCs w:val="16"/>
    </w:rPr>
  </w:style>
  <w:style w:type="character" w:customStyle="1" w:styleId="BalloonTextChar">
    <w:name w:val="Balloon Text Char"/>
    <w:link w:val="BalloonText"/>
    <w:rsid w:val="008276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6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76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9D8BB1A8.dotm</Template>
  <TotalTime>0</TotalTime>
  <Pages>6</Pages>
  <Words>902</Words>
  <Characters>5699</Characters>
  <Application>Microsoft Office Word</Application>
  <DocSecurity>0</DocSecurity>
  <Lines>202</Lines>
  <Paragraphs>112</Paragraphs>
  <ScaleCrop>false</ScaleCrop>
  <Company>Author-it Software Corporation Ltd.</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MSATCM508A Monitor secondary steelmaking operations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2012-05-26T18:30:00Z</dcterms:created>
  <dcterms:modified xsi:type="dcterms:W3CDTF">2012-05-26T18:30:00Z</dcterms:modified>
</cp:coreProperties>
</file>