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13B0" w:rsidP="002E13B0">
      <w:pPr>
        <w:pStyle w:val="Title"/>
      </w:pPr>
      <w:bookmarkStart w:id="0" w:name="_GoBack"/>
      <w:bookmarkEnd w:id="0"/>
      <w:r>
        <w:fldChar w:fldCharType="begin"/>
      </w:r>
      <w:r>
        <w:instrText xml:space="preserve"> TITLE   \* MERGEFORMAT </w:instrText>
      </w:r>
      <w:r>
        <w:fldChar w:fldCharType="separate"/>
      </w:r>
      <w:r>
        <w:t>MSATCM501A Calculate and predict chemical outcomes in metallurgical situations</w:t>
      </w:r>
      <w:r>
        <w:fldChar w:fldCharType="end"/>
      </w:r>
    </w:p>
    <w:p w:rsidR="002E13B0" w:rsidP="002E13B0">
      <w:pPr>
        <w:pStyle w:val="Version"/>
        <w:sectPr w:rsidSect="00CE01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E0172" w:rsidP="00CE0172">
      <w:pPr>
        <w:pStyle w:val="SuperHeading"/>
      </w:pPr>
      <w:r w:rsidRPr="00CE0172">
        <w:t>MSATCM501A Calculate and predict chemical outcomes in metallurgical situations</w:t>
      </w:r>
    </w:p>
    <w:p w:rsidR="00000000" w:rsidRPr="00CE0172" w:rsidP="00CE0172">
      <w:pPr>
        <w:pStyle w:val="SuperHeading"/>
      </w:pPr>
    </w:p>
    <w:p w:rsidR="00000000" w:rsidRPr="00CE0172" w:rsidP="00CE0172">
      <w:pPr>
        <w:pStyle w:val="Heading1"/>
      </w:pPr>
      <w:bookmarkStart w:id="1" w:name="O_102123"/>
      <w:bookmarkEnd w:id="1"/>
      <w:r w:rsidRPr="00CE0172">
        <w:t>Modification History</w:t>
      </w:r>
    </w:p>
    <w:p w:rsidR="00000000" w:rsidRPr="00CE0172" w:rsidP="00CE0172">
      <w:pPr>
        <w:pStyle w:val="BodyText"/>
      </w:pPr>
      <w:r w:rsidRPr="00CE0172">
        <w:t>Not applicable.</w:t>
      </w:r>
    </w:p>
    <w:p w:rsidR="00000000" w:rsidRPr="00CE0172" w:rsidP="00CE0172">
      <w:pPr>
        <w:pStyle w:val="AllowPageBreak"/>
      </w:pPr>
    </w:p>
    <w:p w:rsidR="00000000" w:rsidRPr="00CE0172" w:rsidP="00CE0172">
      <w:pPr>
        <w:pStyle w:val="Heading1"/>
      </w:pPr>
      <w:bookmarkStart w:id="2" w:name="O_102124"/>
      <w:bookmarkEnd w:id="2"/>
      <w:r w:rsidRPr="00CE0172">
        <w:t>Unit Descriptor</w:t>
      </w:r>
    </w:p>
    <w:tbl>
      <w:tblPr>
        <w:tblW w:w="0" w:type="auto"/>
        <w:tblCellMar>
          <w:left w:w="62" w:type="dxa"/>
          <w:right w:w="62" w:type="dxa"/>
        </w:tblCellMar>
        <w:tblLook w:val="0000"/>
      </w:tblPr>
      <w:tblGrid>
        <w:gridCol w:w="2376"/>
        <w:gridCol w:w="6820"/>
      </w:tblGrid>
      <w:tr w:rsidTr="002E13B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r w:rsidRPr="00CE0172">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172" w:rsidP="00CE0172">
            <w:pPr>
              <w:pStyle w:val="BodyText"/>
            </w:pPr>
            <w:r w:rsidRPr="00CE0172">
              <w:t>This unit covers applying appropriate chemical principles and techniques to calculate and predict outcomes in metallurgical situations.</w:t>
            </w:r>
          </w:p>
        </w:tc>
      </w:tr>
    </w:tbl>
    <w:p w:rsidR="00000000" w:rsidRPr="00CE0172" w:rsidP="00CE0172">
      <w:pPr>
        <w:pStyle w:val="BodyText"/>
      </w:pPr>
    </w:p>
    <w:p w:rsidR="00000000" w:rsidRPr="00CE0172" w:rsidP="00CE0172">
      <w:pPr>
        <w:pStyle w:val="AllowPageBreak"/>
      </w:pPr>
    </w:p>
    <w:p w:rsidR="00000000" w:rsidRPr="00CE0172" w:rsidP="00CE0172">
      <w:pPr>
        <w:pStyle w:val="Heading1"/>
      </w:pPr>
      <w:bookmarkStart w:id="3" w:name="O_102125"/>
      <w:bookmarkEnd w:id="3"/>
      <w:r w:rsidRPr="00CE0172">
        <w:t>Application of the Unit</w:t>
      </w:r>
    </w:p>
    <w:tbl>
      <w:tblPr>
        <w:tblW w:w="0" w:type="auto"/>
        <w:tblCellMar>
          <w:left w:w="62" w:type="dxa"/>
          <w:right w:w="62" w:type="dxa"/>
        </w:tblCellMar>
        <w:tblLook w:val="0000"/>
      </w:tblPr>
      <w:tblGrid>
        <w:gridCol w:w="2376"/>
        <w:gridCol w:w="6820"/>
      </w:tblGrid>
      <w:tr w:rsidTr="002E13B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r w:rsidRPr="00CE0172">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172" w:rsidP="00CE0172">
            <w:pPr>
              <w:pStyle w:val="BodyText"/>
            </w:pPr>
            <w:r w:rsidRPr="00CE0172">
              <w:t>This unit requires application of chemical principles and techniques as a member of a team or as an individual in metallurgical situations.</w:t>
            </w:r>
          </w:p>
        </w:tc>
      </w:tr>
    </w:tbl>
    <w:p w:rsidR="00000000" w:rsidRPr="00CE0172" w:rsidP="00CE0172">
      <w:pPr>
        <w:pStyle w:val="BodyText"/>
      </w:pPr>
    </w:p>
    <w:p w:rsidR="00000000" w:rsidRPr="00CE0172" w:rsidP="00CE0172">
      <w:pPr>
        <w:pStyle w:val="AllowPageBreak"/>
      </w:pPr>
    </w:p>
    <w:p w:rsidR="00000000" w:rsidRPr="00CE0172" w:rsidP="00CE0172">
      <w:pPr>
        <w:pStyle w:val="Heading1"/>
      </w:pPr>
      <w:bookmarkStart w:id="4" w:name="O_102126"/>
      <w:bookmarkEnd w:id="4"/>
      <w:r w:rsidRPr="00CE0172">
        <w:t>Licensing/Regulatory Information</w:t>
      </w:r>
    </w:p>
    <w:p w:rsidR="00000000" w:rsidRPr="00CE0172" w:rsidP="00CE0172">
      <w:pPr>
        <w:pStyle w:val="BodyText"/>
      </w:pPr>
      <w:r w:rsidRPr="00CE0172">
        <w:t>Not applicable.</w:t>
      </w:r>
    </w:p>
    <w:p w:rsidR="00000000" w:rsidRPr="00CE0172" w:rsidP="00CE0172">
      <w:pPr>
        <w:pStyle w:val="AllowPageBreak"/>
      </w:pPr>
    </w:p>
    <w:p w:rsidR="00000000" w:rsidRPr="00CE0172" w:rsidP="00CE0172">
      <w:pPr>
        <w:pStyle w:val="Heading1"/>
      </w:pPr>
      <w:bookmarkStart w:id="5" w:name="O_102128"/>
      <w:bookmarkEnd w:id="5"/>
      <w:r w:rsidRPr="00CE0172">
        <w:t>Pre-Requisites</w:t>
      </w:r>
    </w:p>
    <w:tbl>
      <w:tblPr>
        <w:tblW w:w="0" w:type="auto"/>
        <w:tblCellMar>
          <w:left w:w="62" w:type="dxa"/>
          <w:right w:w="62" w:type="dxa"/>
        </w:tblCellMar>
        <w:tblLook w:val="0000"/>
      </w:tblPr>
      <w:tblGrid>
        <w:gridCol w:w="2376"/>
        <w:gridCol w:w="1739"/>
        <w:gridCol w:w="5081"/>
      </w:tblGrid>
      <w:tr w:rsidTr="002E13B0">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172" w:rsidP="00CE0172">
            <w:pPr>
              <w:pStyle w:val="BodyText"/>
            </w:pPr>
            <w:r w:rsidRPr="00CE0172">
              <w:rPr>
                <w:rStyle w:val="SpecialBold"/>
              </w:rPr>
              <w:t>Pre-requisite Un</w:t>
            </w:r>
            <w:r w:rsidRPr="00CE0172">
              <w:rPr>
                <w:rStyle w:val="SpecialBold"/>
              </w:rPr>
              <w:t>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172" w:rsidP="00CE0172">
            <w:pPr>
              <w:pStyle w:val="BodyText"/>
            </w:pPr>
            <w:r w:rsidRPr="00CE0172">
              <w:rPr>
                <w:rStyle w:val="Emphasis"/>
              </w:rPr>
              <w:t>MSATCM406A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r w:rsidRPr="00CE0172">
              <w:rPr>
                <w:rStyle w:val="Emphasis"/>
              </w:rPr>
              <w:t>Apply basic chemistry principles to metallurgy</w:t>
            </w:r>
          </w:p>
        </w:tc>
      </w:tr>
      <w:tr w:rsidTr="002E13B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p>
        </w:tc>
      </w:tr>
      <w:tr w:rsidTr="002E13B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p>
        </w:tc>
      </w:tr>
      <w:tr w:rsidTr="002E13B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p>
        </w:tc>
      </w:tr>
      <w:tr w:rsidTr="002E13B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172" w:rsidP="00CE0172">
            <w:pPr>
              <w:pStyle w:val="BodyText"/>
            </w:pPr>
          </w:p>
        </w:tc>
      </w:tr>
    </w:tbl>
    <w:p w:rsidR="00000000" w:rsidRPr="00CE0172" w:rsidP="00CE0172">
      <w:pPr>
        <w:pStyle w:val="BodyText"/>
      </w:pPr>
    </w:p>
    <w:p w:rsidR="00000000" w:rsidRPr="00CE0172" w:rsidP="00CE0172">
      <w:pPr>
        <w:pStyle w:val="AllowPageBreak"/>
      </w:pPr>
    </w:p>
    <w:p w:rsidR="00000000" w:rsidRPr="00CE0172" w:rsidP="00CE0172">
      <w:pPr>
        <w:pStyle w:val="Heading1"/>
      </w:pPr>
      <w:bookmarkStart w:id="6" w:name="O_102127"/>
      <w:bookmarkEnd w:id="6"/>
      <w:r w:rsidRPr="00CE0172">
        <w:t>Employability Skills Information</w:t>
      </w:r>
    </w:p>
    <w:tbl>
      <w:tblPr>
        <w:tblW w:w="0" w:type="auto"/>
        <w:tblCellMar>
          <w:left w:w="62" w:type="dxa"/>
          <w:right w:w="62" w:type="dxa"/>
        </w:tblCellMar>
        <w:tblLook w:val="0000"/>
      </w:tblPr>
      <w:tblGrid>
        <w:gridCol w:w="2376"/>
        <w:gridCol w:w="6820"/>
      </w:tblGrid>
      <w:tr w:rsidTr="002E13B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r w:rsidRPr="00CE0172">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172" w:rsidP="00CE0172">
            <w:pPr>
              <w:pStyle w:val="BodyText"/>
            </w:pPr>
            <w:r w:rsidRPr="00CE0172">
              <w:t>This unit contains employability skills.</w:t>
            </w:r>
          </w:p>
        </w:tc>
      </w:tr>
    </w:tbl>
    <w:p w:rsidR="00000000" w:rsidRPr="00CE0172" w:rsidP="00CE0172">
      <w:pPr>
        <w:pStyle w:val="BodyText"/>
      </w:pPr>
    </w:p>
    <w:p w:rsidR="00000000" w:rsidRPr="00CE0172" w:rsidP="00CE0172">
      <w:pPr>
        <w:pStyle w:val="AllowPageBreak"/>
      </w:pPr>
    </w:p>
    <w:p w:rsidR="00000000" w:rsidRPr="00CE0172" w:rsidP="00CE0172">
      <w:pPr>
        <w:pStyle w:val="Heading1"/>
      </w:pPr>
      <w:bookmarkStart w:id="7" w:name="O_102129"/>
      <w:bookmarkEnd w:id="7"/>
      <w:r w:rsidRPr="00CE0172">
        <w:t>Elements and Performance Criteria Pre-Content</w:t>
      </w:r>
    </w:p>
    <w:p w:rsidR="00000000" w:rsidRPr="00CE0172" w:rsidP="00CE0172">
      <w:pPr>
        <w:pStyle w:val="BodyText"/>
      </w:pPr>
      <w:r w:rsidRPr="00CE0172">
        <w:t>Not applicable.</w:t>
      </w:r>
    </w:p>
    <w:p w:rsidR="00000000" w:rsidRPr="00CE0172" w:rsidP="00CE0172">
      <w:pPr>
        <w:pStyle w:val="AllowPageBreak"/>
      </w:pPr>
    </w:p>
    <w:p w:rsidR="00000000" w:rsidRPr="00CE0172" w:rsidP="00CE0172">
      <w:pPr>
        <w:pStyle w:val="Heading1"/>
      </w:pPr>
      <w:bookmarkStart w:id="8" w:name="O_102130"/>
      <w:bookmarkEnd w:id="8"/>
      <w:r w:rsidRPr="00CE0172">
        <w:t>Elements and Performance Criteria</w:t>
      </w:r>
    </w:p>
    <w:tbl>
      <w:tblPr>
        <w:tblW w:w="0" w:type="auto"/>
        <w:tblCellMar>
          <w:left w:w="62" w:type="dxa"/>
          <w:right w:w="62" w:type="dxa"/>
        </w:tblCellMar>
        <w:tblLook w:val="0000"/>
      </w:tblPr>
      <w:tblGrid>
        <w:gridCol w:w="2644"/>
        <w:gridCol w:w="6552"/>
      </w:tblGrid>
      <w:tr w:rsidTr="002E13B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172" w:rsidP="00CE0172">
            <w:pPr>
              <w:pStyle w:val="BodyText"/>
            </w:pPr>
            <w:r w:rsidRPr="00CE0172">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r w:rsidRPr="00CE0172">
              <w:rPr>
                <w:rStyle w:val="SpecialBold"/>
              </w:rPr>
              <w:t>PERFORMANCE CRITERIA</w:t>
            </w:r>
          </w:p>
        </w:tc>
      </w:tr>
      <w:tr w:rsidTr="002E13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List"/>
              <w:rPr>
                <w:lang w:val="en-NZ"/>
              </w:rPr>
            </w:pPr>
            <w:r w:rsidRPr="00CE0172">
              <w:t>1.</w:t>
            </w:r>
            <w:r w:rsidRPr="00CE0172">
              <w:tab/>
              <w:t xml:space="preserve">Select chemical techniques and principles relevant to </w:t>
            </w:r>
            <w:r w:rsidRPr="00CE0172">
              <w:rPr>
                <w:rStyle w:val="BoldandItalics"/>
              </w:rPr>
              <w:t>metallurgy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172" w:rsidP="00CE0172">
            <w:pPr>
              <w:pStyle w:val="List2"/>
            </w:pPr>
            <w:r w:rsidRPr="00CE0172">
              <w:t>1.1.</w:t>
            </w:r>
            <w:r w:rsidRPr="00CE0172">
              <w:tab/>
              <w:t>Consultations and brie</w:t>
            </w:r>
            <w:r w:rsidRPr="00CE0172">
              <w:t>fings are undertaken with managers, employers and customers and other sources of information researched as appropriate to determine situation requiring metallurgical analysis</w:t>
            </w:r>
          </w:p>
          <w:p w:rsidR="00000000" w:rsidRPr="00CE0172" w:rsidP="00CE0172">
            <w:pPr>
              <w:pStyle w:val="List2"/>
            </w:pPr>
            <w:r w:rsidRPr="00CE0172">
              <w:t>1.2.</w:t>
            </w:r>
            <w:r w:rsidRPr="00CE0172">
              <w:tab/>
              <w:t>Relevant chemical  techniques and principles are selected for particular met</w:t>
            </w:r>
            <w:r w:rsidRPr="00CE0172">
              <w:t>allurgical situation.</w:t>
            </w:r>
          </w:p>
          <w:p w:rsidR="00000000" w:rsidP="00CE0172">
            <w:pPr>
              <w:pStyle w:val="List2"/>
              <w:rPr>
                <w:lang w:val="en-NZ"/>
              </w:rPr>
            </w:pPr>
            <w:r w:rsidRPr="00CE0172">
              <w:t>1.3.</w:t>
            </w:r>
            <w:r w:rsidRPr="00CE0172">
              <w:tab/>
              <w:t>Technologies associated with chemical techniques relevant to the particular metallurgical situation are selected</w:t>
            </w:r>
          </w:p>
        </w:tc>
      </w:tr>
      <w:tr w:rsidTr="002E13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List"/>
              <w:rPr>
                <w:lang w:val="en-NZ"/>
              </w:rPr>
            </w:pPr>
            <w:r w:rsidRPr="00CE0172">
              <w:t>2.</w:t>
            </w:r>
            <w:r w:rsidRPr="00CE0172">
              <w:tab/>
              <w:t>Apply the relevant chemical principles and techniques appropriately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172" w:rsidP="00CE0172">
            <w:pPr>
              <w:pStyle w:val="List2"/>
            </w:pPr>
            <w:r w:rsidRPr="00CE0172">
              <w:t>2.1.</w:t>
            </w:r>
            <w:r w:rsidRPr="00CE0172">
              <w:tab/>
              <w:t>The basic chemical principles are appli</w:t>
            </w:r>
            <w:r w:rsidRPr="00CE0172">
              <w:t>ed in a consistent and appropriate manner to obtain required solutions.</w:t>
            </w:r>
          </w:p>
          <w:p w:rsidR="00000000" w:rsidRPr="00CE0172" w:rsidP="00CE0172">
            <w:pPr>
              <w:pStyle w:val="List2"/>
            </w:pPr>
            <w:r w:rsidRPr="00CE0172">
              <w:t>2.2.</w:t>
            </w:r>
            <w:r w:rsidRPr="00CE0172">
              <w:tab/>
              <w:t>Appropriate calculations and coherent units are used in the solution of chemical calculations.</w:t>
            </w:r>
          </w:p>
          <w:p w:rsidR="00000000" w:rsidRPr="00CE0172" w:rsidP="00CE0172">
            <w:pPr>
              <w:pStyle w:val="List2"/>
            </w:pPr>
            <w:r w:rsidRPr="00CE0172">
              <w:t>2.3.</w:t>
            </w:r>
            <w:r w:rsidRPr="00CE0172">
              <w:tab/>
              <w:t>Significant figures are used in chemical calculations.</w:t>
            </w:r>
          </w:p>
          <w:p w:rsidR="00000000" w:rsidRPr="00CE0172" w:rsidP="00CE0172">
            <w:pPr>
              <w:pStyle w:val="List2"/>
            </w:pPr>
            <w:r w:rsidRPr="00CE0172">
              <w:t>2.4.</w:t>
            </w:r>
            <w:r w:rsidRPr="00CE0172">
              <w:tab/>
              <w:t>The chemical techni</w:t>
            </w:r>
            <w:r w:rsidRPr="00CE0172">
              <w:t>ques and associated technologies, are applied in a consistent and appropriate manner to obtain required solutions.</w:t>
            </w:r>
          </w:p>
          <w:p w:rsidR="00000000" w:rsidRPr="00CE0172" w:rsidP="00CE0172">
            <w:pPr>
              <w:pStyle w:val="List2"/>
            </w:pPr>
            <w:r w:rsidRPr="00CE0172">
              <w:t>2.5.</w:t>
            </w:r>
            <w:r w:rsidRPr="00CE0172">
              <w:tab/>
              <w:t>Solutions are communicated to appropriate personnel and situations and solutions recorded in accordance with procedures.</w:t>
            </w:r>
          </w:p>
        </w:tc>
      </w:tr>
    </w:tbl>
    <w:p w:rsidR="00000000" w:rsidRPr="00CE0172" w:rsidP="00CE0172">
      <w:pPr>
        <w:pStyle w:val="BodyText"/>
      </w:pPr>
    </w:p>
    <w:p w:rsidR="00000000" w:rsidRPr="00CE0172" w:rsidP="00CE0172">
      <w:pPr>
        <w:pStyle w:val="AllowPageBreak"/>
      </w:pPr>
    </w:p>
    <w:p w:rsidR="00000000" w:rsidRPr="00CE0172" w:rsidP="00CE0172">
      <w:pPr>
        <w:pStyle w:val="Heading1"/>
      </w:pPr>
      <w:bookmarkStart w:id="9" w:name="O_102131"/>
      <w:bookmarkEnd w:id="9"/>
      <w:r w:rsidRPr="00CE0172">
        <w:t>Required Skills and Knowledge</w:t>
      </w:r>
    </w:p>
    <w:tbl>
      <w:tblPr>
        <w:tblW w:w="0" w:type="auto"/>
        <w:tblCellMar>
          <w:left w:w="62" w:type="dxa"/>
          <w:right w:w="62" w:type="dxa"/>
        </w:tblCellMar>
        <w:tblLook w:val="0000"/>
      </w:tblPr>
      <w:tblGrid>
        <w:gridCol w:w="9196"/>
      </w:tblGrid>
      <w:tr w:rsidTr="002E13B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r w:rsidRPr="00CE0172">
              <w:rPr>
                <w:rStyle w:val="SpecialBold"/>
              </w:rPr>
              <w:t>REQUIRED SKILLS AND KNOWLEDGE</w:t>
            </w:r>
          </w:p>
        </w:tc>
      </w:tr>
      <w:tr w:rsidTr="002E13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r w:rsidRPr="00CE0172">
              <w:t>This describes the essential skills and knowledge and their level, required for this unit.</w:t>
            </w:r>
          </w:p>
        </w:tc>
      </w:tr>
      <w:tr w:rsidTr="002E13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r w:rsidRPr="00CE0172">
              <w:rPr>
                <w:rStyle w:val="SpecialBold"/>
              </w:rPr>
              <w:t>Required skills</w:t>
            </w:r>
            <w:r w:rsidRPr="00CE0172">
              <w:t>:</w:t>
            </w:r>
          </w:p>
        </w:tc>
      </w:tr>
      <w:tr w:rsidTr="002E13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172" w:rsidP="00CE0172">
            <w:pPr>
              <w:pStyle w:val="ListBullet"/>
            </w:pPr>
            <w:r w:rsidRPr="00CE0172">
              <w:t>select appropriate chemical principles to suit specific applications</w:t>
            </w:r>
          </w:p>
          <w:p w:rsidR="00000000" w:rsidRPr="00CE0172" w:rsidP="00CE0172">
            <w:pPr>
              <w:pStyle w:val="ListBullet"/>
            </w:pPr>
            <w:r w:rsidRPr="00CE0172">
              <w:t>select appropriate basic mechanical techniques and associated technologies, software and hardware to suit specific applications</w:t>
            </w:r>
          </w:p>
          <w:p w:rsidR="00000000" w:rsidRPr="00CE0172" w:rsidP="00CE0172">
            <w:pPr>
              <w:pStyle w:val="ListBullet"/>
            </w:pPr>
            <w:r w:rsidRPr="00CE0172">
              <w:t>apply basic chemical principles to particular engineering situations</w:t>
            </w:r>
          </w:p>
          <w:p w:rsidR="00000000" w:rsidRPr="00CE0172" w:rsidP="00CE0172">
            <w:pPr>
              <w:pStyle w:val="ListBullet"/>
            </w:pPr>
            <w:r w:rsidRPr="00CE0172">
              <w:t xml:space="preserve">apply and manipulate appropriate formulas for applications </w:t>
            </w:r>
            <w:r w:rsidRPr="00CE0172">
              <w:t>involving engineering calculations</w:t>
            </w:r>
          </w:p>
          <w:p w:rsidR="00000000" w:rsidRPr="00CE0172" w:rsidP="00CE0172">
            <w:pPr>
              <w:pStyle w:val="ListBullet"/>
            </w:pPr>
            <w:r w:rsidRPr="00CE0172">
              <w:t>apply appropriate calculations to engineering and metallurgical situations</w:t>
            </w:r>
          </w:p>
          <w:p w:rsidR="00000000" w:rsidRPr="00CE0172" w:rsidP="00CE0172">
            <w:pPr>
              <w:pStyle w:val="ListBullet"/>
            </w:pPr>
            <w:r w:rsidRPr="00CE0172">
              <w:t>refer solutions to the original aim of the application</w:t>
            </w:r>
          </w:p>
          <w:p w:rsidR="00000000" w:rsidRPr="00CE0172" w:rsidP="00CE0172">
            <w:pPr>
              <w:pStyle w:val="ListBullet"/>
            </w:pPr>
            <w:r w:rsidRPr="00CE0172">
              <w:t>quote solutions in appropriate units, using appropriate significant figures.</w:t>
            </w:r>
          </w:p>
          <w:p w:rsidR="00000000" w:rsidRPr="00CE0172" w:rsidP="00CE0172">
            <w:pPr>
              <w:pStyle w:val="ListBullet"/>
            </w:pPr>
            <w:r w:rsidRPr="00CE0172">
              <w:t>quote limitati</w:t>
            </w:r>
            <w:r w:rsidRPr="00CE0172">
              <w:t>ons of solutions, due to assumptions, chemical principles and techniques used</w:t>
            </w:r>
          </w:p>
          <w:p w:rsidR="00000000" w:rsidP="00CE0172">
            <w:pPr>
              <w:pStyle w:val="ListBullet"/>
              <w:rPr>
                <w:lang w:val="en-NZ"/>
              </w:rPr>
            </w:pPr>
            <w:r w:rsidRPr="00CE0172">
              <w:t>present solutions referring to the original aim of the application.</w:t>
            </w:r>
          </w:p>
        </w:tc>
      </w:tr>
      <w:tr w:rsidTr="002E13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r w:rsidRPr="00CE0172">
              <w:rPr>
                <w:rStyle w:val="SpecialBold"/>
              </w:rPr>
              <w:t>Required knowledge</w:t>
            </w:r>
            <w:r w:rsidRPr="00CE0172">
              <w:t>:</w:t>
            </w:r>
          </w:p>
        </w:tc>
      </w:tr>
      <w:tr w:rsidTr="002E13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172" w:rsidP="00CE0172">
            <w:pPr>
              <w:pStyle w:val="BodyText"/>
            </w:pPr>
            <w:r w:rsidRPr="00CE0172">
              <w:t>Competency includes sufficient knowledge of:</w:t>
            </w:r>
          </w:p>
          <w:p w:rsidR="00000000" w:rsidRPr="00CE0172" w:rsidP="00CE0172">
            <w:pPr>
              <w:pStyle w:val="ListBullet"/>
            </w:pPr>
            <w:r w:rsidRPr="00CE0172">
              <w:t>basic chemical principles as described in t</w:t>
            </w:r>
            <w:r w:rsidRPr="00CE0172">
              <w:t>he range statement</w:t>
            </w:r>
          </w:p>
          <w:p w:rsidR="00000000" w:rsidRPr="00CE0172" w:rsidP="00CE0172">
            <w:pPr>
              <w:pStyle w:val="ListBullet"/>
            </w:pPr>
            <w:r w:rsidRPr="00CE0172">
              <w:t>limitations of selected chemical principles</w:t>
            </w:r>
          </w:p>
        </w:tc>
      </w:tr>
    </w:tbl>
    <w:p w:rsidR="00000000" w:rsidRPr="00CE0172" w:rsidP="00CE0172">
      <w:pPr>
        <w:pStyle w:val="BodyText"/>
      </w:pPr>
    </w:p>
    <w:p w:rsidR="00000000" w:rsidRPr="00CE0172" w:rsidP="00CE0172">
      <w:pPr>
        <w:pStyle w:val="AllowPageBreak"/>
      </w:pPr>
    </w:p>
    <w:p w:rsidR="00000000" w:rsidRPr="00CE0172" w:rsidP="00CE0172">
      <w:pPr>
        <w:pStyle w:val="Heading1"/>
      </w:pPr>
      <w:bookmarkStart w:id="10" w:name="O_102132"/>
      <w:bookmarkEnd w:id="10"/>
      <w:r w:rsidRPr="00CE0172">
        <w:t>Evidence Guide</w:t>
      </w:r>
    </w:p>
    <w:tbl>
      <w:tblPr>
        <w:tblW w:w="0" w:type="auto"/>
        <w:tblCellMar>
          <w:left w:w="62" w:type="dxa"/>
          <w:right w:w="62" w:type="dxa"/>
        </w:tblCellMar>
        <w:tblLook w:val="0000"/>
      </w:tblPr>
      <w:tblGrid>
        <w:gridCol w:w="2515"/>
        <w:gridCol w:w="6681"/>
      </w:tblGrid>
      <w:tr w:rsidTr="002E13B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r w:rsidRPr="00CE0172">
              <w:rPr>
                <w:rStyle w:val="SpecialBold"/>
              </w:rPr>
              <w:t>EVIDENCE GUIDE</w:t>
            </w:r>
          </w:p>
        </w:tc>
      </w:tr>
      <w:tr w:rsidTr="002E13B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r w:rsidRPr="00CE0172">
              <w:t xml:space="preserve">The Evidence Guide provides advice on assessment and </w:t>
            </w:r>
            <w:r w:rsidRPr="00CE0172">
              <w:t>must be read in conjunction with the Performance Criteria, Required Skills and Knowledge, the Range Statement and the Assessment Guidelines for the Training Package.</w:t>
            </w:r>
          </w:p>
        </w:tc>
      </w:tr>
      <w:tr w:rsidTr="002E13B0">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CE0172">
            <w:pPr>
              <w:pStyle w:val="BodyText"/>
              <w:rPr>
                <w:lang w:val="en-NZ"/>
              </w:rPr>
            </w:pPr>
            <w:r w:rsidRPr="00CE0172">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CE0172">
            <w:pPr>
              <w:pStyle w:val="BodyText"/>
              <w:rPr>
                <w:lang w:val="en-NZ"/>
              </w:rPr>
            </w:pPr>
            <w:r w:rsidRPr="00CE0172">
              <w:t>A person who demonstrates competency in this unit must be able to</w:t>
            </w:r>
            <w:r w:rsidRPr="00CE0172">
              <w:t xml:space="preserve"> calculate and predict chemical outcomes in metallurgical situations.  Critical aspects for assessment and evidence are required to demonstrate competency in this unit.</w:t>
            </w:r>
          </w:p>
        </w:tc>
      </w:tr>
      <w:tr w:rsidTr="002E13B0">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CE0172">
            <w:pPr>
              <w:pStyle w:val="BodyText"/>
              <w:rPr>
                <w:lang w:val="en-NZ"/>
              </w:rPr>
            </w:pPr>
            <w:r w:rsidRPr="00CE0172">
              <w:rPr>
                <w:rStyle w:val="SpecialBold"/>
              </w:rPr>
              <w:t>Critical aspects for assessment and evidence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CE0172" w:rsidP="00CE0172">
            <w:pPr>
              <w:pStyle w:val="BodyText"/>
            </w:pPr>
            <w:r w:rsidRPr="00CE0172">
              <w:t>It is essential that competence is demonstrated in the ability to:</w:t>
            </w:r>
          </w:p>
          <w:p w:rsidR="00000000" w:rsidP="00CE0172">
            <w:pPr>
              <w:pStyle w:val="ListBullet"/>
              <w:rPr>
                <w:lang w:val="en-NZ"/>
              </w:rPr>
            </w:pPr>
            <w:r w:rsidRPr="00CE0172">
              <w:t>Apply the appropriate chemical theory to a given situation, leading to an appropriate solution.</w:t>
            </w:r>
          </w:p>
        </w:tc>
      </w:tr>
      <w:tr w:rsidTr="002E13B0">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CE0172">
            <w:pPr>
              <w:pStyle w:val="BodyText"/>
              <w:rPr>
                <w:lang w:val="en-NZ"/>
              </w:rPr>
            </w:pPr>
            <w:r w:rsidRPr="00CE0172">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CE0172">
            <w:pPr>
              <w:pStyle w:val="BodyText"/>
              <w:rPr>
                <w:lang w:val="en-NZ"/>
              </w:rPr>
            </w:pPr>
            <w:r w:rsidRPr="00CE0172">
              <w:t>This unit may be assessed concurrently with other relevant units.</w:t>
            </w:r>
          </w:p>
        </w:tc>
      </w:tr>
      <w:tr w:rsidTr="002E13B0">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CE0172">
            <w:pPr>
              <w:pStyle w:val="BodyText"/>
              <w:rPr>
                <w:lang w:val="en-NZ"/>
              </w:rPr>
            </w:pPr>
            <w:r w:rsidRPr="00CE0172">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CE0172" w:rsidP="00CE0172">
            <w:pPr>
              <w:pStyle w:val="BodyText"/>
            </w:pPr>
            <w:r w:rsidRPr="00CE0172">
              <w:t>This unit may be assessed on the job, off the job or a combination of both on and off the job.  Where assessment occurs off the jo</w:t>
            </w:r>
            <w:r w:rsidRPr="00CE0172">
              <w:t>b, that is the candidate is not in productive work, then an appropriate simulation must be used where the range of conditions reflects realistic workplace situations.  The competencies covered by this unit would be demonstrated by an individual working alo</w:t>
            </w:r>
            <w:r w:rsidRPr="00CE0172">
              <w:t>ne or as part of a team.  The assessment environment should not disadvantage the candidate.</w:t>
            </w:r>
          </w:p>
          <w:p w:rsidR="00000000" w:rsidRPr="00CE0172" w:rsidP="00CE0172">
            <w:pPr>
              <w:pStyle w:val="BodyText"/>
            </w:pPr>
            <w:r w:rsidRPr="00CE0172">
              <w:t>This unit could be assessed in conjunction with any other units addressing the safety, quality, communication, materials handling, recording and reporting associate</w:t>
            </w:r>
            <w:r w:rsidRPr="00CE0172">
              <w:t>d with applying basic scientific principles and techniques in mechanical engineering situations or other units requiring the exercise of the skills and knowledge covered by this unit.</w:t>
            </w:r>
          </w:p>
          <w:p w:rsidR="00000000" w:rsidRPr="00CE0172" w:rsidP="00CE0172">
            <w:pPr>
              <w:pStyle w:val="BodyText"/>
            </w:pPr>
            <w:r w:rsidRPr="00CE0172">
              <w:t>Assessors should gather a range of evidence that is valid, sufficient, c</w:t>
            </w:r>
            <w:r w:rsidRPr="00CE0172">
              <w:t>urrent and authentic.  Evidence can be gathered through a variety of ways including direct observation, supervisor's reports, project work, samples and questioning.  Questioning techniques should not require language, literacy and numeracy skills beyond th</w:t>
            </w:r>
            <w:r w:rsidRPr="00CE0172">
              <w:t>ose required in this unit of competency.  The candidate must have access to all tools, equipment, materials and documentation required.  The candidate must be permitted to refer to any relevant workplace procedures, product and manufacturing specifications</w:t>
            </w:r>
            <w:r w:rsidRPr="00CE0172">
              <w:t>, codes, standards, manuals and reference materials.</w:t>
            </w:r>
          </w:p>
          <w:p w:rsidR="00000000" w:rsidP="00CE0172">
            <w:pPr>
              <w:pStyle w:val="BodyText"/>
              <w:rPr>
                <w:lang w:val="en-NZ"/>
              </w:rPr>
            </w:pPr>
            <w:r w:rsidRPr="00CE0172">
              <w:t>Assessors must be satisfied that the candidate can competently and consistently perform all elements of the unit as specified by the criteria, including required knowledge, and be capable of applying the</w:t>
            </w:r>
            <w:r w:rsidRPr="00CE0172">
              <w:t xml:space="preserve"> competency in new and different situations and contexts.</w:t>
            </w:r>
          </w:p>
        </w:tc>
      </w:tr>
      <w:tr w:rsidTr="002E13B0">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r w:rsidRPr="00CE0172">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E0172" w:rsidP="00CE0172">
            <w:pPr>
              <w:pStyle w:val="BodyText"/>
            </w:pPr>
            <w:r w:rsidRPr="00CE0172">
              <w:t>This section should be read in conjunction with the range of variables for this unit of competency. A bank of case studies/scenarios and questions will also be required to the</w:t>
            </w:r>
            <w:r w:rsidRPr="00CE0172">
              <w:t xml:space="preserve"> extent that they form part of the assessment method. Questioning may take place either in the workplace, or in an adjacent, quiet facility such as an office or lunchroom. No other special resources are required.</w:t>
            </w:r>
          </w:p>
        </w:tc>
      </w:tr>
    </w:tbl>
    <w:p w:rsidR="00000000" w:rsidRPr="00CE0172" w:rsidP="00CE0172">
      <w:pPr>
        <w:pStyle w:val="BodyText"/>
      </w:pPr>
    </w:p>
    <w:p w:rsidR="00000000" w:rsidRPr="00CE0172" w:rsidP="00CE0172">
      <w:pPr>
        <w:pStyle w:val="AllowPageBreak"/>
      </w:pPr>
    </w:p>
    <w:p w:rsidR="00000000" w:rsidRPr="00CE0172" w:rsidP="00CE0172">
      <w:pPr>
        <w:pStyle w:val="Heading1"/>
      </w:pPr>
      <w:bookmarkStart w:id="11" w:name="O_102133"/>
      <w:bookmarkEnd w:id="11"/>
      <w:r w:rsidRPr="00CE0172">
        <w:t>Range Statement</w:t>
      </w:r>
    </w:p>
    <w:tbl>
      <w:tblPr>
        <w:tblW w:w="0" w:type="auto"/>
        <w:tblCellMar>
          <w:left w:w="62" w:type="dxa"/>
          <w:right w:w="62" w:type="dxa"/>
        </w:tblCellMar>
        <w:tblLook w:val="0000"/>
      </w:tblPr>
      <w:tblGrid>
        <w:gridCol w:w="2510"/>
        <w:gridCol w:w="6686"/>
      </w:tblGrid>
      <w:tr w:rsidTr="002E13B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r w:rsidRPr="00CE0172">
              <w:rPr>
                <w:rStyle w:val="SpecialBold"/>
              </w:rPr>
              <w:t>RANGE STATEMENT</w:t>
            </w:r>
          </w:p>
        </w:tc>
      </w:tr>
      <w:tr w:rsidTr="002E13B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r w:rsidRPr="00CE0172">
              <w:t>The range statement relates to the unit of competency as a whole. It allows for different work environments and situations that may affect performance. Bold italicised wording, if used in the performance criteria, is detailed below. Essen</w:t>
            </w:r>
            <w:r w:rsidRPr="00CE0172">
              <w:t>tial operating conditions that may be present with training and assessment (depending on the work situation, needs of the candidate, accessibility of the item, and local industry and regional contexts) may also be included.</w:t>
            </w:r>
          </w:p>
        </w:tc>
      </w:tr>
      <w:tr w:rsidTr="002E13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r w:rsidRPr="00CE0172">
              <w:rPr>
                <w:rStyle w:val="SpecialBold"/>
              </w:rPr>
              <w:t>Codes of practice</w:t>
            </w:r>
            <w:r w:rsidRPr="00CE0172">
              <w:t>/</w:t>
            </w:r>
            <w:r w:rsidRPr="00CE0172">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r w:rsidRPr="00CE0172">
              <w:t>Where reference is made to industry codes of practice, and/or Australian/international standards, it is expected the latest version will be used.</w:t>
            </w:r>
          </w:p>
        </w:tc>
      </w:tr>
      <w:tr w:rsidTr="002E13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r w:rsidRPr="00CE0172">
              <w:rPr>
                <w:rStyle w:val="SpecialBold"/>
              </w:rPr>
              <w:t>Metallurgy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r w:rsidRPr="00CE0172">
              <w:t>Metallurgy covers the scientific and technical oversight of the extraction, smelting, refining, ca</w:t>
            </w:r>
            <w:r w:rsidRPr="00CE0172">
              <w:t>sting, heat treating, welding, forging and fabrication of metals to produce commercial metal products or to develop new alloys and processes.</w:t>
            </w:r>
          </w:p>
        </w:tc>
      </w:tr>
      <w:tr w:rsidTr="002E13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r w:rsidRPr="00CE0172">
              <w:rPr>
                <w:rStyle w:val="SpecialBold"/>
              </w:rPr>
              <w:t>Sources of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r w:rsidRPr="00CE0172">
              <w:t>Sources of information include reference texts, manufacturers' catalogues and industrial m</w:t>
            </w:r>
            <w:r w:rsidRPr="00CE0172">
              <w:t>agazines, websites, use of phone, email and fax information gathering.</w:t>
            </w:r>
          </w:p>
        </w:tc>
      </w:tr>
      <w:tr w:rsidTr="002E13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r w:rsidRPr="00CE0172">
              <w:rPr>
                <w:rStyle w:val="SpecialBold"/>
              </w:rPr>
              <w:t>Chemical techniques and principles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172" w:rsidP="00CE0172">
            <w:pPr>
              <w:pStyle w:val="BodyText"/>
            </w:pPr>
            <w:r w:rsidRPr="00CE0172">
              <w:t>The Constitution of Matter</w:t>
            </w:r>
          </w:p>
          <w:p w:rsidR="00000000" w:rsidRPr="00CE0172" w:rsidP="00CE0172">
            <w:pPr>
              <w:pStyle w:val="ListBullet"/>
            </w:pPr>
            <w:r w:rsidRPr="00CE0172">
              <w:t>elements, compounds, mixtures, states of</w:t>
            </w:r>
          </w:p>
          <w:p w:rsidR="00000000" w:rsidRPr="00CE0172" w:rsidP="00CE0172">
            <w:pPr>
              <w:pStyle w:val="ListBullet"/>
            </w:pPr>
            <w:r w:rsidRPr="00CE0172">
              <w:t>matter;</w:t>
            </w:r>
          </w:p>
          <w:p w:rsidR="00000000" w:rsidRPr="00CE0172" w:rsidP="00CE0172">
            <w:pPr>
              <w:pStyle w:val="ListBullet"/>
            </w:pPr>
            <w:r w:rsidRPr="00CE0172">
              <w:t>atomic structure: protons, neutrons electrons;</w:t>
            </w:r>
          </w:p>
          <w:p w:rsidR="00000000" w:rsidRPr="00CE0172" w:rsidP="00CE0172">
            <w:pPr>
              <w:pStyle w:val="ListBullet"/>
            </w:pPr>
            <w:r w:rsidRPr="00CE0172">
              <w:t>electron structure of atoms;</w:t>
            </w:r>
          </w:p>
          <w:p w:rsidR="00000000" w:rsidRPr="00CE0172" w:rsidP="00CE0172">
            <w:pPr>
              <w:pStyle w:val="ListBullet"/>
            </w:pPr>
            <w:r w:rsidRPr="00CE0172">
              <w:t>the Bohr atom</w:t>
            </w:r>
          </w:p>
          <w:p w:rsidR="00000000" w:rsidRPr="00CE0172" w:rsidP="00CE0172">
            <w:pPr>
              <w:pStyle w:val="BodyText"/>
            </w:pPr>
            <w:r w:rsidRPr="00CE0172">
              <w:t>The Periodic Table</w:t>
            </w:r>
          </w:p>
          <w:p w:rsidR="00000000" w:rsidRPr="00CE0172" w:rsidP="00CE0172">
            <w:pPr>
              <w:pStyle w:val="BodyText"/>
            </w:pPr>
          </w:p>
          <w:p w:rsidR="00000000" w:rsidRPr="00CE0172" w:rsidP="00CE0172">
            <w:pPr>
              <w:pStyle w:val="BodyText"/>
            </w:pPr>
            <w:r w:rsidRPr="00CE0172">
              <w:t>The Constitution of Matter</w:t>
            </w:r>
          </w:p>
          <w:p w:rsidR="00000000" w:rsidRPr="00CE0172" w:rsidP="00CE0172">
            <w:pPr>
              <w:pStyle w:val="ListBullet"/>
            </w:pPr>
            <w:r w:rsidRPr="00CE0172">
              <w:t>chemical bonding: ionic, covalent, metallic;</w:t>
            </w:r>
          </w:p>
          <w:p w:rsidR="00000000" w:rsidRPr="00CE0172" w:rsidP="00CE0172">
            <w:pPr>
              <w:pStyle w:val="ListBullet"/>
            </w:pPr>
            <w:r w:rsidRPr="00CE0172">
              <w:t>valencies of common ions and radicals;</w:t>
            </w:r>
          </w:p>
          <w:p w:rsidR="00000000" w:rsidRPr="00CE0172" w:rsidP="00CE0172">
            <w:pPr>
              <w:pStyle w:val="ListBullet"/>
            </w:pPr>
            <w:r w:rsidRPr="00CE0172">
              <w:t>chemical reactions: balancing equations;</w:t>
            </w:r>
          </w:p>
          <w:p w:rsidR="00000000" w:rsidRPr="00CE0172" w:rsidP="00CE0172">
            <w:pPr>
              <w:pStyle w:val="ListBullet"/>
            </w:pPr>
            <w:r w:rsidRPr="00CE0172">
              <w:t>molecular &amp; ionic equations;</w:t>
            </w:r>
          </w:p>
          <w:p w:rsidR="00000000" w:rsidRPr="00CE0172" w:rsidP="00CE0172">
            <w:pPr>
              <w:pStyle w:val="ListBullet"/>
            </w:pPr>
            <w:r w:rsidRPr="00CE0172">
              <w:t>Avogadro's n</w:t>
            </w:r>
            <w:r w:rsidRPr="00CE0172">
              <w:t>umber and the mole concept;</w:t>
            </w:r>
          </w:p>
          <w:p w:rsidR="00000000" w:rsidRPr="00CE0172" w:rsidP="00CE0172">
            <w:pPr>
              <w:pStyle w:val="ListBullet"/>
            </w:pPr>
            <w:r w:rsidRPr="00CE0172">
              <w:t>solubility and precipitation, solution concentration;</w:t>
            </w:r>
          </w:p>
          <w:p w:rsidR="00000000" w:rsidRPr="00CE0172" w:rsidP="00CE0172">
            <w:pPr>
              <w:pStyle w:val="ListBullet"/>
            </w:pPr>
            <w:r w:rsidRPr="00CE0172">
              <w:t>stoichiometric calculations.</w:t>
            </w:r>
          </w:p>
          <w:p w:rsidR="00000000" w:rsidRPr="00CE0172" w:rsidP="00CE0172">
            <w:pPr>
              <w:pStyle w:val="BodyText"/>
            </w:pPr>
            <w:r w:rsidRPr="00CE0172">
              <w:t>The Gas Laws</w:t>
            </w:r>
          </w:p>
          <w:p w:rsidR="00000000" w:rsidRPr="00CE0172" w:rsidP="00CE0172">
            <w:pPr>
              <w:pStyle w:val="ListBullet"/>
            </w:pPr>
            <w:r w:rsidRPr="00CE0172">
              <w:t>Kinetic Theory;</w:t>
            </w:r>
          </w:p>
          <w:p w:rsidR="00000000" w:rsidRPr="00CE0172" w:rsidP="00CE0172">
            <w:pPr>
              <w:pStyle w:val="ListBullet"/>
            </w:pPr>
            <w:r w:rsidRPr="00CE0172">
              <w:t>Boyles Law, Charles Law, Combined Gas</w:t>
            </w:r>
          </w:p>
          <w:p w:rsidR="00000000" w:rsidRPr="00CE0172" w:rsidP="00CE0172">
            <w:pPr>
              <w:pStyle w:val="ListBullet"/>
            </w:pPr>
            <w:r w:rsidRPr="00CE0172">
              <w:t>Law;</w:t>
            </w:r>
          </w:p>
          <w:p w:rsidR="00000000" w:rsidRPr="00CE0172" w:rsidP="00CE0172">
            <w:pPr>
              <w:pStyle w:val="ListBullet"/>
            </w:pPr>
            <w:r w:rsidRPr="00CE0172">
              <w:t>Ideal Gas equation PV=nRT, molar volume of</w:t>
            </w:r>
          </w:p>
          <w:p w:rsidR="00000000" w:rsidRPr="00CE0172" w:rsidP="00CE0172">
            <w:pPr>
              <w:pStyle w:val="ListBullet"/>
            </w:pPr>
            <w:r w:rsidRPr="00CE0172">
              <w:t>a gas;</w:t>
            </w:r>
          </w:p>
          <w:p w:rsidR="00000000" w:rsidRPr="00CE0172" w:rsidP="00CE0172">
            <w:pPr>
              <w:pStyle w:val="ListBullet"/>
            </w:pPr>
            <w:r w:rsidRPr="00CE0172">
              <w:t>Gay-Lussac's Law, Avoga</w:t>
            </w:r>
            <w:r w:rsidRPr="00CE0172">
              <w:t>dro's Law;</w:t>
            </w:r>
          </w:p>
          <w:p w:rsidR="00000000" w:rsidRPr="00CE0172" w:rsidP="00CE0172">
            <w:pPr>
              <w:pStyle w:val="ListBullet"/>
            </w:pPr>
            <w:r w:rsidRPr="00CE0172">
              <w:t>gas reaction calculations.</w:t>
            </w:r>
          </w:p>
          <w:p w:rsidR="00000000" w:rsidRPr="00CE0172" w:rsidP="00CE0172">
            <w:pPr>
              <w:pStyle w:val="BodyText"/>
            </w:pPr>
            <w:r w:rsidRPr="00CE0172">
              <w:t>Oxidation and Reduction</w:t>
            </w:r>
          </w:p>
          <w:p w:rsidR="00000000" w:rsidRPr="00CE0172" w:rsidP="00CE0172">
            <w:pPr>
              <w:pStyle w:val="ListBullet"/>
            </w:pPr>
            <w:r w:rsidRPr="00CE0172">
              <w:t>definitions of oxidation and reduction;</w:t>
            </w:r>
          </w:p>
          <w:p w:rsidR="00000000" w:rsidRPr="00CE0172" w:rsidP="00CE0172">
            <w:pPr>
              <w:pStyle w:val="ListBullet"/>
            </w:pPr>
            <w:r w:rsidRPr="00CE0172">
              <w:t>half reactions;</w:t>
            </w:r>
          </w:p>
          <w:p w:rsidR="00000000" w:rsidRPr="00CE0172" w:rsidP="00CE0172">
            <w:pPr>
              <w:pStyle w:val="ListBullet"/>
            </w:pPr>
            <w:r w:rsidRPr="00CE0172">
              <w:t>balancing redox equations;</w:t>
            </w:r>
          </w:p>
          <w:p w:rsidR="00000000" w:rsidRPr="00CE0172" w:rsidP="00CE0172">
            <w:pPr>
              <w:pStyle w:val="ListBullet"/>
            </w:pPr>
            <w:r w:rsidRPr="00CE0172">
              <w:t>significance of oxidation and reduction in metallurgy</w:t>
            </w:r>
          </w:p>
          <w:p w:rsidR="00000000" w:rsidRPr="00CE0172" w:rsidP="00CE0172">
            <w:pPr>
              <w:pStyle w:val="BodyText"/>
            </w:pPr>
            <w:r w:rsidRPr="00CE0172">
              <w:t>Thermodynamics</w:t>
            </w:r>
          </w:p>
          <w:p w:rsidR="00000000" w:rsidRPr="00CE0172" w:rsidP="00CE0172">
            <w:pPr>
              <w:pStyle w:val="ListBullet"/>
            </w:pPr>
            <w:r w:rsidRPr="00CE0172">
              <w:t>First Law of Thermodynamics;</w:t>
            </w:r>
          </w:p>
          <w:p w:rsidR="00000000" w:rsidRPr="00CE0172" w:rsidP="00CE0172">
            <w:pPr>
              <w:pStyle w:val="ListBullet"/>
            </w:pPr>
            <w:r w:rsidRPr="00CE0172">
              <w:t>Exothermic and endothermic reactions</w:t>
            </w:r>
          </w:p>
          <w:p w:rsidR="00000000" w:rsidRPr="00CE0172" w:rsidP="00CE0172">
            <w:pPr>
              <w:pStyle w:val="ListBullet"/>
            </w:pPr>
            <w:r w:rsidRPr="00CE0172">
              <w:t>Heats of reaction, combustion,etc;</w:t>
            </w:r>
          </w:p>
          <w:p w:rsidR="00000000" w:rsidRPr="00CE0172" w:rsidP="00CE0172">
            <w:pPr>
              <w:pStyle w:val="ListBullet"/>
            </w:pPr>
            <w:r w:rsidRPr="00CE0172">
              <w:t>Hess' Law</w:t>
            </w:r>
          </w:p>
          <w:p w:rsidR="00000000" w:rsidRPr="00CE0172" w:rsidP="00CE0172">
            <w:pPr>
              <w:pStyle w:val="ListBullet"/>
            </w:pPr>
            <w:r w:rsidRPr="00CE0172">
              <w:t>Heat capacity, Kirchoff's Law</w:t>
            </w:r>
          </w:p>
          <w:p w:rsidR="00000000" w:rsidRPr="00CE0172" w:rsidP="00CE0172">
            <w:pPr>
              <w:pStyle w:val="ListBullet"/>
            </w:pPr>
            <w:r w:rsidRPr="00CE0172">
              <w:t>Acid-base theory, hydrolysis;</w:t>
            </w:r>
          </w:p>
          <w:p w:rsidR="00000000" w:rsidRPr="00CE0172" w:rsidP="00CE0172">
            <w:pPr>
              <w:pStyle w:val="ListBullet"/>
            </w:pPr>
            <w:r w:rsidRPr="00CE0172">
              <w:t>Ionic product for water: pH, and pOH, the pH scale</w:t>
            </w:r>
          </w:p>
          <w:p w:rsidR="00000000" w:rsidRPr="00CE0172" w:rsidP="00CE0172">
            <w:pPr>
              <w:pStyle w:val="ListBullet"/>
            </w:pPr>
            <w:r w:rsidRPr="00CE0172">
              <w:t>Equilibrium constant</w:t>
            </w:r>
          </w:p>
          <w:p w:rsidR="00000000" w:rsidRPr="00CE0172" w:rsidP="00CE0172">
            <w:pPr>
              <w:pStyle w:val="ListBullet"/>
            </w:pPr>
            <w:r w:rsidRPr="00CE0172">
              <w:t>Effect of temperature and pressure on equi</w:t>
            </w:r>
            <w:r w:rsidRPr="00CE0172">
              <w:t>librium constant</w:t>
            </w:r>
          </w:p>
          <w:p w:rsidR="00000000" w:rsidRPr="00CE0172" w:rsidP="00CE0172">
            <w:pPr>
              <w:pStyle w:val="BodyText"/>
            </w:pPr>
            <w:r w:rsidRPr="00CE0172">
              <w:t>Equilibrium and Free Energy Change</w:t>
            </w:r>
          </w:p>
          <w:p w:rsidR="00000000" w:rsidRPr="00CE0172" w:rsidP="00CE0172">
            <w:pPr>
              <w:pStyle w:val="ListBullet"/>
            </w:pPr>
            <w:r w:rsidRPr="00CE0172">
              <w:t>Carnot cycle: concept of entropy;</w:t>
            </w:r>
          </w:p>
          <w:p w:rsidR="00000000" w:rsidRPr="00CE0172" w:rsidP="00CE0172">
            <w:pPr>
              <w:pStyle w:val="ListBullet"/>
            </w:pPr>
            <w:r w:rsidRPr="00CE0172">
              <w:t>Second Law of Thermodynamics;</w:t>
            </w:r>
          </w:p>
          <w:p w:rsidR="00000000" w:rsidRPr="00CE0172" w:rsidP="00CE0172">
            <w:pPr>
              <w:pStyle w:val="ListBullet"/>
            </w:pPr>
            <w:r w:rsidRPr="00CE0172">
              <w:t>Gibbs free energy;</w:t>
            </w:r>
          </w:p>
          <w:p w:rsidR="00000000" w:rsidRPr="00CE0172" w:rsidP="00CE0172">
            <w:pPr>
              <w:pStyle w:val="ListBullet"/>
            </w:pPr>
            <w:r w:rsidRPr="00CE0172">
              <w:t>Relationship between free energy and equilibrium constant;</w:t>
            </w:r>
          </w:p>
          <w:p w:rsidR="00000000" w:rsidRPr="00CE0172" w:rsidP="00CE0172">
            <w:pPr>
              <w:pStyle w:val="ListBullet"/>
            </w:pPr>
            <w:r w:rsidRPr="00CE0172">
              <w:t>Van't Hoff isotherm, Ban't Hoss isochore</w:t>
            </w:r>
          </w:p>
          <w:p w:rsidR="00000000" w:rsidRPr="00CE0172" w:rsidP="00CE0172">
            <w:pPr>
              <w:pStyle w:val="ListBullet"/>
            </w:pPr>
            <w:r w:rsidRPr="00CE0172">
              <w:t xml:space="preserve">Relationship between </w:t>
            </w:r>
            <w:r w:rsidRPr="00CE0172">
              <w:t>free energy and temperature</w:t>
            </w:r>
          </w:p>
          <w:p w:rsidR="00000000" w:rsidRPr="00CE0172" w:rsidP="00CE0172">
            <w:pPr>
              <w:pStyle w:val="BodyText"/>
            </w:pPr>
            <w:r w:rsidRPr="00CE0172">
              <w:t>Rates of Chemical Reactions</w:t>
            </w:r>
          </w:p>
          <w:p w:rsidR="00000000" w:rsidRPr="00CE0172" w:rsidP="00CE0172">
            <w:pPr>
              <w:pStyle w:val="ListBullet"/>
            </w:pPr>
            <w:r w:rsidRPr="00CE0172">
              <w:t>Factors affecting rates of reaction;</w:t>
            </w:r>
          </w:p>
          <w:p w:rsidR="00000000" w:rsidRPr="00CE0172" w:rsidP="00CE0172">
            <w:pPr>
              <w:pStyle w:val="ListBullet"/>
            </w:pPr>
            <w:r w:rsidRPr="00CE0172">
              <w:t>Collisions theory, activation energy;</w:t>
            </w:r>
          </w:p>
          <w:p w:rsidR="00000000" w:rsidRPr="00CE0172" w:rsidP="00CE0172">
            <w:pPr>
              <w:pStyle w:val="ListBullet"/>
            </w:pPr>
            <w:r w:rsidRPr="00CE0172">
              <w:t>Theory of absolute reaction times</w:t>
            </w:r>
          </w:p>
          <w:p w:rsidR="00000000" w:rsidRPr="00CE0172" w:rsidP="00CE0172">
            <w:pPr>
              <w:pStyle w:val="BodyText"/>
            </w:pPr>
            <w:r w:rsidRPr="00CE0172">
              <w:t>Electrochemistry</w:t>
            </w:r>
          </w:p>
          <w:p w:rsidR="00000000" w:rsidRPr="00CE0172" w:rsidP="00CE0172">
            <w:pPr>
              <w:pStyle w:val="ListBullet"/>
            </w:pPr>
            <w:r w:rsidRPr="00CE0172">
              <w:t>Electrolytic conduction: ionic conduction;</w:t>
            </w:r>
          </w:p>
          <w:p w:rsidR="00000000" w:rsidRPr="00CE0172" w:rsidP="00CE0172">
            <w:pPr>
              <w:pStyle w:val="ListBullet"/>
            </w:pPr>
            <w:r w:rsidRPr="00CE0172">
              <w:t>Theories of ionisation;</w:t>
            </w:r>
          </w:p>
          <w:p w:rsidR="00000000" w:rsidRPr="00CE0172" w:rsidP="00CE0172">
            <w:pPr>
              <w:pStyle w:val="ListBullet"/>
            </w:pPr>
            <w:r w:rsidRPr="00CE0172">
              <w:t>Ostwald</w:t>
            </w:r>
            <w:r w:rsidRPr="00CE0172">
              <w:t>s's dilution law, Onsager equation;</w:t>
            </w:r>
          </w:p>
          <w:p w:rsidR="00000000" w:rsidRPr="00CE0172" w:rsidP="00CE0172">
            <w:pPr>
              <w:pStyle w:val="ListBullet"/>
            </w:pPr>
            <w:r w:rsidRPr="00CE0172">
              <w:t>Electrode potential, electrical double layer;</w:t>
            </w:r>
          </w:p>
          <w:p w:rsidR="00000000" w:rsidRPr="00CE0172" w:rsidP="00CE0172">
            <w:pPr>
              <w:pStyle w:val="ListBullet"/>
            </w:pPr>
            <w:r w:rsidRPr="00CE0172">
              <w:t>Redox potentials, e.m.f series;</w:t>
            </w:r>
          </w:p>
          <w:p w:rsidR="00000000" w:rsidRPr="00CE0172" w:rsidP="00CE0172">
            <w:pPr>
              <w:pStyle w:val="ListBullet"/>
            </w:pPr>
            <w:r w:rsidRPr="00CE0172">
              <w:t>Electrochemical cells, anodes, and cathodes (definition);</w:t>
            </w:r>
          </w:p>
          <w:p w:rsidR="00000000" w:rsidRPr="00CE0172" w:rsidP="00CE0172">
            <w:pPr>
              <w:pStyle w:val="ListBullet"/>
            </w:pPr>
            <w:r w:rsidRPr="00CE0172">
              <w:t>Nernst equation;</w:t>
            </w:r>
          </w:p>
          <w:p w:rsidR="00000000" w:rsidRPr="00CE0172" w:rsidP="00CE0172">
            <w:pPr>
              <w:pStyle w:val="ListBullet"/>
            </w:pPr>
            <w:r w:rsidRPr="00CE0172">
              <w:t>Applications of electrochemistry;</w:t>
            </w:r>
          </w:p>
          <w:p w:rsidR="00000000" w:rsidRPr="00CE0172" w:rsidP="00CE0172">
            <w:pPr>
              <w:pStyle w:val="ListBullet"/>
            </w:pPr>
            <w:r w:rsidRPr="00CE0172">
              <w:t xml:space="preserve">Galvanic series, Pourbaix diagrams, </w:t>
            </w:r>
          </w:p>
          <w:p w:rsidR="00000000" w:rsidP="00CE0172">
            <w:pPr>
              <w:pStyle w:val="ListBullet"/>
              <w:rPr>
                <w:lang w:val="en-NZ"/>
              </w:rPr>
            </w:pPr>
            <w:r w:rsidRPr="00CE0172">
              <w:t>Corrosion, electroplating, refining</w:t>
            </w:r>
          </w:p>
        </w:tc>
      </w:tr>
      <w:tr w:rsidTr="002E13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r w:rsidRPr="00CE0172">
              <w:rPr>
                <w:rStyle w:val="SpecialBold"/>
              </w:rPr>
              <w:t>Significant figures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172" w:rsidP="00CE0172">
            <w:pPr>
              <w:pStyle w:val="BodyText"/>
            </w:pPr>
            <w:r w:rsidRPr="00CE0172">
              <w:t>Are those relevant to accuracy and are appropriate to the process, data and desired range of results</w:t>
            </w:r>
          </w:p>
        </w:tc>
      </w:tr>
    </w:tbl>
    <w:p w:rsidR="002E13B0" w:rsidP="00CE0172">
      <w:pPr>
        <w:pStyle w:val="BodyText"/>
      </w:pPr>
    </w:p>
    <w:p w:rsidR="002E13B0" w:rsidP="00CE0172">
      <w:pPr>
        <w:pStyle w:val="BodyText"/>
      </w:pPr>
    </w:p>
    <w:p w:rsidR="00000000" w:rsidRPr="00CE0172" w:rsidP="00CE0172">
      <w:pPr>
        <w:pStyle w:val="Heading1"/>
      </w:pPr>
      <w:bookmarkStart w:id="12" w:name="O_102134"/>
      <w:bookmarkEnd w:id="12"/>
      <w:r w:rsidRPr="00CE0172">
        <w:t>Unit Sector(s)</w:t>
      </w:r>
    </w:p>
    <w:tbl>
      <w:tblPr>
        <w:tblW w:w="0" w:type="auto"/>
        <w:tblCellMar>
          <w:left w:w="62" w:type="dxa"/>
          <w:right w:w="62" w:type="dxa"/>
        </w:tblCellMar>
        <w:tblLook w:val="0000"/>
      </w:tblPr>
      <w:tblGrid>
        <w:gridCol w:w="2376"/>
        <w:gridCol w:w="6820"/>
      </w:tblGrid>
      <w:tr w:rsidTr="002E13B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r w:rsidRPr="00CE0172">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172" w:rsidP="00CE0172">
            <w:pPr>
              <w:pStyle w:val="BodyText"/>
            </w:pPr>
            <w:r w:rsidRPr="00CE0172">
              <w:t>Metallurgy</w:t>
            </w:r>
          </w:p>
        </w:tc>
      </w:tr>
    </w:tbl>
    <w:p w:rsidR="00000000" w:rsidRPr="00CE0172" w:rsidP="00CE0172">
      <w:pPr>
        <w:pStyle w:val="BodyText"/>
      </w:pPr>
    </w:p>
    <w:p w:rsidR="00000000" w:rsidRPr="00CE0172" w:rsidP="00CE0172">
      <w:pPr>
        <w:pStyle w:val="AllowPageBreak"/>
      </w:pPr>
    </w:p>
    <w:p w:rsidR="00000000" w:rsidRPr="00CE0172" w:rsidP="00CE0172">
      <w:pPr>
        <w:pStyle w:val="Heading1"/>
      </w:pPr>
      <w:bookmarkStart w:id="13" w:name="O_159336"/>
      <w:bookmarkEnd w:id="13"/>
      <w:r w:rsidRPr="00CE0172">
        <w:t>Competency field</w:t>
      </w:r>
    </w:p>
    <w:tbl>
      <w:tblPr>
        <w:tblW w:w="0" w:type="auto"/>
        <w:tblCellMar>
          <w:left w:w="62" w:type="dxa"/>
          <w:right w:w="62" w:type="dxa"/>
        </w:tblCellMar>
        <w:tblLook w:val="0000"/>
      </w:tblPr>
      <w:tblGrid>
        <w:gridCol w:w="2376"/>
        <w:gridCol w:w="6820"/>
      </w:tblGrid>
      <w:tr w:rsidTr="002E13B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r w:rsidRPr="00CE0172">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172" w:rsidP="00CE0172">
            <w:pPr>
              <w:pStyle w:val="BodyText"/>
            </w:pPr>
          </w:p>
        </w:tc>
      </w:tr>
    </w:tbl>
    <w:p w:rsidR="00000000" w:rsidRPr="00CE0172" w:rsidP="00CE0172">
      <w:pPr>
        <w:pStyle w:val="BodyText"/>
      </w:pPr>
    </w:p>
    <w:p w:rsidR="00000000" w:rsidRPr="00CE0172" w:rsidP="00CE0172">
      <w:pPr>
        <w:pStyle w:val="AllowPageBreak"/>
      </w:pPr>
    </w:p>
    <w:p w:rsidR="00000000" w:rsidRPr="00CE0172" w:rsidP="00CE0172">
      <w:pPr>
        <w:pStyle w:val="Heading1"/>
      </w:pPr>
      <w:bookmarkStart w:id="14" w:name="O_159335"/>
      <w:bookmarkEnd w:id="14"/>
      <w:r w:rsidRPr="00CE0172">
        <w:t>Co-requisite units</w:t>
      </w:r>
    </w:p>
    <w:tbl>
      <w:tblPr>
        <w:tblW w:w="0" w:type="auto"/>
        <w:tblCellMar>
          <w:left w:w="62" w:type="dxa"/>
          <w:right w:w="62" w:type="dxa"/>
        </w:tblCellMar>
        <w:tblLook w:val="0000"/>
      </w:tblPr>
      <w:tblGrid>
        <w:gridCol w:w="2376"/>
        <w:gridCol w:w="1739"/>
        <w:gridCol w:w="5081"/>
      </w:tblGrid>
      <w:tr w:rsidTr="002E13B0">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r w:rsidRPr="00CE0172">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172">
            <w:pPr>
              <w:pStyle w:val="BodyText"/>
              <w:rPr>
                <w:lang w:val="en-NZ"/>
              </w:rPr>
            </w:pPr>
          </w:p>
        </w:tc>
      </w:tr>
      <w:tr w:rsidTr="002E13B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172" w:rsidP="00CE0172">
            <w:pPr>
              <w:pStyle w:val="BodyText"/>
            </w:pPr>
          </w:p>
        </w:tc>
      </w:tr>
    </w:tbl>
    <w:p w:rsidR="00000000" w:rsidRPr="00CE0172" w:rsidP="00CE0172">
      <w:pPr>
        <w:pStyle w:val="BodyText"/>
      </w:pPr>
    </w:p>
    <w:p w:rsidR="00000000" w:rsidRPr="00CE0172" w:rsidP="00CE0172"/>
    <w:sectPr w:rsidSect="00CE01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1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13B0" w:rsidP="002E13B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1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3B0" w:rsidP="00CE017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E13B0" w:rsidP="00CE01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E13B0" w:rsidP="00CE01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1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172" w:rsidRPr="002E13B0" w:rsidP="002E13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1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3B0" w:rsidRPr="002D2AF8" w:rsidP="00CE0172">
    <w:pPr>
      <w:pStyle w:val="Header"/>
      <w:framePr w:wrap="around"/>
    </w:pPr>
    <w:r>
      <w:fldChar w:fldCharType="begin"/>
    </w:r>
    <w:r>
      <w:instrText xml:space="preserve"> TITLE   \* MERGEFORMAT </w:instrText>
    </w:r>
    <w:r>
      <w:fldChar w:fldCharType="separate"/>
    </w:r>
    <w:r>
      <w:t>MSATCM501A Calculate and predict chemical outcomes in metallurgical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E13B0" w:rsidP="00CE01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A2B8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1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0172"/>
    <w:pPr>
      <w:spacing w:before="360" w:after="60"/>
      <w:outlineLvl w:val="0"/>
    </w:pPr>
    <w:rPr>
      <w:sz w:val="32"/>
    </w:rPr>
  </w:style>
  <w:style w:type="paragraph" w:styleId="Heading2">
    <w:name w:val="heading 2"/>
    <w:basedOn w:val="HeadingBase"/>
    <w:next w:val="BodyText"/>
    <w:link w:val="Heading2Char"/>
    <w:qFormat/>
    <w:rsid w:val="00CE0172"/>
    <w:pPr>
      <w:keepLines/>
      <w:spacing w:before="240" w:after="120"/>
      <w:outlineLvl w:val="1"/>
    </w:pPr>
    <w:rPr>
      <w:sz w:val="28"/>
      <w:szCs w:val="40"/>
    </w:rPr>
  </w:style>
  <w:style w:type="paragraph" w:styleId="Heading3">
    <w:name w:val="heading 3"/>
    <w:basedOn w:val="HeadingBase"/>
    <w:next w:val="BodyText"/>
    <w:link w:val="Heading3Char"/>
    <w:qFormat/>
    <w:rsid w:val="00CE0172"/>
    <w:pPr>
      <w:spacing w:before="180" w:after="120"/>
      <w:outlineLvl w:val="2"/>
    </w:pPr>
    <w:rPr>
      <w:spacing w:val="-10"/>
      <w:kern w:val="32"/>
    </w:rPr>
  </w:style>
  <w:style w:type="paragraph" w:styleId="Heading4">
    <w:name w:val="heading 4"/>
    <w:basedOn w:val="HeadingBase"/>
    <w:next w:val="BodyText"/>
    <w:link w:val="Heading4Char"/>
    <w:qFormat/>
    <w:rsid w:val="00CE0172"/>
    <w:pPr>
      <w:spacing w:before="160" w:after="120"/>
      <w:outlineLvl w:val="3"/>
    </w:pPr>
    <w:rPr>
      <w:sz w:val="22"/>
    </w:rPr>
  </w:style>
  <w:style w:type="paragraph" w:styleId="Heading5">
    <w:name w:val="heading 5"/>
    <w:basedOn w:val="HeadingBase"/>
    <w:next w:val="Normal"/>
    <w:link w:val="Heading5Char"/>
    <w:qFormat/>
    <w:rsid w:val="00CE0172"/>
    <w:pPr>
      <w:spacing w:before="80"/>
      <w:outlineLvl w:val="4"/>
    </w:pPr>
    <w:rPr>
      <w:color w:val="918585"/>
      <w:sz w:val="20"/>
    </w:rPr>
  </w:style>
  <w:style w:type="paragraph" w:styleId="Heading6">
    <w:name w:val="heading 6"/>
    <w:basedOn w:val="HeadingBase"/>
    <w:next w:val="Normal"/>
    <w:link w:val="Heading6Char"/>
    <w:qFormat/>
    <w:rsid w:val="00CE0172"/>
    <w:pPr>
      <w:spacing w:before="60"/>
      <w:outlineLvl w:val="5"/>
    </w:pPr>
    <w:rPr>
      <w:color w:val="918585"/>
      <w:sz w:val="20"/>
    </w:rPr>
  </w:style>
  <w:style w:type="paragraph" w:styleId="Heading7">
    <w:name w:val="heading 7"/>
    <w:basedOn w:val="Normal"/>
    <w:next w:val="Normal"/>
    <w:link w:val="Heading7Char"/>
    <w:qFormat/>
    <w:rsid w:val="00CE0172"/>
    <w:pPr>
      <w:ind w:left="720"/>
      <w:outlineLvl w:val="6"/>
    </w:pPr>
    <w:rPr>
      <w:i/>
    </w:rPr>
  </w:style>
  <w:style w:type="paragraph" w:styleId="Heading8">
    <w:name w:val="heading 8"/>
    <w:basedOn w:val="Normal"/>
    <w:next w:val="Normal"/>
    <w:link w:val="Heading8Char"/>
    <w:qFormat/>
    <w:rsid w:val="00CE0172"/>
    <w:pPr>
      <w:ind w:left="720"/>
      <w:outlineLvl w:val="7"/>
    </w:pPr>
    <w:rPr>
      <w:i/>
    </w:rPr>
  </w:style>
  <w:style w:type="paragraph" w:styleId="Heading9">
    <w:name w:val="heading 9"/>
    <w:basedOn w:val="Normal"/>
    <w:next w:val="Normal"/>
    <w:link w:val="Heading9Char"/>
    <w:qFormat/>
    <w:rsid w:val="00CE0172"/>
    <w:pPr>
      <w:ind w:left="720"/>
      <w:outlineLvl w:val="8"/>
    </w:pPr>
    <w:rPr>
      <w:i/>
    </w:rPr>
  </w:style>
  <w:style w:type="character" w:default="1" w:styleId="DefaultParagraphFont">
    <w:name w:val="Default Paragraph Font"/>
    <w:uiPriority w:val="1"/>
    <w:unhideWhenUsed/>
    <w:rsid w:val="00CE01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0172"/>
  </w:style>
  <w:style w:type="character" w:customStyle="1" w:styleId="Heading1Char">
    <w:name w:val="Heading 1 Char"/>
    <w:basedOn w:val="DefaultParagraphFont"/>
    <w:link w:val="Heading1"/>
    <w:rsid w:val="00CE0172"/>
    <w:rPr>
      <w:rFonts w:ascii="Times New Roman" w:eastAsia="Times New Roman" w:hAnsi="Times New Roman" w:cs="Times New Roman"/>
      <w:b/>
      <w:sz w:val="32"/>
      <w:szCs w:val="20"/>
      <w:lang w:eastAsia="en-US"/>
    </w:rPr>
  </w:style>
  <w:style w:type="paragraph" w:styleId="BodyText">
    <w:name w:val="Body Text"/>
    <w:basedOn w:val="Normal"/>
    <w:link w:val="BodyTextChar"/>
    <w:rsid w:val="00CE01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0172"/>
    <w:rPr>
      <w:rFonts w:ascii="Times New Roman" w:eastAsia="Times New Roman" w:hAnsi="Times New Roman" w:cs="Times New Roman"/>
      <w:sz w:val="24"/>
      <w:lang w:eastAsia="en-US"/>
    </w:rPr>
  </w:style>
  <w:style w:type="paragraph" w:styleId="Footer">
    <w:name w:val="footer"/>
    <w:basedOn w:val="Normal"/>
    <w:link w:val="FooterChar"/>
    <w:rsid w:val="00CE01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0172"/>
    <w:rPr>
      <w:rFonts w:ascii="Times New Roman" w:eastAsia="Times New Roman" w:hAnsi="Times New Roman" w:cs="Times New Roman"/>
      <w:sz w:val="16"/>
      <w:lang w:eastAsia="en-US"/>
    </w:rPr>
  </w:style>
  <w:style w:type="paragraph" w:styleId="List">
    <w:name w:val="List"/>
    <w:basedOn w:val="BodyText"/>
    <w:next w:val="BodyText"/>
    <w:rsid w:val="00CE0172"/>
    <w:pPr>
      <w:tabs>
        <w:tab w:val="left" w:pos="340"/>
      </w:tabs>
      <w:spacing w:before="60" w:after="60"/>
      <w:ind w:left="340" w:hanging="340"/>
    </w:pPr>
  </w:style>
  <w:style w:type="paragraph" w:styleId="ListBullet">
    <w:name w:val="List Bullet"/>
    <w:basedOn w:val="List"/>
    <w:rsid w:val="00CE0172"/>
    <w:pPr>
      <w:numPr>
        <w:numId w:val="12"/>
      </w:numPr>
      <w:tabs>
        <w:tab w:val="clear" w:pos="340"/>
      </w:tabs>
      <w:spacing w:before="40" w:after="40"/>
    </w:pPr>
  </w:style>
  <w:style w:type="character" w:customStyle="1" w:styleId="SpecialBold">
    <w:name w:val="Special Bold"/>
    <w:basedOn w:val="DefaultParagraphFont"/>
    <w:rsid w:val="00CE0172"/>
    <w:rPr>
      <w:b/>
      <w:spacing w:val="0"/>
    </w:rPr>
  </w:style>
  <w:style w:type="character" w:styleId="Emphasis">
    <w:name w:val="Emphasis"/>
    <w:basedOn w:val="DefaultParagraphFont"/>
    <w:qFormat/>
    <w:rsid w:val="00CE0172"/>
    <w:rPr>
      <w:i/>
    </w:rPr>
  </w:style>
  <w:style w:type="paragraph" w:customStyle="1" w:styleId="SuperHeading">
    <w:name w:val="SuperHeading"/>
    <w:basedOn w:val="Normal"/>
    <w:rsid w:val="00CE0172"/>
    <w:pPr>
      <w:spacing w:before="240" w:after="120"/>
      <w:outlineLvl w:val="0"/>
    </w:pPr>
    <w:rPr>
      <w:rFonts w:ascii="Times New Roman" w:hAnsi="Times New Roman"/>
      <w:b/>
      <w:sz w:val="28"/>
    </w:rPr>
  </w:style>
  <w:style w:type="paragraph" w:customStyle="1" w:styleId="AllowPageBreak">
    <w:name w:val="AllowPageBreak"/>
    <w:rsid w:val="00CE01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0172"/>
    <w:pPr>
      <w:tabs>
        <w:tab w:val="left" w:pos="680"/>
      </w:tabs>
      <w:spacing w:before="60" w:after="60"/>
      <w:ind w:left="680" w:hanging="340"/>
    </w:pPr>
  </w:style>
  <w:style w:type="character" w:customStyle="1" w:styleId="BoldandItalics">
    <w:name w:val="Bold and Italics"/>
    <w:qFormat/>
    <w:rsid w:val="00CE0172"/>
    <w:rPr>
      <w:b/>
      <w:i/>
      <w:u w:val="none"/>
    </w:rPr>
  </w:style>
  <w:style w:type="character" w:customStyle="1" w:styleId="Heading2Char">
    <w:name w:val="Heading 2 Char"/>
    <w:basedOn w:val="DefaultParagraphFont"/>
    <w:link w:val="Heading2"/>
    <w:rsid w:val="00CE01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01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01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01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01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01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01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0172"/>
    <w:rPr>
      <w:rFonts w:ascii="Courier New" w:eastAsia="Times New Roman" w:hAnsi="Courier New" w:cs="Times New Roman"/>
      <w:i/>
      <w:szCs w:val="20"/>
      <w:lang w:eastAsia="en-US"/>
    </w:rPr>
  </w:style>
  <w:style w:type="paragraph" w:customStyle="1" w:styleId="HeadingBase">
    <w:name w:val="Heading Base"/>
    <w:rsid w:val="00CE01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0172"/>
    <w:pPr>
      <w:tabs>
        <w:tab w:val="right" w:leader="dot" w:pos="9072"/>
      </w:tabs>
      <w:ind w:left="567"/>
    </w:pPr>
    <w:rPr>
      <w:szCs w:val="22"/>
    </w:rPr>
  </w:style>
  <w:style w:type="paragraph" w:customStyle="1" w:styleId="TOCBase">
    <w:name w:val="TOC Base"/>
    <w:rsid w:val="00CE01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0172"/>
    <w:pPr>
      <w:tabs>
        <w:tab w:val="right" w:leader="dot" w:pos="9072"/>
      </w:tabs>
      <w:spacing w:before="40" w:after="40"/>
      <w:ind w:left="284"/>
    </w:pPr>
    <w:rPr>
      <w:rFonts w:ascii="Times New Roman" w:hAnsi="Times New Roman"/>
    </w:rPr>
  </w:style>
  <w:style w:type="paragraph" w:styleId="TOC1">
    <w:name w:val="toc 1"/>
    <w:basedOn w:val="TOCBase"/>
    <w:next w:val="Normal"/>
    <w:rsid w:val="00CE01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0172"/>
    <w:pPr>
      <w:spacing w:before="5040"/>
      <w:jc w:val="center"/>
    </w:pPr>
    <w:rPr>
      <w:sz w:val="48"/>
      <w:szCs w:val="72"/>
      <w:lang w:val="en-US"/>
    </w:rPr>
  </w:style>
  <w:style w:type="character" w:customStyle="1" w:styleId="TitleChar">
    <w:name w:val="Title Char"/>
    <w:basedOn w:val="DefaultParagraphFont"/>
    <w:link w:val="Title"/>
    <w:rsid w:val="00CE01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0172"/>
    <w:pPr>
      <w:tabs>
        <w:tab w:val="left" w:pos="3600"/>
        <w:tab w:val="left" w:pos="3958"/>
      </w:tabs>
    </w:pPr>
  </w:style>
  <w:style w:type="paragraph" w:customStyle="1" w:styleId="Note">
    <w:name w:val="Note"/>
    <w:basedOn w:val="BodyText"/>
    <w:rsid w:val="00CE01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0172"/>
    <w:pPr>
      <w:framePr w:wrap="auto" w:hAnchor="text" w:y="6049"/>
    </w:pPr>
    <w:rPr>
      <w:color w:val="000000"/>
      <w:sz w:val="40"/>
    </w:rPr>
  </w:style>
  <w:style w:type="paragraph" w:customStyle="1" w:styleId="TOCTitle">
    <w:name w:val="TOCTitle"/>
    <w:basedOn w:val="Heading1"/>
    <w:rsid w:val="00CE0172"/>
    <w:pPr>
      <w:spacing w:after="240"/>
      <w:jc w:val="center"/>
      <w:outlineLvl w:val="9"/>
    </w:pPr>
    <w:rPr>
      <w:caps/>
    </w:rPr>
  </w:style>
  <w:style w:type="paragraph" w:customStyle="1" w:styleId="Version">
    <w:name w:val="Version"/>
    <w:rsid w:val="00CE01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0172"/>
    <w:pPr>
      <w:numPr>
        <w:numId w:val="13"/>
      </w:numPr>
      <w:tabs>
        <w:tab w:val="clear" w:pos="680"/>
      </w:tabs>
    </w:pPr>
  </w:style>
  <w:style w:type="paragraph" w:styleId="Index1">
    <w:name w:val="index 1"/>
    <w:basedOn w:val="Normal"/>
    <w:next w:val="Normal"/>
    <w:semiHidden/>
    <w:rsid w:val="00CE0172"/>
    <w:pPr>
      <w:keepNext w:val="0"/>
      <w:tabs>
        <w:tab w:val="right" w:pos="4176"/>
      </w:tabs>
      <w:ind w:left="198" w:hanging="198"/>
    </w:pPr>
    <w:rPr>
      <w:rFonts w:ascii="Garamond" w:hAnsi="Garamond"/>
    </w:rPr>
  </w:style>
  <w:style w:type="paragraph" w:styleId="IndexHeading">
    <w:name w:val="index heading"/>
    <w:basedOn w:val="Normal"/>
    <w:next w:val="Index1"/>
    <w:semiHidden/>
    <w:rsid w:val="00CE0172"/>
    <w:pPr>
      <w:spacing w:before="120" w:after="120"/>
    </w:pPr>
    <w:rPr>
      <w:rFonts w:ascii="Arial" w:hAnsi="Arial"/>
      <w:b/>
      <w:color w:val="918585"/>
      <w:sz w:val="24"/>
    </w:rPr>
  </w:style>
  <w:style w:type="paragraph" w:styleId="Header">
    <w:name w:val="header"/>
    <w:basedOn w:val="Normal"/>
    <w:link w:val="HeaderChar"/>
    <w:rsid w:val="00CE01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0172"/>
    <w:rPr>
      <w:rFonts w:ascii="Times New Roman" w:eastAsia="Times New Roman" w:hAnsi="Times New Roman" w:cs="Times New Roman"/>
      <w:sz w:val="16"/>
      <w:szCs w:val="20"/>
      <w:lang w:val="en-GB" w:eastAsia="en-US"/>
    </w:rPr>
  </w:style>
  <w:style w:type="paragraph" w:customStyle="1" w:styleId="Chapter">
    <w:name w:val="Chapter"/>
    <w:basedOn w:val="Normal"/>
    <w:rsid w:val="00CE0172"/>
    <w:pPr>
      <w:spacing w:before="240"/>
    </w:pPr>
    <w:rPr>
      <w:rFonts w:ascii="Times New Roman" w:hAnsi="Times New Roman"/>
      <w:smallCaps/>
      <w:spacing w:val="80"/>
      <w:sz w:val="28"/>
    </w:rPr>
  </w:style>
  <w:style w:type="paragraph" w:customStyle="1" w:styleId="InChapter">
    <w:name w:val="InChapter"/>
    <w:basedOn w:val="Heading3"/>
    <w:rsid w:val="00CE0172"/>
    <w:pPr>
      <w:spacing w:after="240"/>
      <w:outlineLvl w:val="9"/>
    </w:pPr>
    <w:rPr>
      <w:noProof/>
    </w:rPr>
  </w:style>
  <w:style w:type="paragraph" w:styleId="Index2">
    <w:name w:val="index 2"/>
    <w:basedOn w:val="Normal"/>
    <w:next w:val="Normal"/>
    <w:semiHidden/>
    <w:rsid w:val="00CE0172"/>
    <w:pPr>
      <w:tabs>
        <w:tab w:val="right" w:pos="4176"/>
      </w:tabs>
      <w:ind w:left="568" w:hanging="284"/>
    </w:pPr>
    <w:rPr>
      <w:rFonts w:ascii="Garamond" w:hAnsi="Garamond"/>
    </w:rPr>
  </w:style>
  <w:style w:type="paragraph" w:customStyle="1" w:styleId="Byline">
    <w:name w:val="Byline"/>
    <w:rsid w:val="00CE01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0172"/>
    <w:pPr>
      <w:tabs>
        <w:tab w:val="clear" w:pos="3600"/>
        <w:tab w:val="clear" w:pos="3958"/>
      </w:tabs>
      <w:jc w:val="right"/>
    </w:pPr>
  </w:style>
  <w:style w:type="paragraph" w:styleId="Caption">
    <w:name w:val="caption"/>
    <w:basedOn w:val="BodyText"/>
    <w:next w:val="Normal"/>
    <w:qFormat/>
    <w:rsid w:val="00CE0172"/>
    <w:pPr>
      <w:framePr w:w="2268" w:hSpace="181" w:vSpace="181" w:wrap="around" w:vAnchor="text" w:hAnchor="page" w:x="1135" w:y="285" w:anchorLock="1"/>
    </w:pPr>
    <w:rPr>
      <w:i/>
    </w:rPr>
  </w:style>
  <w:style w:type="paragraph" w:customStyle="1" w:styleId="MiniTOCTitle">
    <w:name w:val="MiniTOCTitle"/>
    <w:basedOn w:val="Heading4"/>
    <w:rsid w:val="00CE0172"/>
    <w:pPr>
      <w:spacing w:before="240"/>
      <w:outlineLvl w:val="9"/>
    </w:pPr>
    <w:rPr>
      <w:noProof/>
      <w:sz w:val="24"/>
    </w:rPr>
  </w:style>
  <w:style w:type="paragraph" w:customStyle="1" w:styleId="MiniTOCItem">
    <w:name w:val="MiniTOCItem"/>
    <w:basedOn w:val="ListBullet"/>
    <w:rsid w:val="00CE0172"/>
    <w:pPr>
      <w:numPr>
        <w:numId w:val="0"/>
      </w:numPr>
      <w:tabs>
        <w:tab w:val="right" w:leader="dot" w:pos="6521"/>
      </w:tabs>
      <w:spacing w:before="0" w:after="0"/>
    </w:pPr>
  </w:style>
  <w:style w:type="paragraph" w:customStyle="1" w:styleId="TOFTitle">
    <w:name w:val="TOFTitle"/>
    <w:basedOn w:val="TOCTitle"/>
    <w:rsid w:val="00CE0172"/>
  </w:style>
  <w:style w:type="paragraph" w:styleId="TableofFigures">
    <w:name w:val="table of figures"/>
    <w:basedOn w:val="Normal"/>
    <w:next w:val="Normal"/>
    <w:semiHidden/>
    <w:rsid w:val="00CE0172"/>
    <w:pPr>
      <w:tabs>
        <w:tab w:val="right" w:leader="dot" w:pos="9072"/>
      </w:tabs>
      <w:ind w:left="970" w:hanging="403"/>
    </w:pPr>
    <w:rPr>
      <w:rFonts w:ascii="Times New Roman" w:hAnsi="Times New Roman"/>
      <w:b/>
    </w:rPr>
  </w:style>
  <w:style w:type="paragraph" w:styleId="ListNumber">
    <w:name w:val="List Number"/>
    <w:basedOn w:val="List"/>
    <w:rsid w:val="00CE0172"/>
    <w:pPr>
      <w:numPr>
        <w:numId w:val="10"/>
      </w:numPr>
    </w:pPr>
  </w:style>
  <w:style w:type="character" w:customStyle="1" w:styleId="WingdingSymbols">
    <w:name w:val="Wingding Symbols"/>
    <w:rsid w:val="00CE0172"/>
    <w:rPr>
      <w:rFonts w:ascii="Wingdings" w:hAnsi="Wingdings"/>
    </w:rPr>
  </w:style>
  <w:style w:type="paragraph" w:customStyle="1" w:styleId="TableHeading">
    <w:name w:val="Table Heading"/>
    <w:basedOn w:val="HeadingBase"/>
    <w:rsid w:val="00CE0172"/>
    <w:pPr>
      <w:keepLines/>
      <w:pBdr>
        <w:bottom w:val="single" w:sz="6" w:space="1" w:color="918585"/>
      </w:pBdr>
      <w:spacing w:before="240"/>
    </w:pPr>
  </w:style>
  <w:style w:type="character" w:customStyle="1" w:styleId="HotSpot">
    <w:name w:val="HotSpot"/>
    <w:rsid w:val="00CE0172"/>
    <w:rPr>
      <w:color w:val="0033CC"/>
      <w:u w:val="none"/>
    </w:rPr>
  </w:style>
  <w:style w:type="paragraph" w:customStyle="1" w:styleId="BodyTextRight">
    <w:name w:val="Body Text Right"/>
    <w:basedOn w:val="BodyText"/>
    <w:rsid w:val="00CE0172"/>
    <w:pPr>
      <w:spacing w:before="0" w:after="0"/>
      <w:jc w:val="right"/>
    </w:pPr>
  </w:style>
  <w:style w:type="paragraph" w:styleId="Index3">
    <w:name w:val="index 3"/>
    <w:basedOn w:val="ListNumber2"/>
    <w:next w:val="Normal"/>
    <w:semiHidden/>
    <w:rsid w:val="00CE0172"/>
    <w:pPr>
      <w:numPr>
        <w:numId w:val="0"/>
      </w:numPr>
      <w:tabs>
        <w:tab w:val="right" w:leader="dot" w:pos="4176"/>
      </w:tabs>
    </w:pPr>
  </w:style>
  <w:style w:type="paragraph" w:styleId="ListNumber2">
    <w:name w:val="List Number 2"/>
    <w:basedOn w:val="List2"/>
    <w:rsid w:val="00CE0172"/>
    <w:pPr>
      <w:numPr>
        <w:numId w:val="9"/>
      </w:numPr>
      <w:tabs>
        <w:tab w:val="clear" w:pos="1060"/>
      </w:tabs>
    </w:pPr>
  </w:style>
  <w:style w:type="paragraph" w:customStyle="1" w:styleId="MarginNote">
    <w:name w:val="Margin Note"/>
    <w:basedOn w:val="BodyText"/>
    <w:rsid w:val="00CE01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01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01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0172"/>
    <w:rPr>
      <w:sz w:val="32"/>
    </w:rPr>
  </w:style>
  <w:style w:type="paragraph" w:customStyle="1" w:styleId="HeadingProcedure">
    <w:name w:val="Heading Procedure"/>
    <w:basedOn w:val="HeadingBase"/>
    <w:next w:val="Normal"/>
    <w:rsid w:val="00CE0172"/>
    <w:pPr>
      <w:tabs>
        <w:tab w:val="left" w:pos="0"/>
      </w:tabs>
      <w:spacing w:before="120" w:after="60"/>
    </w:pPr>
    <w:rPr>
      <w:i/>
      <w:color w:val="918585"/>
      <w:sz w:val="22"/>
    </w:rPr>
  </w:style>
  <w:style w:type="paragraph" w:customStyle="1" w:styleId="TableBodyText">
    <w:name w:val="Table Body Text"/>
    <w:basedOn w:val="BodyText"/>
    <w:rsid w:val="00CE0172"/>
    <w:pPr>
      <w:spacing w:before="60" w:after="60"/>
    </w:pPr>
  </w:style>
  <w:style w:type="paragraph" w:styleId="ListContinue">
    <w:name w:val="List Continue"/>
    <w:basedOn w:val="List"/>
    <w:rsid w:val="00CE0172"/>
    <w:pPr>
      <w:ind w:firstLine="0"/>
    </w:pPr>
  </w:style>
  <w:style w:type="paragraph" w:customStyle="1" w:styleId="ListNote">
    <w:name w:val="List Note"/>
    <w:basedOn w:val="List"/>
    <w:rsid w:val="00CE0172"/>
    <w:pPr>
      <w:pBdr>
        <w:top w:val="single" w:sz="6" w:space="2" w:color="918585"/>
        <w:bottom w:val="single" w:sz="6" w:space="2" w:color="918585"/>
      </w:pBdr>
      <w:tabs>
        <w:tab w:val="left" w:pos="1021"/>
      </w:tabs>
      <w:ind w:firstLine="0"/>
    </w:pPr>
  </w:style>
  <w:style w:type="paragraph" w:customStyle="1" w:styleId="Warning">
    <w:name w:val="Warning"/>
    <w:basedOn w:val="BodyText"/>
    <w:rsid w:val="00CE0172"/>
    <w:pPr>
      <w:shd w:val="clear" w:color="auto" w:fill="D9D9D9"/>
      <w:tabs>
        <w:tab w:val="left" w:pos="992"/>
      </w:tabs>
      <w:ind w:left="119" w:right="119"/>
    </w:pPr>
    <w:rPr>
      <w:sz w:val="20"/>
    </w:rPr>
  </w:style>
  <w:style w:type="paragraph" w:customStyle="1" w:styleId="MarginIcons">
    <w:name w:val="Margin Icons"/>
    <w:basedOn w:val="BodyText"/>
    <w:rsid w:val="00CE01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0172"/>
    <w:rPr>
      <w:rFonts w:ascii="Courier New" w:hAnsi="Courier New"/>
    </w:rPr>
  </w:style>
  <w:style w:type="paragraph" w:customStyle="1" w:styleId="NoteBullet">
    <w:name w:val="Note Bullet"/>
    <w:basedOn w:val="Note"/>
    <w:rsid w:val="00CE0172"/>
    <w:pPr>
      <w:tabs>
        <w:tab w:val="clear" w:pos="680"/>
      </w:tabs>
      <w:spacing w:before="60" w:after="60"/>
    </w:pPr>
  </w:style>
  <w:style w:type="paragraph" w:customStyle="1" w:styleId="SubHeading2">
    <w:name w:val="SubHeading2"/>
    <w:basedOn w:val="HeadingBase"/>
    <w:rsid w:val="00CE0172"/>
    <w:pPr>
      <w:spacing w:before="240" w:after="60"/>
    </w:pPr>
    <w:rPr>
      <w:sz w:val="20"/>
    </w:rPr>
  </w:style>
  <w:style w:type="paragraph" w:customStyle="1" w:styleId="SubHeading1">
    <w:name w:val="SubHeading1"/>
    <w:basedOn w:val="HeadingBase"/>
    <w:rsid w:val="00CE0172"/>
    <w:pPr>
      <w:spacing w:before="240" w:after="60"/>
    </w:pPr>
    <w:rPr>
      <w:color w:val="918585"/>
      <w:sz w:val="22"/>
    </w:rPr>
  </w:style>
  <w:style w:type="paragraph" w:customStyle="1" w:styleId="SideHeading">
    <w:name w:val="Side Heading"/>
    <w:basedOn w:val="HeadingBase"/>
    <w:rsid w:val="00CE01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0172"/>
    <w:pPr>
      <w:tabs>
        <w:tab w:val="num" w:pos="360"/>
      </w:tabs>
    </w:pPr>
  </w:style>
  <w:style w:type="paragraph" w:styleId="PlainText">
    <w:name w:val="Plain Text"/>
    <w:basedOn w:val="Normal"/>
    <w:link w:val="PlainTextChar"/>
    <w:rsid w:val="00CE0172"/>
    <w:rPr>
      <w:sz w:val="20"/>
    </w:rPr>
  </w:style>
  <w:style w:type="character" w:customStyle="1" w:styleId="PlainTextChar">
    <w:name w:val="Plain Text Char"/>
    <w:basedOn w:val="DefaultParagraphFont"/>
    <w:link w:val="PlainText"/>
    <w:rsid w:val="00CE0172"/>
    <w:rPr>
      <w:rFonts w:ascii="Courier New" w:eastAsia="Times New Roman" w:hAnsi="Courier New" w:cs="Times New Roman"/>
      <w:sz w:val="20"/>
      <w:szCs w:val="20"/>
      <w:lang w:eastAsia="en-US"/>
    </w:rPr>
  </w:style>
  <w:style w:type="character" w:customStyle="1" w:styleId="MenuOption">
    <w:name w:val="Menu Option"/>
    <w:basedOn w:val="DefaultParagraphFont"/>
    <w:rsid w:val="00CE0172"/>
    <w:rPr>
      <w:b/>
      <w:smallCaps/>
    </w:rPr>
  </w:style>
  <w:style w:type="paragraph" w:customStyle="1" w:styleId="TableListNumber">
    <w:name w:val="Table List Number"/>
    <w:basedOn w:val="ListNumber"/>
    <w:rsid w:val="00CE0172"/>
    <w:pPr>
      <w:numPr>
        <w:numId w:val="0"/>
      </w:numPr>
    </w:pPr>
  </w:style>
  <w:style w:type="paragraph" w:styleId="TOC4">
    <w:name w:val="toc 4"/>
    <w:basedOn w:val="TOCBase"/>
    <w:next w:val="Normal"/>
    <w:semiHidden/>
    <w:rsid w:val="00CE0172"/>
    <w:pPr>
      <w:tabs>
        <w:tab w:val="right" w:leader="dot" w:pos="9071"/>
      </w:tabs>
      <w:ind w:left="1701"/>
    </w:pPr>
  </w:style>
  <w:style w:type="paragraph" w:customStyle="1" w:styleId="ListAlpha">
    <w:name w:val="List Alpha"/>
    <w:basedOn w:val="List"/>
    <w:rsid w:val="00CE0172"/>
    <w:pPr>
      <w:numPr>
        <w:numId w:val="8"/>
      </w:numPr>
    </w:pPr>
  </w:style>
  <w:style w:type="paragraph" w:customStyle="1" w:styleId="ListAlpha2">
    <w:name w:val="List Alpha 2"/>
    <w:basedOn w:val="List2"/>
    <w:rsid w:val="00CE0172"/>
    <w:pPr>
      <w:numPr>
        <w:numId w:val="7"/>
      </w:numPr>
    </w:pPr>
  </w:style>
  <w:style w:type="paragraph" w:styleId="List3">
    <w:name w:val="List 3"/>
    <w:basedOn w:val="BodyText"/>
    <w:rsid w:val="00CE0172"/>
    <w:pPr>
      <w:tabs>
        <w:tab w:val="left" w:pos="1021"/>
      </w:tabs>
      <w:spacing w:before="60" w:after="60"/>
      <w:ind w:left="1020" w:hanging="340"/>
    </w:pPr>
  </w:style>
  <w:style w:type="paragraph" w:styleId="List4">
    <w:name w:val="List 4"/>
    <w:basedOn w:val="BodyText"/>
    <w:rsid w:val="00CE0172"/>
    <w:pPr>
      <w:tabs>
        <w:tab w:val="left" w:pos="1361"/>
      </w:tabs>
      <w:spacing w:before="60" w:after="60"/>
      <w:ind w:left="1361" w:hanging="340"/>
    </w:pPr>
  </w:style>
  <w:style w:type="paragraph" w:styleId="List5">
    <w:name w:val="List 5"/>
    <w:basedOn w:val="BodyText"/>
    <w:rsid w:val="00CE0172"/>
    <w:pPr>
      <w:tabs>
        <w:tab w:val="left" w:pos="1701"/>
      </w:tabs>
      <w:spacing w:before="60" w:after="60"/>
      <w:ind w:left="1701" w:hanging="340"/>
    </w:pPr>
  </w:style>
  <w:style w:type="paragraph" w:styleId="ListBullet3">
    <w:name w:val="List Bullet 3"/>
    <w:basedOn w:val="List3"/>
    <w:rsid w:val="00CE0172"/>
    <w:pPr>
      <w:numPr>
        <w:numId w:val="14"/>
      </w:numPr>
      <w:tabs>
        <w:tab w:val="clear" w:pos="1021"/>
      </w:tabs>
      <w:ind w:left="1037" w:hanging="357"/>
    </w:pPr>
  </w:style>
  <w:style w:type="paragraph" w:styleId="ListBullet4">
    <w:name w:val="List Bullet 4"/>
    <w:basedOn w:val="List4"/>
    <w:rsid w:val="00CE0172"/>
    <w:pPr>
      <w:numPr>
        <w:numId w:val="2"/>
      </w:numPr>
    </w:pPr>
  </w:style>
  <w:style w:type="paragraph" w:styleId="ListBullet5">
    <w:name w:val="List Bullet 5"/>
    <w:basedOn w:val="List5"/>
    <w:rsid w:val="00CE0172"/>
    <w:pPr>
      <w:numPr>
        <w:numId w:val="3"/>
      </w:numPr>
    </w:pPr>
  </w:style>
  <w:style w:type="paragraph" w:styleId="ListContinue2">
    <w:name w:val="List Continue 2"/>
    <w:basedOn w:val="List2"/>
    <w:rsid w:val="00CE0172"/>
    <w:pPr>
      <w:ind w:firstLine="0"/>
    </w:pPr>
  </w:style>
  <w:style w:type="paragraph" w:styleId="ListContinue3">
    <w:name w:val="List Continue 3"/>
    <w:basedOn w:val="List3"/>
    <w:rsid w:val="00CE0172"/>
    <w:pPr>
      <w:ind w:left="1021" w:firstLine="0"/>
    </w:pPr>
  </w:style>
  <w:style w:type="paragraph" w:styleId="ListContinue4">
    <w:name w:val="List Continue 4"/>
    <w:basedOn w:val="List4"/>
    <w:rsid w:val="00CE0172"/>
    <w:pPr>
      <w:ind w:firstLine="0"/>
    </w:pPr>
  </w:style>
  <w:style w:type="paragraph" w:styleId="ListContinue5">
    <w:name w:val="List Continue 5"/>
    <w:basedOn w:val="List5"/>
    <w:rsid w:val="00CE0172"/>
    <w:pPr>
      <w:ind w:firstLine="0"/>
    </w:pPr>
  </w:style>
  <w:style w:type="paragraph" w:styleId="ListNumber3">
    <w:name w:val="List Number 3"/>
    <w:basedOn w:val="List3"/>
    <w:rsid w:val="00CE0172"/>
    <w:pPr>
      <w:numPr>
        <w:numId w:val="4"/>
      </w:numPr>
    </w:pPr>
  </w:style>
  <w:style w:type="paragraph" w:styleId="ListNumber4">
    <w:name w:val="List Number 4"/>
    <w:basedOn w:val="List4"/>
    <w:rsid w:val="00CE0172"/>
    <w:pPr>
      <w:numPr>
        <w:numId w:val="5"/>
      </w:numPr>
    </w:pPr>
  </w:style>
  <w:style w:type="paragraph" w:styleId="ListNumber5">
    <w:name w:val="List Number 5"/>
    <w:basedOn w:val="List5"/>
    <w:rsid w:val="00CE0172"/>
    <w:pPr>
      <w:numPr>
        <w:numId w:val="6"/>
      </w:numPr>
    </w:pPr>
  </w:style>
  <w:style w:type="paragraph" w:styleId="BlockText">
    <w:name w:val="Block Text"/>
    <w:basedOn w:val="Normal"/>
    <w:rsid w:val="00CE0172"/>
    <w:pPr>
      <w:spacing w:after="120"/>
      <w:ind w:left="1440" w:right="1440"/>
    </w:pPr>
  </w:style>
  <w:style w:type="character" w:customStyle="1" w:styleId="Subscript">
    <w:name w:val="Subscript"/>
    <w:basedOn w:val="DefaultParagraphFont"/>
    <w:rsid w:val="00CE0172"/>
    <w:rPr>
      <w:sz w:val="16"/>
      <w:vertAlign w:val="subscript"/>
    </w:rPr>
  </w:style>
  <w:style w:type="character" w:customStyle="1" w:styleId="Superscript">
    <w:name w:val="Superscript"/>
    <w:basedOn w:val="DefaultParagraphFont"/>
    <w:rsid w:val="00CE0172"/>
    <w:rPr>
      <w:sz w:val="16"/>
      <w:vertAlign w:val="superscript"/>
    </w:rPr>
  </w:style>
  <w:style w:type="character" w:customStyle="1" w:styleId="Symbols">
    <w:name w:val="Symbols"/>
    <w:basedOn w:val="DefaultParagraphFont"/>
    <w:rsid w:val="00CE0172"/>
    <w:rPr>
      <w:rFonts w:ascii="Symbol" w:hAnsi="Symbol"/>
    </w:rPr>
  </w:style>
  <w:style w:type="character" w:customStyle="1" w:styleId="MenuOptions">
    <w:name w:val="Menu Options"/>
    <w:basedOn w:val="DefaultParagraphFont"/>
    <w:rsid w:val="00CE0172"/>
    <w:rPr>
      <w:rFonts w:ascii="Arial Narrow" w:hAnsi="Arial Narrow"/>
      <w:smallCaps/>
    </w:rPr>
  </w:style>
  <w:style w:type="character" w:customStyle="1" w:styleId="Buttons">
    <w:name w:val="Buttons"/>
    <w:basedOn w:val="DefaultParagraphFont"/>
    <w:rsid w:val="00CE0172"/>
    <w:rPr>
      <w:b/>
    </w:rPr>
  </w:style>
  <w:style w:type="character" w:customStyle="1" w:styleId="Underlined">
    <w:name w:val="Underlined"/>
    <w:basedOn w:val="DefaultParagraphFont"/>
    <w:rsid w:val="00CE0172"/>
    <w:rPr>
      <w:u w:val="single"/>
    </w:rPr>
  </w:style>
  <w:style w:type="paragraph" w:customStyle="1" w:styleId="TableBodyTextRight">
    <w:name w:val="Table Body Text Right"/>
    <w:basedOn w:val="TableBodyText"/>
    <w:rsid w:val="00CE0172"/>
    <w:pPr>
      <w:widowControl w:val="0"/>
      <w:autoSpaceDE w:val="0"/>
      <w:autoSpaceDN w:val="0"/>
      <w:adjustRightInd w:val="0"/>
      <w:jc w:val="right"/>
    </w:pPr>
    <w:rPr>
      <w:rFonts w:cs="Arial"/>
      <w:szCs w:val="18"/>
    </w:rPr>
  </w:style>
  <w:style w:type="paragraph" w:customStyle="1" w:styleId="CopyrightText">
    <w:name w:val="Copyright Text"/>
    <w:basedOn w:val="BodyText"/>
    <w:rsid w:val="00CE0172"/>
    <w:rPr>
      <w:sz w:val="18"/>
    </w:rPr>
  </w:style>
  <w:style w:type="paragraph" w:customStyle="1" w:styleId="BodySmallRight">
    <w:name w:val="Body Small Right"/>
    <w:basedOn w:val="BodyTextRight"/>
    <w:rsid w:val="00CE0172"/>
    <w:rPr>
      <w:sz w:val="18"/>
      <w:szCs w:val="18"/>
    </w:rPr>
  </w:style>
  <w:style w:type="paragraph" w:customStyle="1" w:styleId="MarginEdition">
    <w:name w:val="Margin Edition"/>
    <w:basedOn w:val="MarginNote"/>
    <w:rsid w:val="00CE0172"/>
    <w:pPr>
      <w:spacing w:before="0" w:after="0"/>
    </w:pPr>
    <w:rPr>
      <w:rFonts w:ascii="Times New Roman" w:hAnsi="Times New Roman"/>
      <w:color w:val="999999"/>
    </w:rPr>
  </w:style>
  <w:style w:type="paragraph" w:customStyle="1" w:styleId="Spacer">
    <w:name w:val="Spacer"/>
    <w:basedOn w:val="Normal"/>
    <w:rsid w:val="00CE0172"/>
    <w:rPr>
      <w:sz w:val="2"/>
      <w:szCs w:val="2"/>
    </w:rPr>
  </w:style>
  <w:style w:type="character" w:customStyle="1" w:styleId="Small">
    <w:name w:val="Small"/>
    <w:basedOn w:val="DefaultParagraphFont"/>
    <w:rsid w:val="00CE0172"/>
    <w:rPr>
      <w:sz w:val="16"/>
    </w:rPr>
  </w:style>
  <w:style w:type="paragraph" w:customStyle="1" w:styleId="WideTable">
    <w:name w:val="Wide Table"/>
    <w:basedOn w:val="Normal"/>
    <w:rsid w:val="00CE0172"/>
    <w:pPr>
      <w:ind w:left="-1418"/>
    </w:pPr>
    <w:rPr>
      <w:sz w:val="2"/>
      <w:szCs w:val="2"/>
    </w:rPr>
  </w:style>
  <w:style w:type="character" w:styleId="PageNumber">
    <w:name w:val="page number"/>
    <w:basedOn w:val="DefaultParagraphFont"/>
    <w:rsid w:val="00CE0172"/>
  </w:style>
  <w:style w:type="paragraph" w:styleId="Quote">
    <w:name w:val="Quote"/>
    <w:basedOn w:val="Heading1"/>
    <w:link w:val="QuoteChar"/>
    <w:qFormat/>
    <w:rsid w:val="00CE0172"/>
    <w:rPr>
      <w:b w:val="0"/>
      <w:sz w:val="72"/>
      <w:szCs w:val="72"/>
      <w:lang w:val="en-NZ"/>
    </w:rPr>
  </w:style>
  <w:style w:type="character" w:customStyle="1" w:styleId="QuoteChar">
    <w:name w:val="Quote Char"/>
    <w:basedOn w:val="DefaultParagraphFont"/>
    <w:link w:val="Quote"/>
    <w:rsid w:val="00CE01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0172"/>
    <w:pPr>
      <w:pageBreakBefore/>
    </w:pPr>
  </w:style>
  <w:style w:type="paragraph" w:customStyle="1" w:styleId="Border">
    <w:name w:val="Border"/>
    <w:basedOn w:val="Normal"/>
    <w:qFormat/>
    <w:rsid w:val="00CE01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0172"/>
    <w:rPr>
      <w:b/>
      <w:bCs/>
      <w:i/>
      <w:iCs/>
      <w:color w:val="auto"/>
    </w:rPr>
  </w:style>
  <w:style w:type="paragraph" w:styleId="IntenseQuote">
    <w:name w:val="Intense Quote"/>
    <w:basedOn w:val="Normal"/>
    <w:next w:val="Normal"/>
    <w:link w:val="IntenseQuoteChar"/>
    <w:uiPriority w:val="30"/>
    <w:qFormat/>
    <w:rsid w:val="00CE01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01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0172"/>
    <w:rPr>
      <w:smallCaps/>
      <w:color w:val="auto"/>
      <w:u w:val="single"/>
    </w:rPr>
  </w:style>
  <w:style w:type="character" w:styleId="IntenseReference">
    <w:name w:val="Intense Reference"/>
    <w:basedOn w:val="DefaultParagraphFont"/>
    <w:uiPriority w:val="32"/>
    <w:qFormat/>
    <w:rsid w:val="00CE0172"/>
    <w:rPr>
      <w:b/>
      <w:bCs/>
      <w:smallCaps/>
      <w:color w:val="auto"/>
      <w:spacing w:val="5"/>
      <w:u w:val="single"/>
    </w:rPr>
  </w:style>
  <w:style w:type="paragraph" w:customStyle="1" w:styleId="2ColumnHeading">
    <w:name w:val="2Column Heading"/>
    <w:basedOn w:val="BodyText"/>
    <w:qFormat/>
    <w:rsid w:val="00CE0172"/>
    <w:pPr>
      <w:spacing w:after="60"/>
      <w:ind w:left="-2268"/>
    </w:pPr>
    <w:rPr>
      <w:b/>
    </w:rPr>
  </w:style>
  <w:style w:type="paragraph" w:customStyle="1" w:styleId="Heading1TOC">
    <w:name w:val="Heading1 TOC"/>
    <w:basedOn w:val="Normal"/>
    <w:qFormat/>
    <w:rsid w:val="00CE0172"/>
    <w:pPr>
      <w:spacing w:before="240" w:after="120"/>
    </w:pPr>
    <w:rPr>
      <w:rFonts w:ascii="Times New Roman" w:hAnsi="Times New Roman"/>
      <w:b/>
      <w:sz w:val="32"/>
    </w:rPr>
  </w:style>
  <w:style w:type="paragraph" w:customStyle="1" w:styleId="Heading2TOC">
    <w:name w:val="Heading2 TOC"/>
    <w:basedOn w:val="Normal"/>
    <w:qFormat/>
    <w:rsid w:val="00CE0172"/>
    <w:pPr>
      <w:spacing w:before="240" w:after="60"/>
    </w:pPr>
    <w:rPr>
      <w:rFonts w:ascii="Times New Roman" w:hAnsi="Times New Roman"/>
      <w:b/>
      <w:sz w:val="28"/>
    </w:rPr>
  </w:style>
  <w:style w:type="character" w:customStyle="1" w:styleId="Underline">
    <w:name w:val="Underline"/>
    <w:basedOn w:val="DefaultParagraphFont"/>
    <w:qFormat/>
    <w:rsid w:val="00CE0172"/>
    <w:rPr>
      <w:u w:val="single"/>
    </w:rPr>
  </w:style>
  <w:style w:type="paragraph" w:styleId="BalloonText">
    <w:name w:val="Balloon Text"/>
    <w:basedOn w:val="Normal"/>
    <w:link w:val="BalloonTextChar"/>
    <w:rsid w:val="00CE0172"/>
    <w:rPr>
      <w:rFonts w:ascii="Tahoma" w:hAnsi="Tahoma" w:cs="Tahoma"/>
      <w:sz w:val="16"/>
      <w:szCs w:val="16"/>
    </w:rPr>
  </w:style>
  <w:style w:type="character" w:customStyle="1" w:styleId="BalloonTextChar">
    <w:name w:val="Balloon Text Char"/>
    <w:basedOn w:val="DefaultParagraphFont"/>
    <w:link w:val="BalloonText"/>
    <w:rsid w:val="00CE01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01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01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0172"/>
    <w:rPr>
      <w:b/>
      <w:color w:val="660033"/>
      <w:spacing w:val="0"/>
    </w:rPr>
  </w:style>
  <w:style w:type="paragraph" w:customStyle="1" w:styleId="Nameditemlist">
    <w:name w:val="Named item list"/>
    <w:basedOn w:val="BodyText"/>
    <w:qFormat/>
    <w:rsid w:val="00CE01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1276</Words>
  <Characters>8208</Characters>
  <Application>Microsoft Office Word</Application>
  <DocSecurity>0</DocSecurity>
  <Lines>269</Lines>
  <Paragraphs>148</Paragraphs>
  <ScaleCrop>false</ScaleCrop>
  <Company>Author-it Software Corporation Ltd.</Company>
  <LinksUpToDate>false</LinksUpToDate>
  <CharactersWithSpaces>9408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MSATCM501A Calculate and predict chemical outcomes in metallurgical situations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2012-10-10T08:36:00Z</dcterms:created>
  <dcterms:modified xsi:type="dcterms:W3CDTF">2012-10-10T08:36:00Z</dcterms:modified>
</cp:coreProperties>
</file>