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0EE" w:rsidP="001D10EE">
      <w:pPr>
        <w:pStyle w:val="Title"/>
      </w:pPr>
      <w:r>
        <w:fldChar w:fldCharType="begin"/>
      </w:r>
      <w:r>
        <w:instrText xml:space="preserve"> TITLE   \* MERGEFORMAT </w:instrText>
      </w:r>
      <w:r>
        <w:fldChar w:fldCharType="separate"/>
      </w:r>
      <w:r>
        <w:t>MSATCM401A Prepare and examine metallographic samples</w:t>
      </w:r>
      <w:r>
        <w:fldChar w:fldCharType="end"/>
      </w:r>
    </w:p>
    <w:p w:rsidR="001D10EE" w:rsidP="001D10EE">
      <w:pPr>
        <w:pStyle w:val="Version"/>
        <w:sectPr w:rsidSect="00730F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0FD7" w:rsidP="00730FD7">
      <w:pPr>
        <w:pStyle w:val="SuperHeading"/>
      </w:pPr>
      <w:r w:rsidRPr="00730FD7">
        <w:t>MSATCM401A Prepare and examine metallographic samples</w:t>
      </w:r>
    </w:p>
    <w:p w:rsidR="00000000" w:rsidRPr="00730FD7" w:rsidP="00730FD7">
      <w:pPr>
        <w:pStyle w:val="SuperHeading"/>
      </w:pPr>
    </w:p>
    <w:p w:rsidR="00000000" w:rsidRPr="00730FD7" w:rsidP="00730FD7">
      <w:pPr>
        <w:pStyle w:val="Heading1"/>
      </w:pPr>
      <w:bookmarkStart w:id="1" w:name="O_102051"/>
      <w:bookmarkEnd w:id="1"/>
      <w:r w:rsidRPr="00730FD7">
        <w:t>Modification History</w:t>
      </w:r>
    </w:p>
    <w:p w:rsidR="00000000" w:rsidRPr="00730FD7" w:rsidP="00730FD7">
      <w:pPr>
        <w:pStyle w:val="BodyText"/>
      </w:pPr>
      <w:r w:rsidRPr="00730FD7">
        <w:t>Not applicable.</w:t>
      </w:r>
    </w:p>
    <w:p w:rsidR="00000000" w:rsidRPr="00730FD7" w:rsidP="00730FD7">
      <w:pPr>
        <w:pStyle w:val="AllowPageBreak"/>
      </w:pPr>
    </w:p>
    <w:p w:rsidR="00000000" w:rsidRPr="00730FD7" w:rsidP="00730FD7">
      <w:pPr>
        <w:pStyle w:val="Heading1"/>
      </w:pPr>
      <w:bookmarkStart w:id="2" w:name="O_102052"/>
      <w:bookmarkEnd w:id="2"/>
      <w:r w:rsidRPr="00730FD7">
        <w:t>Unit Descriptor</w:t>
      </w:r>
    </w:p>
    <w:tbl>
      <w:tblPr>
        <w:tblW w:w="0" w:type="auto"/>
        <w:tblCellMar>
          <w:left w:w="62" w:type="dxa"/>
          <w:right w:w="62" w:type="dxa"/>
        </w:tblCellMar>
        <w:tblLook w:val="0000"/>
      </w:tblPr>
      <w:tblGrid>
        <w:gridCol w:w="2376"/>
        <w:gridCol w:w="6820"/>
      </w:tblGrid>
      <w:tr w:rsidTr="001D10E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t>This unit covers the knowledge and skills needed to prepare and examine a metallographic sample</w:t>
            </w:r>
            <w:r w:rsidRPr="00730FD7">
              <w:t xml:space="preserve">. </w:t>
            </w: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3" w:name="O_102053"/>
      <w:bookmarkEnd w:id="3"/>
      <w:r w:rsidRPr="00730FD7">
        <w:t>Application of the Unit</w:t>
      </w:r>
    </w:p>
    <w:tbl>
      <w:tblPr>
        <w:tblW w:w="0" w:type="auto"/>
        <w:tblCellMar>
          <w:left w:w="62" w:type="dxa"/>
          <w:right w:w="62" w:type="dxa"/>
        </w:tblCellMar>
        <w:tblLook w:val="0000"/>
      </w:tblPr>
      <w:tblGrid>
        <w:gridCol w:w="2376"/>
        <w:gridCol w:w="6820"/>
      </w:tblGrid>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t>In a typical scenario, a metallurgical technician will be required to examine samples as part of quality control, product development or problem solving/forensic investig</w:t>
            </w:r>
            <w:r w:rsidRPr="00730FD7">
              <w:t xml:space="preserve">ation. This unit covers the preparation of relevant samples and then the microscopic and other examination of such samples. </w:t>
            </w: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4" w:name="O_102054"/>
      <w:bookmarkEnd w:id="4"/>
      <w:r w:rsidRPr="00730FD7">
        <w:t>Licensing/Regulatory Information</w:t>
      </w:r>
    </w:p>
    <w:p w:rsidR="00000000" w:rsidRPr="00730FD7" w:rsidP="00730FD7">
      <w:pPr>
        <w:pStyle w:val="BodyText"/>
      </w:pPr>
      <w:r w:rsidRPr="00730FD7">
        <w:t>Not applicable.</w:t>
      </w:r>
    </w:p>
    <w:p w:rsidR="00000000" w:rsidRPr="00730FD7" w:rsidP="00730FD7">
      <w:pPr>
        <w:pStyle w:val="AllowPageBreak"/>
      </w:pPr>
    </w:p>
    <w:p w:rsidR="00000000" w:rsidRPr="00730FD7" w:rsidP="00730FD7">
      <w:pPr>
        <w:pStyle w:val="Heading1"/>
      </w:pPr>
      <w:bookmarkStart w:id="5" w:name="O_102056"/>
      <w:bookmarkEnd w:id="5"/>
      <w:r w:rsidRPr="00730FD7">
        <w:t>Pre-Requisites</w:t>
      </w:r>
    </w:p>
    <w:tbl>
      <w:tblPr>
        <w:tblW w:w="0" w:type="auto"/>
        <w:tblCellMar>
          <w:left w:w="62" w:type="dxa"/>
          <w:right w:w="62" w:type="dxa"/>
        </w:tblCellMar>
        <w:tblLook w:val="0000"/>
      </w:tblPr>
      <w:tblGrid>
        <w:gridCol w:w="2376"/>
        <w:gridCol w:w="1739"/>
        <w:gridCol w:w="5081"/>
      </w:tblGrid>
      <w:tr w:rsidTr="001D10E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Emphasis"/>
              </w:rPr>
              <w:t>Interpret basic binary phase diagrams</w:t>
            </w:r>
          </w:p>
        </w:tc>
      </w:tr>
      <w:tr w:rsidTr="001D10E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p>
        </w:tc>
      </w:tr>
      <w:tr w:rsidTr="001D10E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p>
        </w:tc>
      </w:tr>
      <w:tr w:rsidTr="001D10E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p>
        </w:tc>
      </w:tr>
      <w:tr w:rsidTr="001D10E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6" w:name="O_102055"/>
      <w:bookmarkEnd w:id="6"/>
      <w:r w:rsidRPr="00730FD7">
        <w:t>Employability Skills Information</w:t>
      </w:r>
    </w:p>
    <w:tbl>
      <w:tblPr>
        <w:tblW w:w="0" w:type="auto"/>
        <w:tblCellMar>
          <w:left w:w="62" w:type="dxa"/>
          <w:right w:w="62" w:type="dxa"/>
        </w:tblCellMar>
        <w:tblLook w:val="0000"/>
      </w:tblPr>
      <w:tblGrid>
        <w:gridCol w:w="2376"/>
        <w:gridCol w:w="6820"/>
      </w:tblGrid>
      <w:tr w:rsidTr="001D10E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t>This unit contains employability skills.</w:t>
            </w: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7" w:name="O_102057"/>
      <w:bookmarkEnd w:id="7"/>
      <w:r w:rsidRPr="00730FD7">
        <w:t>Elements and Performance Criteria Pre-Content</w:t>
      </w:r>
    </w:p>
    <w:p w:rsidR="00000000" w:rsidRPr="00730FD7" w:rsidP="00730FD7">
      <w:pPr>
        <w:pStyle w:val="BodyText"/>
      </w:pPr>
      <w:r w:rsidRPr="00730FD7">
        <w:t>Not applicable.</w:t>
      </w:r>
    </w:p>
    <w:p w:rsidR="00000000" w:rsidRPr="00730FD7" w:rsidP="00730FD7">
      <w:pPr>
        <w:pStyle w:val="AllowPageBreak"/>
      </w:pPr>
    </w:p>
    <w:p w:rsidR="00000000" w:rsidRPr="00730FD7" w:rsidP="00730FD7">
      <w:pPr>
        <w:pStyle w:val="Heading1"/>
      </w:pPr>
      <w:bookmarkStart w:id="8" w:name="O_102058"/>
      <w:bookmarkEnd w:id="8"/>
      <w:r w:rsidRPr="00730FD7">
        <w:t>Elements and Performance Criteria</w:t>
      </w:r>
    </w:p>
    <w:tbl>
      <w:tblPr>
        <w:tblW w:w="0" w:type="auto"/>
        <w:tblCellMar>
          <w:left w:w="62" w:type="dxa"/>
          <w:right w:w="62" w:type="dxa"/>
        </w:tblCellMar>
        <w:tblLook w:val="0000"/>
      </w:tblPr>
      <w:tblGrid>
        <w:gridCol w:w="2644"/>
        <w:gridCol w:w="6552"/>
      </w:tblGrid>
      <w:tr w:rsidTr="001D10E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PERFORMANCE CRITERIA</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List"/>
              <w:rPr>
                <w:lang w:val="en-NZ"/>
              </w:rPr>
            </w:pPr>
            <w:r w:rsidRPr="00730FD7">
              <w:t>1.</w:t>
            </w:r>
            <w:r w:rsidRPr="00730FD7">
              <w:tab/>
              <w:t>Prepare chemical etchants for use with metallographic samples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List2"/>
            </w:pPr>
            <w:r w:rsidRPr="00730FD7">
              <w:t>1.1.</w:t>
            </w:r>
            <w:r w:rsidRPr="00730FD7">
              <w:tab/>
              <w:t>Identify the hazards of the required chemical etchants and apply hazard controls</w:t>
            </w:r>
          </w:p>
          <w:p w:rsidR="00000000" w:rsidRPr="00730FD7" w:rsidP="00730FD7">
            <w:pPr>
              <w:pStyle w:val="List2"/>
            </w:pPr>
            <w:r w:rsidRPr="00730FD7">
              <w:t>1.2.</w:t>
            </w:r>
            <w:r w:rsidRPr="00730FD7">
              <w:tab/>
            </w:r>
            <w:r w:rsidRPr="00730FD7">
              <w:t>Prepare etchant solution from bulk stocks following hazard controls and good laboratory practice</w:t>
            </w:r>
          </w:p>
          <w:p w:rsidR="00000000" w:rsidRPr="00730FD7" w:rsidP="00730FD7">
            <w:pPr>
              <w:pStyle w:val="List2"/>
            </w:pPr>
            <w:r w:rsidRPr="00730FD7">
              <w:t>1.3.</w:t>
            </w:r>
            <w:r w:rsidRPr="00730FD7">
              <w:tab/>
              <w:t>Label and store etchants to standard</w:t>
            </w:r>
          </w:p>
          <w:p w:rsidR="00000000" w:rsidP="00730FD7">
            <w:pPr>
              <w:pStyle w:val="List2"/>
              <w:rPr>
                <w:lang w:val="en-NZ"/>
              </w:rPr>
            </w:pPr>
            <w:r w:rsidRPr="00730FD7">
              <w:t>1.4.</w:t>
            </w:r>
            <w:r w:rsidRPr="00730FD7">
              <w:tab/>
              <w:t>Standardise/check etchants as required by procedures.</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List"/>
              <w:rPr>
                <w:lang w:val="en-NZ"/>
              </w:rPr>
            </w:pPr>
            <w:r w:rsidRPr="00730FD7">
              <w:t>2.</w:t>
            </w:r>
            <w:r w:rsidRPr="00730FD7">
              <w:tab/>
              <w:t>Prepare sample for metallographic examination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List2"/>
            </w:pPr>
            <w:r w:rsidRPr="00730FD7">
              <w:t>2.1.</w:t>
            </w:r>
            <w:r w:rsidRPr="00730FD7">
              <w:tab/>
              <w:t>Und</w:t>
            </w:r>
            <w:r w:rsidRPr="00730FD7">
              <w:t xml:space="preserve">ertake mechanical sample preparation </w:t>
            </w:r>
          </w:p>
          <w:p w:rsidR="00000000" w:rsidRPr="00730FD7" w:rsidP="00730FD7">
            <w:pPr>
              <w:pStyle w:val="List2"/>
            </w:pPr>
            <w:r w:rsidRPr="00730FD7">
              <w:t>2.2.</w:t>
            </w:r>
            <w:r w:rsidRPr="00730FD7">
              <w:tab/>
              <w:t>Label/identify sample to procedure</w:t>
            </w:r>
          </w:p>
          <w:p w:rsidR="00000000" w:rsidRPr="00730FD7" w:rsidP="00730FD7">
            <w:pPr>
              <w:pStyle w:val="List2"/>
            </w:pPr>
            <w:r w:rsidRPr="00730FD7">
              <w:t>2.3.</w:t>
            </w:r>
            <w:r w:rsidRPr="00730FD7">
              <w:tab/>
              <w:t>Select etchant(s) appropriate to the metal and the examination</w:t>
            </w:r>
          </w:p>
          <w:p w:rsidR="00000000" w:rsidRPr="00730FD7" w:rsidP="00730FD7">
            <w:pPr>
              <w:pStyle w:val="List2"/>
            </w:pPr>
            <w:r w:rsidRPr="00730FD7">
              <w:t>2.4.</w:t>
            </w:r>
            <w:r w:rsidRPr="00730FD7">
              <w:tab/>
              <w:t>Etch/prepare metal surface to standard</w:t>
            </w:r>
          </w:p>
          <w:p w:rsidR="00000000" w:rsidP="00730FD7">
            <w:pPr>
              <w:pStyle w:val="List2"/>
              <w:rPr>
                <w:lang w:val="en-NZ"/>
              </w:rPr>
            </w:pPr>
            <w:r w:rsidRPr="00730FD7">
              <w:t>2.5.</w:t>
            </w:r>
            <w:r w:rsidRPr="00730FD7">
              <w:tab/>
              <w:t>Protect prepared surface</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List"/>
              <w:rPr>
                <w:lang w:val="en-NZ"/>
              </w:rPr>
            </w:pPr>
            <w:r w:rsidRPr="00730FD7">
              <w:t>3.</w:t>
            </w:r>
            <w:r w:rsidRPr="00730FD7">
              <w:tab/>
            </w:r>
            <w:r w:rsidRPr="00730FD7">
              <w:t>Undertake microscopic examination of sample.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List2"/>
            </w:pPr>
            <w:r w:rsidRPr="00730FD7">
              <w:t>3.1.</w:t>
            </w:r>
            <w:r w:rsidRPr="00730FD7">
              <w:tab/>
              <w:t>Set up microscope using appropriate fittings and magnifications</w:t>
            </w:r>
          </w:p>
          <w:p w:rsidR="00000000" w:rsidRPr="00730FD7" w:rsidP="00730FD7">
            <w:pPr>
              <w:pStyle w:val="List2"/>
            </w:pPr>
            <w:r w:rsidRPr="00730FD7">
              <w:t>3.2.</w:t>
            </w:r>
            <w:r w:rsidRPr="00730FD7">
              <w:tab/>
              <w:t>Examine and identify different metallic and non-metallic phases</w:t>
            </w:r>
          </w:p>
          <w:p w:rsidR="00000000" w:rsidRPr="00730FD7" w:rsidP="00730FD7">
            <w:pPr>
              <w:pStyle w:val="List2"/>
            </w:pPr>
            <w:r w:rsidRPr="00730FD7">
              <w:t>3.3.</w:t>
            </w:r>
            <w:r w:rsidRPr="00730FD7">
              <w:tab/>
              <w:t>Identify areas requiring further examination and/or photomicrographs</w:t>
            </w:r>
          </w:p>
          <w:p w:rsidR="00000000" w:rsidP="00730FD7">
            <w:pPr>
              <w:pStyle w:val="BodyText"/>
              <w:rPr>
                <w:lang w:val="en-NZ"/>
              </w:rPr>
            </w:pPr>
            <w:r w:rsidRPr="00730FD7">
              <w:t>.</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List"/>
              <w:rPr>
                <w:lang w:val="en-NZ"/>
              </w:rPr>
            </w:pPr>
            <w:r w:rsidRPr="00730FD7">
              <w:t>4.</w:t>
            </w:r>
            <w:r w:rsidRPr="00730FD7">
              <w:tab/>
              <w:t>Prepare photomicrographs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List2"/>
            </w:pPr>
            <w:r w:rsidRPr="00730FD7">
              <w:t>4.1.</w:t>
            </w:r>
            <w:r w:rsidRPr="00730FD7">
              <w:tab/>
              <w:t>Set up equipment and materials for photomicrograph</w:t>
            </w:r>
          </w:p>
          <w:p w:rsidR="00000000" w:rsidRPr="00730FD7" w:rsidP="00730FD7">
            <w:pPr>
              <w:pStyle w:val="List2"/>
            </w:pPr>
            <w:r w:rsidRPr="00730FD7">
              <w:t>4.2.</w:t>
            </w:r>
            <w:r w:rsidRPr="00730FD7">
              <w:tab/>
              <w:t>Adjust photomicrograph equipment, including bright and dark field illumination</w:t>
            </w:r>
          </w:p>
          <w:p w:rsidR="00000000" w:rsidRPr="00730FD7" w:rsidP="00730FD7">
            <w:pPr>
              <w:pStyle w:val="List2"/>
            </w:pPr>
            <w:r w:rsidRPr="00730FD7">
              <w:t>4.3.</w:t>
            </w:r>
            <w:r w:rsidRPr="00730FD7">
              <w:tab/>
              <w:t>Take photomicrograph</w:t>
            </w:r>
          </w:p>
          <w:p w:rsidR="00000000" w:rsidP="00730FD7">
            <w:pPr>
              <w:pStyle w:val="List2"/>
              <w:rPr>
                <w:lang w:val="en-NZ"/>
              </w:rPr>
            </w:pPr>
            <w:r w:rsidRPr="00730FD7">
              <w:t>4.4.</w:t>
            </w:r>
            <w:r w:rsidRPr="00730FD7">
              <w:tab/>
              <w:t>Process and record photomicrograph</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List"/>
              <w:rPr>
                <w:lang w:val="en-NZ"/>
              </w:rPr>
            </w:pPr>
            <w:r w:rsidRPr="00730FD7">
              <w:t>5.</w:t>
            </w:r>
            <w:r w:rsidRPr="00730FD7">
              <w:tab/>
              <w:t xml:space="preserve">Report result </w:t>
            </w:r>
            <w:r w:rsidRPr="00730FD7">
              <w:t>of examination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List2"/>
            </w:pPr>
            <w:r w:rsidRPr="00730FD7">
              <w:t>5.1.</w:t>
            </w:r>
            <w:r w:rsidRPr="00730FD7">
              <w:tab/>
              <w:t>Identify reporting requirements</w:t>
            </w:r>
          </w:p>
          <w:p w:rsidR="00000000" w:rsidRPr="00730FD7" w:rsidP="00730FD7">
            <w:pPr>
              <w:pStyle w:val="List2"/>
            </w:pPr>
            <w:r w:rsidRPr="00730FD7">
              <w:t>5.2.</w:t>
            </w:r>
            <w:r w:rsidRPr="00730FD7">
              <w:tab/>
              <w:t>Make reference to appropriate national or international standards as required</w:t>
            </w:r>
          </w:p>
          <w:p w:rsidR="00000000" w:rsidRPr="00730FD7" w:rsidP="00730FD7">
            <w:pPr>
              <w:pStyle w:val="List2"/>
            </w:pPr>
            <w:r w:rsidRPr="00730FD7">
              <w:t>5.3.</w:t>
            </w:r>
            <w:r w:rsidRPr="00730FD7">
              <w:tab/>
              <w:t>Prepare report to meet requirements</w:t>
            </w:r>
          </w:p>
          <w:p w:rsidR="00000000" w:rsidRPr="00730FD7" w:rsidP="00730FD7">
            <w:pPr>
              <w:pStyle w:val="List2"/>
            </w:pPr>
            <w:r w:rsidRPr="00730FD7">
              <w:t>5.4.</w:t>
            </w:r>
            <w:r w:rsidRPr="00730FD7">
              <w:tab/>
              <w:t>Circulate and file report to procedures.</w:t>
            </w: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9" w:name="O_102059"/>
      <w:bookmarkEnd w:id="9"/>
      <w:r w:rsidRPr="00730FD7">
        <w:t>Required Skills and Knowledge</w:t>
      </w:r>
    </w:p>
    <w:tbl>
      <w:tblPr>
        <w:tblW w:w="0" w:type="auto"/>
        <w:tblCellMar>
          <w:left w:w="62" w:type="dxa"/>
          <w:right w:w="62" w:type="dxa"/>
        </w:tblCellMar>
        <w:tblLook w:val="0000"/>
      </w:tblPr>
      <w:tblGrid>
        <w:gridCol w:w="9196"/>
      </w:tblGrid>
      <w:tr w:rsidTr="001D10E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REQUIRED SKILLS AND KNOWLEDGE</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t>This describes the essential skills and knowledge and their level, required for this unit.</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Required skills</w:t>
            </w:r>
            <w:r w:rsidRPr="00730FD7">
              <w:t>:</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ListBullet"/>
            </w:pPr>
            <w:r w:rsidRPr="00730FD7">
              <w:t xml:space="preserve">nominating the appropriate cutting process </w:t>
            </w:r>
          </w:p>
          <w:p w:rsidR="00000000" w:rsidRPr="00730FD7" w:rsidP="00730FD7">
            <w:pPr>
              <w:pStyle w:val="ListBullet"/>
            </w:pPr>
            <w:r w:rsidRPr="00730FD7">
              <w:t>nominating the appropriate directionality of the sample plane for examination</w:t>
            </w:r>
          </w:p>
          <w:p w:rsidR="00000000" w:rsidRPr="00730FD7" w:rsidP="00730FD7">
            <w:pPr>
              <w:pStyle w:val="ListBullet"/>
            </w:pPr>
            <w:r w:rsidRPr="00730FD7">
              <w:t>mixing/preparing etchant solutions according to MSDS and standard operating procedure (SOP)</w:t>
            </w:r>
          </w:p>
          <w:p w:rsidR="00000000" w:rsidRPr="00730FD7" w:rsidP="00730FD7">
            <w:pPr>
              <w:pStyle w:val="ListBullet"/>
            </w:pPr>
            <w:r w:rsidRPr="00730FD7">
              <w:t>mixing/preparing mounting resins</w:t>
            </w:r>
          </w:p>
          <w:p w:rsidR="00000000" w:rsidRPr="00730FD7" w:rsidP="00730FD7">
            <w:pPr>
              <w:pStyle w:val="ListBullet"/>
            </w:pPr>
            <w:r w:rsidRPr="00730FD7">
              <w:t>basic cutting, grinding and polishing of samples incl</w:t>
            </w:r>
            <w:r w:rsidRPr="00730FD7">
              <w:t xml:space="preserve">uding mechanical and electrolytic polishing </w:t>
            </w:r>
          </w:p>
          <w:p w:rsidR="00000000" w:rsidRPr="00730FD7" w:rsidP="00730FD7">
            <w:pPr>
              <w:pStyle w:val="ListBullet"/>
            </w:pPr>
            <w:r w:rsidRPr="00730FD7">
              <w:t>etching of samples</w:t>
            </w:r>
          </w:p>
          <w:p w:rsidR="00000000" w:rsidRPr="00730FD7" w:rsidP="00730FD7">
            <w:pPr>
              <w:pStyle w:val="ListBullet"/>
            </w:pPr>
            <w:r w:rsidRPr="00730FD7">
              <w:t>use of microscope</w:t>
            </w:r>
          </w:p>
          <w:p w:rsidR="00000000" w:rsidP="00730FD7">
            <w:pPr>
              <w:pStyle w:val="ListBullet"/>
              <w:rPr>
                <w:lang w:val="en-NZ"/>
              </w:rPr>
            </w:pPr>
            <w:r w:rsidRPr="00730FD7">
              <w:t>identify microstructures, including metallic and non-metallic features</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Required knowledge</w:t>
            </w:r>
            <w:r w:rsidRPr="00730FD7">
              <w:t>:</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t>Competency includes sufficient knowledge of:</w:t>
            </w:r>
          </w:p>
          <w:p w:rsidR="00000000" w:rsidRPr="00730FD7" w:rsidP="00730FD7">
            <w:pPr>
              <w:pStyle w:val="ListBullet"/>
            </w:pPr>
            <w:r w:rsidRPr="00730FD7">
              <w:t>understanding of microstructures of</w:t>
            </w:r>
            <w:r w:rsidRPr="00730FD7">
              <w:t xml:space="preserve"> metals</w:t>
            </w:r>
          </w:p>
          <w:p w:rsidR="00000000" w:rsidRPr="00730FD7" w:rsidP="00730FD7">
            <w:pPr>
              <w:pStyle w:val="ListBullet"/>
            </w:pPr>
            <w:r w:rsidRPr="00730FD7">
              <w:t>chemical applications and safety including material safety data sheets (MSDS)</w:t>
            </w:r>
          </w:p>
          <w:p w:rsidR="00000000" w:rsidRPr="00730FD7" w:rsidP="00730FD7">
            <w:pPr>
              <w:pStyle w:val="ListBullet"/>
            </w:pPr>
            <w:r w:rsidRPr="00730FD7">
              <w:t xml:space="preserve">composition and suitability of etchants </w:t>
            </w:r>
          </w:p>
          <w:p w:rsidR="00000000" w:rsidRPr="00730FD7" w:rsidP="00730FD7">
            <w:pPr>
              <w:pStyle w:val="ListBullet"/>
            </w:pPr>
            <w:r w:rsidRPr="00730FD7">
              <w:t>knowledge of relevant standards ( for example AS 1831 or equivalent international standard)</w:t>
            </w: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10" w:name="O_102060"/>
      <w:bookmarkEnd w:id="10"/>
      <w:r w:rsidRPr="00730FD7">
        <w:t>Evidence Guide</w:t>
      </w:r>
    </w:p>
    <w:tbl>
      <w:tblPr>
        <w:tblW w:w="0" w:type="auto"/>
        <w:tblCellMar>
          <w:left w:w="62" w:type="dxa"/>
          <w:right w:w="62" w:type="dxa"/>
        </w:tblCellMar>
        <w:tblLook w:val="0000"/>
      </w:tblPr>
      <w:tblGrid>
        <w:gridCol w:w="2515"/>
        <w:gridCol w:w="6681"/>
      </w:tblGrid>
      <w:tr w:rsidTr="001D10E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EVIDENCE GUIDE</w:t>
            </w:r>
          </w:p>
        </w:tc>
      </w:tr>
      <w:tr w:rsidTr="001D10E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t>The Evidence Guide provides advice on assessment and must be read in conjunction with the Performance Criteria, Required Skills and Knowledge, the Range Statement and the Assessment Guidelines for the Training Package.</w:t>
            </w:r>
          </w:p>
        </w:tc>
      </w:tr>
      <w:tr w:rsidTr="001D10E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30FD7">
            <w:pPr>
              <w:pStyle w:val="BodyText"/>
              <w:rPr>
                <w:lang w:val="en-NZ"/>
              </w:rPr>
            </w:pPr>
            <w:r w:rsidRPr="00730FD7">
              <w:t>A person who demonstrates competency in this unit must be able to prepare and examine metallographic samples. Critical aspects for assessment and evidence are required to demonstrate competency in this unit.</w:t>
            </w:r>
          </w:p>
        </w:tc>
      </w:tr>
      <w:tr w:rsidTr="001D10E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Critical aspects for ass</w:t>
            </w:r>
            <w:r w:rsidRPr="00730FD7">
              <w:rPr>
                <w:rStyle w:val="SpecialBold"/>
              </w:rPr>
              <w:t>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730FD7" w:rsidP="00730FD7">
            <w:pPr>
              <w:pStyle w:val="BodyText"/>
            </w:pPr>
            <w:r w:rsidRPr="00730FD7">
              <w:t>It is essential that competence is demonstrated in the ability to:</w:t>
            </w:r>
          </w:p>
          <w:p w:rsidR="00000000" w:rsidP="00730FD7">
            <w:pPr>
              <w:pStyle w:val="ListBullet"/>
              <w:rPr>
                <w:lang w:val="en-NZ"/>
              </w:rPr>
            </w:pPr>
            <w:r w:rsidRPr="00730FD7">
              <w:t>Prepare and examine samples. Evidence should be provided from a number of sample preparations and examinations, coverin</w:t>
            </w:r>
            <w:r w:rsidRPr="00730FD7">
              <w:t>g the use of different etchants, preparation methods and examinations. The reports prepared should be a major part of this evidence, but will need supplementing to demonstrate the validity of this evidence.</w:t>
            </w:r>
          </w:p>
        </w:tc>
      </w:tr>
      <w:tr w:rsidTr="001D10E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30FD7">
            <w:pPr>
              <w:pStyle w:val="BodyText"/>
              <w:rPr>
                <w:lang w:val="en-NZ"/>
              </w:rPr>
            </w:pPr>
            <w:r w:rsidRPr="00730FD7">
              <w:t>This unit may be assessed concurrently with other relevant units.</w:t>
            </w:r>
          </w:p>
        </w:tc>
      </w:tr>
      <w:tr w:rsidTr="001D10E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730FD7" w:rsidP="00730FD7">
            <w:pPr>
              <w:pStyle w:val="BodyText"/>
            </w:pPr>
            <w:r w:rsidRPr="00730FD7">
              <w:t>Assessors must be satisfied that the person can consistently perform the unit as a whole, as defined by the elements, performance criteria, skills and knowledg</w:t>
            </w:r>
            <w:r w:rsidRPr="00730FD7">
              <w:t>e.  A holistic approach should be taken to the assessment.</w:t>
            </w:r>
          </w:p>
          <w:p w:rsidR="00000000" w:rsidRPr="00730FD7" w:rsidP="00730FD7">
            <w:pPr>
              <w:pStyle w:val="BodyText"/>
            </w:pPr>
            <w:r w:rsidRPr="00730FD7">
              <w:t>Assessors should gather sufficient, fair, valid, reliable, authentic and current evidence from a range of sources.  Sources of evidence may include direct observation, reports from supervisors, pee</w:t>
            </w:r>
            <w:r w:rsidRPr="00730FD7">
              <w:t>rs and colleagues, project work, samples, organisation records and questioning.  Assessment should not require language, literacy or numeracy skills beyond those required for the unit.</w:t>
            </w:r>
          </w:p>
          <w:p w:rsidR="00000000" w:rsidRPr="00730FD7" w:rsidP="00730FD7">
            <w:pPr>
              <w:pStyle w:val="BodyText"/>
            </w:pPr>
            <w:r w:rsidRPr="00730FD7">
              <w:t>The assessee will have access to all techniques, procedures, informatio</w:t>
            </w:r>
            <w:r w:rsidRPr="00730FD7">
              <w:t>n, resources and aids which would normally be available in the workplace.</w:t>
            </w:r>
          </w:p>
          <w:p w:rsidR="00000000" w:rsidP="00730FD7">
            <w:pPr>
              <w:pStyle w:val="BodyText"/>
              <w:rPr>
                <w:lang w:val="en-NZ"/>
              </w:rPr>
            </w:pPr>
            <w:r w:rsidRPr="00730FD7">
              <w:t>The method of assessment should be discussed and agreed with the assessee prior to the</w:t>
            </w:r>
          </w:p>
        </w:tc>
      </w:tr>
      <w:tr w:rsidTr="001D10E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t>This section should be read in conjunction with the range of variables f</w:t>
            </w:r>
            <w:r w:rsidRPr="00730FD7">
              <w:t>or this unit of competency. Resources required include suitable access to an organisation where metallographic sample preparation and examination is undertaken. A bank of case studies/scenarios and questions will also be required to the extent that they fo</w:t>
            </w:r>
            <w:r w:rsidRPr="00730FD7">
              <w:t>rm part of the assessment method. Questioning may take place either in the workplace, or in an adjacent, quiet facility such as an office or lunchroom. No other special resources are required.</w:t>
            </w: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11" w:name="O_102061"/>
      <w:bookmarkEnd w:id="11"/>
      <w:r w:rsidRPr="00730FD7">
        <w:t>Range Statement</w:t>
      </w:r>
    </w:p>
    <w:tbl>
      <w:tblPr>
        <w:tblW w:w="0" w:type="auto"/>
        <w:tblCellMar>
          <w:left w:w="62" w:type="dxa"/>
          <w:right w:w="62" w:type="dxa"/>
        </w:tblCellMar>
        <w:tblLook w:val="0000"/>
      </w:tblPr>
      <w:tblGrid>
        <w:gridCol w:w="2510"/>
        <w:gridCol w:w="6686"/>
      </w:tblGrid>
      <w:tr w:rsidTr="001D10E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RANGE STATEMENT</w:t>
            </w:r>
          </w:p>
        </w:tc>
      </w:tr>
      <w:tr w:rsidTr="001D10E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t>The range statement relates to the unit of competency as a whole. It allows for different work environments and situations that may affect performance. Bold italicised wording, if used in the performance criteria, is detailed below. Essential operating con</w:t>
            </w:r>
            <w:r w:rsidRPr="00730FD7">
              <w:t>ditions that may be present with training and assessment (depending on the work situation, needs of the candidate, accessibility of the item, and local industry and regional contexts) may also be included.</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Codes of practice</w:t>
            </w:r>
            <w:r w:rsidRPr="00730FD7">
              <w:t>/</w:t>
            </w:r>
            <w:r w:rsidRPr="00730FD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t>Where reference is made to industry codes of practice, and/or Australian/international standards, it is expected the latest version will be used.</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t>Hazards to be identified by standard techniques such as Material Safety Data Sheets (MSDS) and controlled according to the hierarchy of control and SOP.</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Etchants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t>Etchants includes all common etchants such as strong acid solutions.</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rPr>
                <w:rStyle w:val="SpecialBold"/>
              </w:rPr>
              <w:t>Metallographic examinat</w:t>
            </w:r>
            <w:r w:rsidRPr="00730FD7">
              <w:rPr>
                <w:rStyle w:val="SpecialBold"/>
              </w:rPr>
              <w: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Metallographic examination includes microscopy</w:t>
            </w:r>
            <w:r w:rsidRPr="00730FD7">
              <w:t xml:space="preserve">, </w:t>
            </w:r>
            <w:r w:rsidRPr="00730FD7">
              <w:rPr>
                <w:rStyle w:val="SpecialBold"/>
              </w:rPr>
              <w:t>photomicrographs and other standard techniques</w:t>
            </w:r>
            <w:r w:rsidRPr="00730FD7">
              <w:t xml:space="preserve">. </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Mechanical sample preparation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t>Mechanical sample preparation includes cutting (eg to size/shape), mounting, grinding (e.g. to prepare flat surface) and pol</w:t>
            </w:r>
            <w:r w:rsidRPr="00730FD7">
              <w:t>ishing (e.g. on a lap) as required.</w:t>
            </w:r>
          </w:p>
        </w:tc>
      </w:tr>
      <w:tr w:rsidTr="001D1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Process and record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t>Processing and recording of photomicrographs includes editing and enhancing of photographs and identification and filing using an appropriate procedure.</w:t>
            </w:r>
          </w:p>
        </w:tc>
      </w:tr>
    </w:tbl>
    <w:p w:rsidR="001D10EE" w:rsidP="00730FD7">
      <w:pPr>
        <w:pStyle w:val="BodyText"/>
      </w:pPr>
    </w:p>
    <w:p w:rsidR="001D10EE" w:rsidP="00730FD7">
      <w:pPr>
        <w:pStyle w:val="BodyText"/>
      </w:pPr>
    </w:p>
    <w:p w:rsidR="00000000" w:rsidRPr="00730FD7" w:rsidP="00730FD7">
      <w:pPr>
        <w:pStyle w:val="Heading1"/>
      </w:pPr>
      <w:bookmarkStart w:id="12" w:name="O_102062"/>
      <w:bookmarkEnd w:id="12"/>
      <w:r w:rsidRPr="00730FD7">
        <w:t>Unit Sector(s)</w:t>
      </w:r>
    </w:p>
    <w:tbl>
      <w:tblPr>
        <w:tblW w:w="0" w:type="auto"/>
        <w:tblCellMar>
          <w:left w:w="62" w:type="dxa"/>
          <w:right w:w="62" w:type="dxa"/>
        </w:tblCellMar>
        <w:tblLook w:val="0000"/>
      </w:tblPr>
      <w:tblGrid>
        <w:gridCol w:w="2376"/>
        <w:gridCol w:w="6820"/>
      </w:tblGrid>
      <w:tr w:rsidTr="001D10E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r w:rsidRPr="00730FD7">
              <w:t>Metallurgy</w:t>
            </w: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13" w:name="O_159324"/>
      <w:bookmarkEnd w:id="13"/>
      <w:r w:rsidRPr="00730FD7">
        <w:t>Competency field</w:t>
      </w:r>
    </w:p>
    <w:tbl>
      <w:tblPr>
        <w:tblW w:w="0" w:type="auto"/>
        <w:tblCellMar>
          <w:left w:w="62" w:type="dxa"/>
          <w:right w:w="62" w:type="dxa"/>
        </w:tblCellMar>
        <w:tblLook w:val="0000"/>
      </w:tblPr>
      <w:tblGrid>
        <w:gridCol w:w="2376"/>
        <w:gridCol w:w="6820"/>
      </w:tblGrid>
      <w:tr w:rsidTr="001D10E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p>
        </w:tc>
      </w:tr>
    </w:tbl>
    <w:p w:rsidR="00000000" w:rsidRPr="00730FD7" w:rsidP="00730FD7">
      <w:pPr>
        <w:pStyle w:val="BodyText"/>
      </w:pPr>
    </w:p>
    <w:p w:rsidR="00000000" w:rsidRPr="00730FD7" w:rsidP="00730FD7">
      <w:pPr>
        <w:pStyle w:val="AllowPageBreak"/>
      </w:pPr>
    </w:p>
    <w:p w:rsidR="00000000" w:rsidRPr="00730FD7" w:rsidP="00730FD7">
      <w:pPr>
        <w:pStyle w:val="Heading1"/>
      </w:pPr>
      <w:bookmarkStart w:id="14" w:name="O_159323"/>
      <w:bookmarkEnd w:id="14"/>
      <w:r w:rsidRPr="00730FD7">
        <w:t>Co-requisite units</w:t>
      </w:r>
    </w:p>
    <w:tbl>
      <w:tblPr>
        <w:tblW w:w="0" w:type="auto"/>
        <w:tblCellMar>
          <w:left w:w="62" w:type="dxa"/>
          <w:right w:w="62" w:type="dxa"/>
        </w:tblCellMar>
        <w:tblLook w:val="0000"/>
      </w:tblPr>
      <w:tblGrid>
        <w:gridCol w:w="2376"/>
        <w:gridCol w:w="1739"/>
        <w:gridCol w:w="5081"/>
      </w:tblGrid>
      <w:tr w:rsidTr="001D10E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r w:rsidRPr="00730FD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D7">
            <w:pPr>
              <w:pStyle w:val="BodyText"/>
              <w:rPr>
                <w:lang w:val="en-NZ"/>
              </w:rPr>
            </w:pPr>
          </w:p>
        </w:tc>
      </w:tr>
      <w:tr w:rsidTr="001D10E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D7" w:rsidP="00730FD7">
            <w:pPr>
              <w:pStyle w:val="BodyText"/>
            </w:pPr>
          </w:p>
        </w:tc>
      </w:tr>
    </w:tbl>
    <w:p w:rsidR="00000000" w:rsidRPr="00730FD7" w:rsidP="00730FD7">
      <w:pPr>
        <w:pStyle w:val="BodyText"/>
      </w:pPr>
    </w:p>
    <w:p w:rsidR="00000000" w:rsidRPr="00730FD7" w:rsidP="00730FD7"/>
    <w:sectPr w:rsidSect="00730F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0EE" w:rsidP="001D1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EE" w:rsidP="00730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10EE" w:rsidP="00730F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10EE" w:rsidP="00730F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0EE" w:rsidP="001D10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EE" w:rsidP="00730FD7">
    <w:pPr>
      <w:pStyle w:val="Header"/>
      <w:framePr w:wrap="around"/>
    </w:pPr>
    <w:r>
      <w:fldChar w:fldCharType="begin"/>
    </w:r>
    <w:r>
      <w:instrText xml:space="preserve"> TITLE   \* MERGEFORMAT </w:instrText>
    </w:r>
    <w:r>
      <w:fldChar w:fldCharType="separate"/>
    </w:r>
    <w:r>
      <w:t>MSATCM401A Prepare and examine metallographic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10EE" w:rsidP="00730F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306C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81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F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0FD7"/>
    <w:pPr>
      <w:spacing w:before="360" w:after="60"/>
      <w:outlineLvl w:val="0"/>
    </w:pPr>
    <w:rPr>
      <w:sz w:val="32"/>
    </w:rPr>
  </w:style>
  <w:style w:type="paragraph" w:styleId="Heading2">
    <w:name w:val="heading 2"/>
    <w:basedOn w:val="HeadingBase"/>
    <w:next w:val="BodyText"/>
    <w:link w:val="Heading2Char"/>
    <w:qFormat/>
    <w:rsid w:val="00730FD7"/>
    <w:pPr>
      <w:keepLines/>
      <w:spacing w:before="240" w:after="120"/>
      <w:outlineLvl w:val="1"/>
    </w:pPr>
    <w:rPr>
      <w:sz w:val="28"/>
      <w:szCs w:val="40"/>
    </w:rPr>
  </w:style>
  <w:style w:type="paragraph" w:styleId="Heading3">
    <w:name w:val="heading 3"/>
    <w:basedOn w:val="HeadingBase"/>
    <w:next w:val="BodyText"/>
    <w:link w:val="Heading3Char"/>
    <w:qFormat/>
    <w:rsid w:val="00730FD7"/>
    <w:pPr>
      <w:spacing w:before="180" w:after="120"/>
      <w:outlineLvl w:val="2"/>
    </w:pPr>
    <w:rPr>
      <w:spacing w:val="-10"/>
      <w:kern w:val="32"/>
    </w:rPr>
  </w:style>
  <w:style w:type="paragraph" w:styleId="Heading4">
    <w:name w:val="heading 4"/>
    <w:basedOn w:val="HeadingBase"/>
    <w:next w:val="BodyText"/>
    <w:link w:val="Heading4Char"/>
    <w:qFormat/>
    <w:rsid w:val="00730FD7"/>
    <w:pPr>
      <w:spacing w:before="160" w:after="120"/>
      <w:outlineLvl w:val="3"/>
    </w:pPr>
    <w:rPr>
      <w:sz w:val="22"/>
    </w:rPr>
  </w:style>
  <w:style w:type="paragraph" w:styleId="Heading5">
    <w:name w:val="heading 5"/>
    <w:basedOn w:val="HeadingBase"/>
    <w:next w:val="Normal"/>
    <w:link w:val="Heading5Char"/>
    <w:qFormat/>
    <w:rsid w:val="00730FD7"/>
    <w:pPr>
      <w:spacing w:before="80"/>
      <w:outlineLvl w:val="4"/>
    </w:pPr>
    <w:rPr>
      <w:color w:val="918585"/>
      <w:sz w:val="20"/>
    </w:rPr>
  </w:style>
  <w:style w:type="paragraph" w:styleId="Heading6">
    <w:name w:val="heading 6"/>
    <w:basedOn w:val="HeadingBase"/>
    <w:next w:val="Normal"/>
    <w:link w:val="Heading6Char"/>
    <w:qFormat/>
    <w:rsid w:val="00730FD7"/>
    <w:pPr>
      <w:spacing w:before="60"/>
      <w:outlineLvl w:val="5"/>
    </w:pPr>
    <w:rPr>
      <w:color w:val="918585"/>
      <w:sz w:val="20"/>
    </w:rPr>
  </w:style>
  <w:style w:type="paragraph" w:styleId="Heading7">
    <w:name w:val="heading 7"/>
    <w:basedOn w:val="Normal"/>
    <w:next w:val="Normal"/>
    <w:link w:val="Heading7Char"/>
    <w:qFormat/>
    <w:rsid w:val="00730FD7"/>
    <w:pPr>
      <w:ind w:left="720"/>
      <w:outlineLvl w:val="6"/>
    </w:pPr>
    <w:rPr>
      <w:i/>
    </w:rPr>
  </w:style>
  <w:style w:type="paragraph" w:styleId="Heading8">
    <w:name w:val="heading 8"/>
    <w:basedOn w:val="Normal"/>
    <w:next w:val="Normal"/>
    <w:link w:val="Heading8Char"/>
    <w:qFormat/>
    <w:rsid w:val="00730FD7"/>
    <w:pPr>
      <w:ind w:left="720"/>
      <w:outlineLvl w:val="7"/>
    </w:pPr>
    <w:rPr>
      <w:i/>
    </w:rPr>
  </w:style>
  <w:style w:type="paragraph" w:styleId="Heading9">
    <w:name w:val="heading 9"/>
    <w:basedOn w:val="Normal"/>
    <w:next w:val="Normal"/>
    <w:link w:val="Heading9Char"/>
    <w:qFormat/>
    <w:rsid w:val="00730FD7"/>
    <w:pPr>
      <w:ind w:left="720"/>
      <w:outlineLvl w:val="8"/>
    </w:pPr>
    <w:rPr>
      <w:i/>
    </w:rPr>
  </w:style>
  <w:style w:type="character" w:default="1" w:styleId="DefaultParagraphFont">
    <w:name w:val="Default Paragraph Font"/>
    <w:uiPriority w:val="1"/>
    <w:unhideWhenUsed/>
    <w:rsid w:val="00730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FD7"/>
  </w:style>
  <w:style w:type="character" w:customStyle="1" w:styleId="Heading1Char">
    <w:name w:val="Heading 1 Char"/>
    <w:basedOn w:val="DefaultParagraphFont"/>
    <w:link w:val="Heading1"/>
    <w:rsid w:val="00730FD7"/>
    <w:rPr>
      <w:rFonts w:ascii="Times New Roman" w:eastAsia="Times New Roman" w:hAnsi="Times New Roman" w:cs="Times New Roman"/>
      <w:b/>
      <w:sz w:val="32"/>
      <w:szCs w:val="20"/>
      <w:lang w:eastAsia="en-US"/>
    </w:rPr>
  </w:style>
  <w:style w:type="paragraph" w:styleId="BodyText">
    <w:name w:val="Body Text"/>
    <w:basedOn w:val="Normal"/>
    <w:link w:val="BodyTextChar"/>
    <w:rsid w:val="00730F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FD7"/>
    <w:rPr>
      <w:rFonts w:ascii="Times New Roman" w:eastAsia="Times New Roman" w:hAnsi="Times New Roman" w:cs="Times New Roman"/>
      <w:sz w:val="24"/>
      <w:lang w:val="en-US" w:eastAsia="en-US"/>
    </w:rPr>
  </w:style>
  <w:style w:type="paragraph" w:styleId="Footer">
    <w:name w:val="footer"/>
    <w:basedOn w:val="Normal"/>
    <w:link w:val="FooterChar"/>
    <w:rsid w:val="00730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FD7"/>
    <w:rPr>
      <w:rFonts w:ascii="Times New Roman" w:eastAsia="Times New Roman" w:hAnsi="Times New Roman" w:cs="Times New Roman"/>
      <w:sz w:val="16"/>
      <w:lang w:val="en-US" w:eastAsia="en-US"/>
    </w:rPr>
  </w:style>
  <w:style w:type="paragraph" w:styleId="List">
    <w:name w:val="List"/>
    <w:basedOn w:val="BodyText"/>
    <w:next w:val="BodyText"/>
    <w:rsid w:val="00730FD7"/>
    <w:pPr>
      <w:tabs>
        <w:tab w:val="left" w:pos="340"/>
      </w:tabs>
      <w:spacing w:before="60" w:after="60"/>
      <w:ind w:left="340" w:hanging="340"/>
    </w:pPr>
  </w:style>
  <w:style w:type="paragraph" w:styleId="ListBullet">
    <w:name w:val="List Bullet"/>
    <w:basedOn w:val="List"/>
    <w:rsid w:val="00730FD7"/>
    <w:pPr>
      <w:numPr>
        <w:numId w:val="12"/>
      </w:numPr>
      <w:tabs>
        <w:tab w:val="clear" w:pos="340"/>
      </w:tabs>
      <w:spacing w:before="40" w:after="40"/>
    </w:pPr>
  </w:style>
  <w:style w:type="character" w:customStyle="1" w:styleId="SpecialBold">
    <w:name w:val="Special Bold"/>
    <w:basedOn w:val="DefaultParagraphFont"/>
    <w:rsid w:val="00730FD7"/>
    <w:rPr>
      <w:b/>
      <w:spacing w:val="0"/>
    </w:rPr>
  </w:style>
  <w:style w:type="paragraph" w:styleId="Header">
    <w:name w:val="header"/>
    <w:basedOn w:val="Normal"/>
    <w:link w:val="HeaderChar"/>
    <w:rsid w:val="00730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F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0FD7"/>
    <w:rPr>
      <w:i/>
    </w:rPr>
  </w:style>
  <w:style w:type="paragraph" w:customStyle="1" w:styleId="SuperHeading">
    <w:name w:val="SuperHeading"/>
    <w:basedOn w:val="Normal"/>
    <w:rsid w:val="00730FD7"/>
    <w:pPr>
      <w:spacing w:before="240" w:after="120"/>
      <w:outlineLvl w:val="0"/>
    </w:pPr>
    <w:rPr>
      <w:rFonts w:ascii="Times New Roman" w:hAnsi="Times New Roman"/>
      <w:b/>
      <w:sz w:val="28"/>
    </w:rPr>
  </w:style>
  <w:style w:type="paragraph" w:customStyle="1" w:styleId="AllowPageBreak">
    <w:name w:val="AllowPageBreak"/>
    <w:rsid w:val="00730F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0FD7"/>
    <w:pPr>
      <w:tabs>
        <w:tab w:val="left" w:pos="680"/>
      </w:tabs>
      <w:spacing w:before="60" w:after="60"/>
      <w:ind w:left="680" w:hanging="340"/>
    </w:pPr>
  </w:style>
  <w:style w:type="character" w:customStyle="1" w:styleId="Heading2Char">
    <w:name w:val="Heading 2 Char"/>
    <w:basedOn w:val="DefaultParagraphFont"/>
    <w:link w:val="Heading2"/>
    <w:rsid w:val="00730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F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0F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0FD7"/>
    <w:rPr>
      <w:rFonts w:ascii="Courier New" w:eastAsia="Times New Roman" w:hAnsi="Courier New" w:cs="Times New Roman"/>
      <w:i/>
      <w:szCs w:val="20"/>
      <w:lang w:val="en-US" w:eastAsia="en-US"/>
    </w:rPr>
  </w:style>
  <w:style w:type="paragraph" w:customStyle="1" w:styleId="HeadingBase">
    <w:name w:val="Heading Base"/>
    <w:rsid w:val="00730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FD7"/>
    <w:pPr>
      <w:tabs>
        <w:tab w:val="right" w:leader="dot" w:pos="9072"/>
      </w:tabs>
      <w:ind w:left="567"/>
    </w:pPr>
    <w:rPr>
      <w:szCs w:val="22"/>
    </w:rPr>
  </w:style>
  <w:style w:type="paragraph" w:customStyle="1" w:styleId="TOCBase">
    <w:name w:val="TOC Base"/>
    <w:rsid w:val="00730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FD7"/>
    <w:pPr>
      <w:tabs>
        <w:tab w:val="right" w:leader="dot" w:pos="9072"/>
      </w:tabs>
      <w:spacing w:before="40" w:after="40"/>
      <w:ind w:left="284"/>
    </w:pPr>
    <w:rPr>
      <w:rFonts w:ascii="Times New Roman" w:hAnsi="Times New Roman"/>
    </w:rPr>
  </w:style>
  <w:style w:type="paragraph" w:styleId="TOC1">
    <w:name w:val="toc 1"/>
    <w:basedOn w:val="TOCBase"/>
    <w:next w:val="Normal"/>
    <w:rsid w:val="00730F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FD7"/>
    <w:pPr>
      <w:spacing w:before="5040"/>
      <w:jc w:val="center"/>
    </w:pPr>
    <w:rPr>
      <w:sz w:val="48"/>
      <w:szCs w:val="72"/>
      <w:lang w:val="en-US"/>
    </w:rPr>
  </w:style>
  <w:style w:type="character" w:customStyle="1" w:styleId="TitleChar">
    <w:name w:val="Title Char"/>
    <w:basedOn w:val="DefaultParagraphFont"/>
    <w:link w:val="Title"/>
    <w:rsid w:val="00730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FD7"/>
    <w:pPr>
      <w:tabs>
        <w:tab w:val="left" w:pos="3600"/>
        <w:tab w:val="left" w:pos="3958"/>
      </w:tabs>
    </w:pPr>
  </w:style>
  <w:style w:type="paragraph" w:customStyle="1" w:styleId="Note">
    <w:name w:val="Note"/>
    <w:basedOn w:val="BodyText"/>
    <w:rsid w:val="00730F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FD7"/>
    <w:pPr>
      <w:framePr w:wrap="auto" w:hAnchor="text" w:y="6049"/>
    </w:pPr>
    <w:rPr>
      <w:color w:val="000000"/>
      <w:sz w:val="40"/>
    </w:rPr>
  </w:style>
  <w:style w:type="paragraph" w:customStyle="1" w:styleId="TOCTitle">
    <w:name w:val="TOCTitle"/>
    <w:basedOn w:val="Heading1"/>
    <w:rsid w:val="00730FD7"/>
    <w:pPr>
      <w:spacing w:after="240"/>
      <w:jc w:val="center"/>
      <w:outlineLvl w:val="9"/>
    </w:pPr>
    <w:rPr>
      <w:caps/>
    </w:rPr>
  </w:style>
  <w:style w:type="paragraph" w:customStyle="1" w:styleId="Version">
    <w:name w:val="Version"/>
    <w:rsid w:val="00730F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FD7"/>
    <w:pPr>
      <w:numPr>
        <w:numId w:val="13"/>
      </w:numPr>
      <w:tabs>
        <w:tab w:val="clear" w:pos="680"/>
      </w:tabs>
    </w:pPr>
  </w:style>
  <w:style w:type="paragraph" w:styleId="Index1">
    <w:name w:val="index 1"/>
    <w:basedOn w:val="Normal"/>
    <w:next w:val="Normal"/>
    <w:semiHidden/>
    <w:rsid w:val="00730FD7"/>
    <w:pPr>
      <w:keepNext w:val="0"/>
      <w:tabs>
        <w:tab w:val="right" w:pos="4176"/>
      </w:tabs>
      <w:ind w:left="198" w:hanging="198"/>
    </w:pPr>
    <w:rPr>
      <w:rFonts w:ascii="Garamond" w:hAnsi="Garamond"/>
    </w:rPr>
  </w:style>
  <w:style w:type="paragraph" w:styleId="IndexHeading">
    <w:name w:val="index heading"/>
    <w:basedOn w:val="Normal"/>
    <w:next w:val="Index1"/>
    <w:semiHidden/>
    <w:rsid w:val="00730FD7"/>
    <w:pPr>
      <w:spacing w:before="120" w:after="120"/>
    </w:pPr>
    <w:rPr>
      <w:rFonts w:ascii="Arial" w:hAnsi="Arial"/>
      <w:b/>
      <w:color w:val="918585"/>
      <w:sz w:val="24"/>
    </w:rPr>
  </w:style>
  <w:style w:type="paragraph" w:customStyle="1" w:styleId="Chapter">
    <w:name w:val="Chapter"/>
    <w:basedOn w:val="Normal"/>
    <w:rsid w:val="00730FD7"/>
    <w:pPr>
      <w:spacing w:before="240"/>
    </w:pPr>
    <w:rPr>
      <w:rFonts w:ascii="Times New Roman" w:hAnsi="Times New Roman"/>
      <w:smallCaps/>
      <w:spacing w:val="80"/>
      <w:sz w:val="28"/>
    </w:rPr>
  </w:style>
  <w:style w:type="paragraph" w:customStyle="1" w:styleId="InChapter">
    <w:name w:val="InChapter"/>
    <w:basedOn w:val="Heading3"/>
    <w:rsid w:val="00730FD7"/>
    <w:pPr>
      <w:spacing w:after="240"/>
      <w:outlineLvl w:val="9"/>
    </w:pPr>
    <w:rPr>
      <w:noProof/>
    </w:rPr>
  </w:style>
  <w:style w:type="paragraph" w:styleId="Index2">
    <w:name w:val="index 2"/>
    <w:basedOn w:val="Normal"/>
    <w:next w:val="Normal"/>
    <w:semiHidden/>
    <w:rsid w:val="00730FD7"/>
    <w:pPr>
      <w:tabs>
        <w:tab w:val="right" w:pos="4176"/>
      </w:tabs>
      <w:ind w:left="568" w:hanging="284"/>
    </w:pPr>
    <w:rPr>
      <w:rFonts w:ascii="Garamond" w:hAnsi="Garamond"/>
    </w:rPr>
  </w:style>
  <w:style w:type="paragraph" w:customStyle="1" w:styleId="Byline">
    <w:name w:val="Byline"/>
    <w:rsid w:val="00730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FD7"/>
    <w:pPr>
      <w:tabs>
        <w:tab w:val="clear" w:pos="3600"/>
        <w:tab w:val="clear" w:pos="3958"/>
      </w:tabs>
      <w:jc w:val="right"/>
    </w:pPr>
  </w:style>
  <w:style w:type="paragraph" w:styleId="Caption">
    <w:name w:val="caption"/>
    <w:basedOn w:val="BodyText"/>
    <w:next w:val="Normal"/>
    <w:qFormat/>
    <w:rsid w:val="00730FD7"/>
    <w:pPr>
      <w:framePr w:w="2268" w:hSpace="181" w:vSpace="181" w:wrap="around" w:vAnchor="text" w:hAnchor="page" w:x="1135" w:y="285" w:anchorLock="1"/>
    </w:pPr>
    <w:rPr>
      <w:i/>
    </w:rPr>
  </w:style>
  <w:style w:type="paragraph" w:customStyle="1" w:styleId="MiniTOCTitle">
    <w:name w:val="MiniTOCTitle"/>
    <w:basedOn w:val="Heading4"/>
    <w:rsid w:val="00730FD7"/>
    <w:pPr>
      <w:spacing w:before="240"/>
      <w:outlineLvl w:val="9"/>
    </w:pPr>
    <w:rPr>
      <w:noProof/>
      <w:sz w:val="24"/>
    </w:rPr>
  </w:style>
  <w:style w:type="paragraph" w:customStyle="1" w:styleId="MiniTOCItem">
    <w:name w:val="MiniTOCItem"/>
    <w:basedOn w:val="ListBullet"/>
    <w:rsid w:val="00730FD7"/>
    <w:pPr>
      <w:numPr>
        <w:numId w:val="0"/>
      </w:numPr>
      <w:tabs>
        <w:tab w:val="right" w:leader="dot" w:pos="6521"/>
      </w:tabs>
      <w:spacing w:before="0" w:after="0"/>
    </w:pPr>
  </w:style>
  <w:style w:type="paragraph" w:customStyle="1" w:styleId="TOFTitle">
    <w:name w:val="TOFTitle"/>
    <w:basedOn w:val="TOCTitle"/>
    <w:rsid w:val="00730FD7"/>
  </w:style>
  <w:style w:type="paragraph" w:styleId="TableofFigures">
    <w:name w:val="table of figures"/>
    <w:basedOn w:val="Normal"/>
    <w:next w:val="Normal"/>
    <w:semiHidden/>
    <w:rsid w:val="00730FD7"/>
    <w:pPr>
      <w:tabs>
        <w:tab w:val="right" w:leader="dot" w:pos="9072"/>
      </w:tabs>
      <w:ind w:left="970" w:hanging="403"/>
    </w:pPr>
    <w:rPr>
      <w:rFonts w:ascii="Times New Roman" w:hAnsi="Times New Roman"/>
      <w:b/>
    </w:rPr>
  </w:style>
  <w:style w:type="paragraph" w:styleId="ListNumber">
    <w:name w:val="List Number"/>
    <w:basedOn w:val="List"/>
    <w:rsid w:val="00730FD7"/>
    <w:pPr>
      <w:numPr>
        <w:numId w:val="10"/>
      </w:numPr>
    </w:pPr>
  </w:style>
  <w:style w:type="character" w:customStyle="1" w:styleId="WingdingSymbols">
    <w:name w:val="Wingding Symbols"/>
    <w:rsid w:val="00730FD7"/>
    <w:rPr>
      <w:rFonts w:ascii="Wingdings" w:hAnsi="Wingdings"/>
    </w:rPr>
  </w:style>
  <w:style w:type="paragraph" w:customStyle="1" w:styleId="TableHeading">
    <w:name w:val="Table Heading"/>
    <w:basedOn w:val="HeadingBase"/>
    <w:rsid w:val="00730FD7"/>
    <w:pPr>
      <w:keepLines/>
      <w:pBdr>
        <w:bottom w:val="single" w:sz="6" w:space="1" w:color="918585"/>
      </w:pBdr>
      <w:spacing w:before="240"/>
    </w:pPr>
  </w:style>
  <w:style w:type="character" w:customStyle="1" w:styleId="HotSpot">
    <w:name w:val="HotSpot"/>
    <w:rsid w:val="00730FD7"/>
    <w:rPr>
      <w:color w:val="0033CC"/>
      <w:u w:val="none"/>
    </w:rPr>
  </w:style>
  <w:style w:type="paragraph" w:customStyle="1" w:styleId="BodyTextRight">
    <w:name w:val="Body Text Right"/>
    <w:basedOn w:val="BodyText"/>
    <w:rsid w:val="00730FD7"/>
    <w:pPr>
      <w:spacing w:before="0" w:after="0"/>
      <w:jc w:val="right"/>
    </w:pPr>
  </w:style>
  <w:style w:type="paragraph" w:styleId="Index3">
    <w:name w:val="index 3"/>
    <w:basedOn w:val="ListNumber2"/>
    <w:next w:val="Normal"/>
    <w:semiHidden/>
    <w:rsid w:val="00730FD7"/>
    <w:pPr>
      <w:numPr>
        <w:numId w:val="0"/>
      </w:numPr>
      <w:tabs>
        <w:tab w:val="right" w:leader="dot" w:pos="4176"/>
      </w:tabs>
    </w:pPr>
  </w:style>
  <w:style w:type="paragraph" w:styleId="ListNumber2">
    <w:name w:val="List Number 2"/>
    <w:basedOn w:val="List2"/>
    <w:rsid w:val="00730FD7"/>
    <w:pPr>
      <w:numPr>
        <w:numId w:val="9"/>
      </w:numPr>
      <w:tabs>
        <w:tab w:val="clear" w:pos="1060"/>
      </w:tabs>
    </w:pPr>
  </w:style>
  <w:style w:type="paragraph" w:customStyle="1" w:styleId="MarginNote">
    <w:name w:val="Margin Note"/>
    <w:basedOn w:val="BodyText"/>
    <w:rsid w:val="00730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F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0FD7"/>
    <w:rPr>
      <w:sz w:val="32"/>
    </w:rPr>
  </w:style>
  <w:style w:type="paragraph" w:customStyle="1" w:styleId="HeadingProcedure">
    <w:name w:val="Heading Procedure"/>
    <w:basedOn w:val="HeadingBase"/>
    <w:next w:val="Normal"/>
    <w:rsid w:val="00730FD7"/>
    <w:pPr>
      <w:tabs>
        <w:tab w:val="left" w:pos="0"/>
      </w:tabs>
      <w:spacing w:before="120" w:after="60"/>
    </w:pPr>
    <w:rPr>
      <w:i/>
      <w:color w:val="918585"/>
      <w:sz w:val="22"/>
    </w:rPr>
  </w:style>
  <w:style w:type="paragraph" w:customStyle="1" w:styleId="TableBodyText">
    <w:name w:val="Table Body Text"/>
    <w:basedOn w:val="BodyText"/>
    <w:rsid w:val="00730FD7"/>
    <w:pPr>
      <w:spacing w:before="60" w:after="60"/>
    </w:pPr>
  </w:style>
  <w:style w:type="paragraph" w:styleId="ListContinue">
    <w:name w:val="List Continue"/>
    <w:basedOn w:val="List"/>
    <w:rsid w:val="00730FD7"/>
    <w:pPr>
      <w:ind w:firstLine="0"/>
    </w:pPr>
  </w:style>
  <w:style w:type="paragraph" w:customStyle="1" w:styleId="ListNote">
    <w:name w:val="List Note"/>
    <w:basedOn w:val="List"/>
    <w:rsid w:val="00730FD7"/>
    <w:pPr>
      <w:pBdr>
        <w:top w:val="single" w:sz="6" w:space="2" w:color="918585"/>
        <w:bottom w:val="single" w:sz="6" w:space="2" w:color="918585"/>
      </w:pBdr>
      <w:tabs>
        <w:tab w:val="left" w:pos="1021"/>
      </w:tabs>
      <w:ind w:firstLine="0"/>
    </w:pPr>
  </w:style>
  <w:style w:type="paragraph" w:customStyle="1" w:styleId="Warning">
    <w:name w:val="Warning"/>
    <w:basedOn w:val="BodyText"/>
    <w:rsid w:val="00730FD7"/>
    <w:pPr>
      <w:shd w:val="clear" w:color="auto" w:fill="D9D9D9"/>
      <w:tabs>
        <w:tab w:val="left" w:pos="992"/>
      </w:tabs>
      <w:ind w:left="119" w:right="119"/>
    </w:pPr>
    <w:rPr>
      <w:sz w:val="20"/>
    </w:rPr>
  </w:style>
  <w:style w:type="paragraph" w:customStyle="1" w:styleId="MarginIcons">
    <w:name w:val="Margin Icons"/>
    <w:basedOn w:val="BodyText"/>
    <w:rsid w:val="00730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FD7"/>
    <w:rPr>
      <w:rFonts w:ascii="Courier New" w:hAnsi="Courier New"/>
    </w:rPr>
  </w:style>
  <w:style w:type="paragraph" w:customStyle="1" w:styleId="NoteBullet">
    <w:name w:val="Note Bullet"/>
    <w:basedOn w:val="Note"/>
    <w:rsid w:val="00730FD7"/>
    <w:pPr>
      <w:tabs>
        <w:tab w:val="clear" w:pos="680"/>
      </w:tabs>
      <w:spacing w:before="60" w:after="60"/>
    </w:pPr>
  </w:style>
  <w:style w:type="paragraph" w:customStyle="1" w:styleId="SubHeading2">
    <w:name w:val="SubHeading2"/>
    <w:basedOn w:val="HeadingBase"/>
    <w:rsid w:val="00730FD7"/>
    <w:pPr>
      <w:spacing w:before="240" w:after="60"/>
    </w:pPr>
    <w:rPr>
      <w:sz w:val="20"/>
    </w:rPr>
  </w:style>
  <w:style w:type="paragraph" w:customStyle="1" w:styleId="SubHeading1">
    <w:name w:val="SubHeading1"/>
    <w:basedOn w:val="HeadingBase"/>
    <w:rsid w:val="00730FD7"/>
    <w:pPr>
      <w:spacing w:before="240" w:after="60"/>
    </w:pPr>
    <w:rPr>
      <w:color w:val="918585"/>
      <w:sz w:val="22"/>
    </w:rPr>
  </w:style>
  <w:style w:type="paragraph" w:customStyle="1" w:styleId="SideHeading">
    <w:name w:val="Side Heading"/>
    <w:basedOn w:val="HeadingBase"/>
    <w:rsid w:val="00730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FD7"/>
    <w:pPr>
      <w:tabs>
        <w:tab w:val="num" w:pos="360"/>
      </w:tabs>
    </w:pPr>
  </w:style>
  <w:style w:type="paragraph" w:styleId="PlainText">
    <w:name w:val="Plain Text"/>
    <w:basedOn w:val="Normal"/>
    <w:link w:val="PlainTextChar"/>
    <w:rsid w:val="00730FD7"/>
    <w:rPr>
      <w:sz w:val="20"/>
    </w:rPr>
  </w:style>
  <w:style w:type="character" w:customStyle="1" w:styleId="PlainTextChar">
    <w:name w:val="Plain Text Char"/>
    <w:basedOn w:val="DefaultParagraphFont"/>
    <w:link w:val="PlainText"/>
    <w:rsid w:val="00730F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0FD7"/>
    <w:rPr>
      <w:b/>
      <w:smallCaps/>
    </w:rPr>
  </w:style>
  <w:style w:type="paragraph" w:customStyle="1" w:styleId="TableListNumber">
    <w:name w:val="Table List Number"/>
    <w:basedOn w:val="ListNumber"/>
    <w:rsid w:val="00730FD7"/>
    <w:pPr>
      <w:numPr>
        <w:numId w:val="0"/>
      </w:numPr>
    </w:pPr>
  </w:style>
  <w:style w:type="paragraph" w:styleId="TOC4">
    <w:name w:val="toc 4"/>
    <w:basedOn w:val="TOCBase"/>
    <w:next w:val="Normal"/>
    <w:semiHidden/>
    <w:rsid w:val="00730FD7"/>
    <w:pPr>
      <w:tabs>
        <w:tab w:val="right" w:leader="dot" w:pos="9071"/>
      </w:tabs>
      <w:ind w:left="1701"/>
    </w:pPr>
  </w:style>
  <w:style w:type="paragraph" w:customStyle="1" w:styleId="ListAlpha">
    <w:name w:val="List Alpha"/>
    <w:basedOn w:val="List"/>
    <w:rsid w:val="00730FD7"/>
    <w:pPr>
      <w:numPr>
        <w:numId w:val="8"/>
      </w:numPr>
    </w:pPr>
  </w:style>
  <w:style w:type="paragraph" w:customStyle="1" w:styleId="ListAlpha2">
    <w:name w:val="List Alpha 2"/>
    <w:basedOn w:val="List2"/>
    <w:rsid w:val="00730FD7"/>
    <w:pPr>
      <w:numPr>
        <w:numId w:val="7"/>
      </w:numPr>
    </w:pPr>
  </w:style>
  <w:style w:type="paragraph" w:styleId="List3">
    <w:name w:val="List 3"/>
    <w:basedOn w:val="BodyText"/>
    <w:rsid w:val="00730FD7"/>
    <w:pPr>
      <w:tabs>
        <w:tab w:val="left" w:pos="1021"/>
      </w:tabs>
      <w:spacing w:before="60" w:after="60"/>
      <w:ind w:left="1020" w:hanging="340"/>
    </w:pPr>
  </w:style>
  <w:style w:type="paragraph" w:styleId="List4">
    <w:name w:val="List 4"/>
    <w:basedOn w:val="BodyText"/>
    <w:rsid w:val="00730FD7"/>
    <w:pPr>
      <w:tabs>
        <w:tab w:val="left" w:pos="1361"/>
      </w:tabs>
      <w:spacing w:before="60" w:after="60"/>
      <w:ind w:left="1361" w:hanging="340"/>
    </w:pPr>
  </w:style>
  <w:style w:type="paragraph" w:styleId="List5">
    <w:name w:val="List 5"/>
    <w:basedOn w:val="BodyText"/>
    <w:rsid w:val="00730FD7"/>
    <w:pPr>
      <w:tabs>
        <w:tab w:val="left" w:pos="1701"/>
      </w:tabs>
      <w:spacing w:before="60" w:after="60"/>
      <w:ind w:left="1701" w:hanging="340"/>
    </w:pPr>
  </w:style>
  <w:style w:type="paragraph" w:styleId="ListBullet3">
    <w:name w:val="List Bullet 3"/>
    <w:basedOn w:val="List3"/>
    <w:rsid w:val="00730FD7"/>
    <w:pPr>
      <w:numPr>
        <w:numId w:val="14"/>
      </w:numPr>
      <w:tabs>
        <w:tab w:val="clear" w:pos="1021"/>
      </w:tabs>
      <w:ind w:left="1037" w:hanging="357"/>
    </w:pPr>
  </w:style>
  <w:style w:type="paragraph" w:styleId="ListBullet4">
    <w:name w:val="List Bullet 4"/>
    <w:basedOn w:val="List4"/>
    <w:rsid w:val="00730FD7"/>
    <w:pPr>
      <w:numPr>
        <w:numId w:val="2"/>
      </w:numPr>
    </w:pPr>
  </w:style>
  <w:style w:type="paragraph" w:styleId="ListBullet5">
    <w:name w:val="List Bullet 5"/>
    <w:basedOn w:val="List5"/>
    <w:rsid w:val="00730FD7"/>
    <w:pPr>
      <w:numPr>
        <w:numId w:val="3"/>
      </w:numPr>
    </w:pPr>
  </w:style>
  <w:style w:type="paragraph" w:styleId="ListContinue2">
    <w:name w:val="List Continue 2"/>
    <w:basedOn w:val="List2"/>
    <w:rsid w:val="00730FD7"/>
    <w:pPr>
      <w:ind w:firstLine="0"/>
    </w:pPr>
  </w:style>
  <w:style w:type="paragraph" w:styleId="ListContinue3">
    <w:name w:val="List Continue 3"/>
    <w:basedOn w:val="List3"/>
    <w:rsid w:val="00730FD7"/>
    <w:pPr>
      <w:ind w:left="1021" w:firstLine="0"/>
    </w:pPr>
  </w:style>
  <w:style w:type="paragraph" w:styleId="ListContinue4">
    <w:name w:val="List Continue 4"/>
    <w:basedOn w:val="List4"/>
    <w:rsid w:val="00730FD7"/>
    <w:pPr>
      <w:ind w:firstLine="0"/>
    </w:pPr>
  </w:style>
  <w:style w:type="paragraph" w:styleId="ListContinue5">
    <w:name w:val="List Continue 5"/>
    <w:basedOn w:val="List5"/>
    <w:rsid w:val="00730FD7"/>
    <w:pPr>
      <w:ind w:firstLine="0"/>
    </w:pPr>
  </w:style>
  <w:style w:type="paragraph" w:styleId="ListNumber3">
    <w:name w:val="List Number 3"/>
    <w:basedOn w:val="List3"/>
    <w:rsid w:val="00730FD7"/>
    <w:pPr>
      <w:numPr>
        <w:numId w:val="4"/>
      </w:numPr>
    </w:pPr>
  </w:style>
  <w:style w:type="paragraph" w:styleId="ListNumber4">
    <w:name w:val="List Number 4"/>
    <w:basedOn w:val="List4"/>
    <w:rsid w:val="00730FD7"/>
    <w:pPr>
      <w:numPr>
        <w:numId w:val="5"/>
      </w:numPr>
    </w:pPr>
  </w:style>
  <w:style w:type="paragraph" w:styleId="ListNumber5">
    <w:name w:val="List Number 5"/>
    <w:basedOn w:val="List5"/>
    <w:rsid w:val="00730FD7"/>
    <w:pPr>
      <w:numPr>
        <w:numId w:val="6"/>
      </w:numPr>
    </w:pPr>
  </w:style>
  <w:style w:type="paragraph" w:styleId="BlockText">
    <w:name w:val="Block Text"/>
    <w:basedOn w:val="Normal"/>
    <w:rsid w:val="00730FD7"/>
    <w:pPr>
      <w:spacing w:after="120"/>
      <w:ind w:left="1440" w:right="1440"/>
    </w:pPr>
  </w:style>
  <w:style w:type="character" w:customStyle="1" w:styleId="Subscript">
    <w:name w:val="Subscript"/>
    <w:basedOn w:val="DefaultParagraphFont"/>
    <w:rsid w:val="00730FD7"/>
    <w:rPr>
      <w:sz w:val="16"/>
      <w:vertAlign w:val="subscript"/>
    </w:rPr>
  </w:style>
  <w:style w:type="character" w:customStyle="1" w:styleId="Superscript">
    <w:name w:val="Superscript"/>
    <w:basedOn w:val="DefaultParagraphFont"/>
    <w:rsid w:val="00730FD7"/>
    <w:rPr>
      <w:sz w:val="16"/>
      <w:vertAlign w:val="superscript"/>
    </w:rPr>
  </w:style>
  <w:style w:type="character" w:customStyle="1" w:styleId="Symbols">
    <w:name w:val="Symbols"/>
    <w:basedOn w:val="DefaultParagraphFont"/>
    <w:rsid w:val="00730FD7"/>
    <w:rPr>
      <w:rFonts w:ascii="Symbol" w:hAnsi="Symbol"/>
    </w:rPr>
  </w:style>
  <w:style w:type="character" w:customStyle="1" w:styleId="MenuOptions">
    <w:name w:val="Menu Options"/>
    <w:basedOn w:val="DefaultParagraphFont"/>
    <w:rsid w:val="00730FD7"/>
    <w:rPr>
      <w:rFonts w:ascii="Arial Narrow" w:hAnsi="Arial Narrow"/>
      <w:smallCaps/>
    </w:rPr>
  </w:style>
  <w:style w:type="character" w:customStyle="1" w:styleId="Buttons">
    <w:name w:val="Buttons"/>
    <w:basedOn w:val="DefaultParagraphFont"/>
    <w:rsid w:val="00730FD7"/>
    <w:rPr>
      <w:b/>
    </w:rPr>
  </w:style>
  <w:style w:type="character" w:customStyle="1" w:styleId="Underlined">
    <w:name w:val="Underlined"/>
    <w:basedOn w:val="DefaultParagraphFont"/>
    <w:rsid w:val="00730FD7"/>
    <w:rPr>
      <w:u w:val="single"/>
    </w:rPr>
  </w:style>
  <w:style w:type="paragraph" w:customStyle="1" w:styleId="TableBodyTextRight">
    <w:name w:val="Table Body Text Right"/>
    <w:basedOn w:val="TableBodyText"/>
    <w:rsid w:val="00730FD7"/>
    <w:pPr>
      <w:widowControl w:val="0"/>
      <w:autoSpaceDE w:val="0"/>
      <w:autoSpaceDN w:val="0"/>
      <w:adjustRightInd w:val="0"/>
      <w:jc w:val="right"/>
    </w:pPr>
    <w:rPr>
      <w:rFonts w:cs="Arial"/>
      <w:szCs w:val="18"/>
    </w:rPr>
  </w:style>
  <w:style w:type="paragraph" w:customStyle="1" w:styleId="CopyrightText">
    <w:name w:val="Copyright Text"/>
    <w:basedOn w:val="BodyText"/>
    <w:rsid w:val="00730FD7"/>
    <w:rPr>
      <w:sz w:val="18"/>
    </w:rPr>
  </w:style>
  <w:style w:type="paragraph" w:customStyle="1" w:styleId="BodySmallRight">
    <w:name w:val="Body Small Right"/>
    <w:basedOn w:val="BodyTextRight"/>
    <w:rsid w:val="00730FD7"/>
    <w:rPr>
      <w:sz w:val="18"/>
      <w:szCs w:val="18"/>
    </w:rPr>
  </w:style>
  <w:style w:type="paragraph" w:customStyle="1" w:styleId="MarginEdition">
    <w:name w:val="Margin Edition"/>
    <w:basedOn w:val="MarginNote"/>
    <w:rsid w:val="00730FD7"/>
    <w:pPr>
      <w:spacing w:before="0" w:after="0"/>
    </w:pPr>
    <w:rPr>
      <w:rFonts w:ascii="Times New Roman" w:hAnsi="Times New Roman"/>
      <w:color w:val="999999"/>
    </w:rPr>
  </w:style>
  <w:style w:type="paragraph" w:customStyle="1" w:styleId="Spacer">
    <w:name w:val="Spacer"/>
    <w:basedOn w:val="Normal"/>
    <w:rsid w:val="00730FD7"/>
    <w:rPr>
      <w:sz w:val="2"/>
      <w:szCs w:val="2"/>
    </w:rPr>
  </w:style>
  <w:style w:type="character" w:customStyle="1" w:styleId="Small">
    <w:name w:val="Small"/>
    <w:basedOn w:val="DefaultParagraphFont"/>
    <w:rsid w:val="00730FD7"/>
    <w:rPr>
      <w:sz w:val="16"/>
    </w:rPr>
  </w:style>
  <w:style w:type="paragraph" w:customStyle="1" w:styleId="WideTable">
    <w:name w:val="Wide Table"/>
    <w:basedOn w:val="Normal"/>
    <w:rsid w:val="00730FD7"/>
    <w:pPr>
      <w:ind w:left="-1418"/>
    </w:pPr>
    <w:rPr>
      <w:sz w:val="2"/>
      <w:szCs w:val="2"/>
    </w:rPr>
  </w:style>
  <w:style w:type="character" w:styleId="PageNumber">
    <w:name w:val="page number"/>
    <w:basedOn w:val="DefaultParagraphFont"/>
    <w:rsid w:val="00730FD7"/>
  </w:style>
  <w:style w:type="paragraph" w:styleId="Quote">
    <w:name w:val="Quote"/>
    <w:basedOn w:val="Heading1"/>
    <w:link w:val="QuoteChar"/>
    <w:qFormat/>
    <w:rsid w:val="00730FD7"/>
    <w:rPr>
      <w:b w:val="0"/>
      <w:sz w:val="72"/>
      <w:szCs w:val="72"/>
      <w:lang w:val="en-NZ"/>
    </w:rPr>
  </w:style>
  <w:style w:type="character" w:customStyle="1" w:styleId="QuoteChar">
    <w:name w:val="Quote Char"/>
    <w:basedOn w:val="DefaultParagraphFont"/>
    <w:link w:val="Quote"/>
    <w:rsid w:val="00730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FD7"/>
    <w:pPr>
      <w:pageBreakBefore/>
    </w:pPr>
  </w:style>
  <w:style w:type="paragraph" w:customStyle="1" w:styleId="Border">
    <w:name w:val="Border"/>
    <w:basedOn w:val="Normal"/>
    <w:qFormat/>
    <w:rsid w:val="00730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FD7"/>
    <w:rPr>
      <w:b/>
      <w:bCs/>
      <w:i/>
      <w:iCs/>
      <w:color w:val="auto"/>
    </w:rPr>
  </w:style>
  <w:style w:type="paragraph" w:styleId="IntenseQuote">
    <w:name w:val="Intense Quote"/>
    <w:basedOn w:val="Normal"/>
    <w:next w:val="Normal"/>
    <w:link w:val="IntenseQuoteChar"/>
    <w:uiPriority w:val="30"/>
    <w:qFormat/>
    <w:rsid w:val="00730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F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0FD7"/>
    <w:rPr>
      <w:smallCaps/>
      <w:color w:val="auto"/>
      <w:u w:val="single"/>
    </w:rPr>
  </w:style>
  <w:style w:type="character" w:styleId="IntenseReference">
    <w:name w:val="Intense Reference"/>
    <w:basedOn w:val="DefaultParagraphFont"/>
    <w:uiPriority w:val="32"/>
    <w:qFormat/>
    <w:rsid w:val="00730FD7"/>
    <w:rPr>
      <w:b/>
      <w:bCs/>
      <w:smallCaps/>
      <w:color w:val="auto"/>
      <w:spacing w:val="5"/>
      <w:u w:val="single"/>
    </w:rPr>
  </w:style>
  <w:style w:type="paragraph" w:customStyle="1" w:styleId="2ColumnHeading">
    <w:name w:val="2Column Heading"/>
    <w:basedOn w:val="BodyText"/>
    <w:qFormat/>
    <w:rsid w:val="00730FD7"/>
    <w:pPr>
      <w:spacing w:after="60"/>
      <w:ind w:left="-2268"/>
    </w:pPr>
    <w:rPr>
      <w:b/>
    </w:rPr>
  </w:style>
  <w:style w:type="paragraph" w:customStyle="1" w:styleId="Heading1TOC">
    <w:name w:val="Heading1 TOC"/>
    <w:basedOn w:val="Normal"/>
    <w:qFormat/>
    <w:rsid w:val="00730FD7"/>
    <w:pPr>
      <w:spacing w:before="240" w:after="120"/>
    </w:pPr>
    <w:rPr>
      <w:rFonts w:ascii="Times New Roman" w:hAnsi="Times New Roman"/>
      <w:b/>
      <w:sz w:val="32"/>
    </w:rPr>
  </w:style>
  <w:style w:type="paragraph" w:customStyle="1" w:styleId="Heading2TOC">
    <w:name w:val="Heading2 TOC"/>
    <w:basedOn w:val="Normal"/>
    <w:qFormat/>
    <w:rsid w:val="00730FD7"/>
    <w:pPr>
      <w:spacing w:before="240" w:after="60"/>
    </w:pPr>
    <w:rPr>
      <w:rFonts w:ascii="Times New Roman" w:hAnsi="Times New Roman"/>
      <w:b/>
      <w:sz w:val="28"/>
    </w:rPr>
  </w:style>
  <w:style w:type="character" w:customStyle="1" w:styleId="Underline">
    <w:name w:val="Underline"/>
    <w:basedOn w:val="DefaultParagraphFont"/>
    <w:qFormat/>
    <w:rsid w:val="00730FD7"/>
    <w:rPr>
      <w:u w:val="single"/>
    </w:rPr>
  </w:style>
  <w:style w:type="character" w:customStyle="1" w:styleId="BoldandItalics">
    <w:name w:val="Bold and Italics"/>
    <w:qFormat/>
    <w:rsid w:val="00730FD7"/>
    <w:rPr>
      <w:b/>
      <w:i/>
      <w:u w:val="none"/>
    </w:rPr>
  </w:style>
  <w:style w:type="paragraph" w:styleId="BalloonText">
    <w:name w:val="Balloon Text"/>
    <w:basedOn w:val="Normal"/>
    <w:link w:val="BalloonTextChar"/>
    <w:rsid w:val="00730FD7"/>
    <w:rPr>
      <w:rFonts w:ascii="Tahoma" w:hAnsi="Tahoma" w:cs="Tahoma"/>
      <w:sz w:val="16"/>
      <w:szCs w:val="16"/>
    </w:rPr>
  </w:style>
  <w:style w:type="character" w:customStyle="1" w:styleId="BalloonTextChar">
    <w:name w:val="Balloon Text Char"/>
    <w:basedOn w:val="DefaultParagraphFont"/>
    <w:link w:val="BalloonText"/>
    <w:rsid w:val="00730F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0F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F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6273</Characters>
  <Application>Microsoft Office Word</Application>
  <DocSecurity>0</DocSecurity>
  <Lines>221</Lines>
  <Paragraphs>108</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MSATCM401A Prepare and examine metallographic samples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2012-05-26T18:29:00Z</dcterms:created>
  <dcterms:modified xsi:type="dcterms:W3CDTF">2012-05-26T18:29:00Z</dcterms:modified>
</cp:coreProperties>
</file>