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4E9" w:rsidP="00D704E9">
      <w:pPr>
        <w:pStyle w:val="Title"/>
      </w:pPr>
      <w:r>
        <w:fldChar w:fldCharType="begin"/>
      </w:r>
      <w:r>
        <w:instrText xml:space="preserve"> TITLE   \* MERGEFORMAT </w:instrText>
      </w:r>
      <w:r>
        <w:fldChar w:fldCharType="separate"/>
      </w:r>
      <w:r>
        <w:t>MSATCM305A Demonstrate basic knowledge of casting operations</w:t>
      </w:r>
      <w:r>
        <w:fldChar w:fldCharType="end"/>
      </w:r>
    </w:p>
    <w:p w:rsidR="00D704E9" w:rsidP="00D704E9">
      <w:pPr>
        <w:pStyle w:val="Version"/>
        <w:sectPr w:rsidSect="00D830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3086" w:rsidP="00D83086">
      <w:pPr>
        <w:pStyle w:val="SuperHeading"/>
      </w:pPr>
      <w:r w:rsidRPr="00D83086">
        <w:t>MSATCM305A Demonstrate basic knowledge of casting operations</w:t>
      </w:r>
    </w:p>
    <w:p w:rsidR="00000000" w:rsidRPr="00D83086" w:rsidP="00D83086">
      <w:pPr>
        <w:pStyle w:val="SuperHeading"/>
      </w:pPr>
    </w:p>
    <w:p w:rsidR="00000000" w:rsidRPr="00D83086" w:rsidP="00D83086">
      <w:pPr>
        <w:pStyle w:val="Heading1"/>
      </w:pPr>
      <w:bookmarkStart w:id="1" w:name="O_102039"/>
      <w:bookmarkEnd w:id="1"/>
      <w:r w:rsidRPr="00D83086">
        <w:t>Modification History</w:t>
      </w:r>
    </w:p>
    <w:p w:rsidR="00000000" w:rsidRPr="00D83086" w:rsidP="00D83086">
      <w:pPr>
        <w:pStyle w:val="BodyText"/>
      </w:pPr>
      <w:r w:rsidRPr="00D83086">
        <w:t>Not applicable.</w:t>
      </w:r>
    </w:p>
    <w:p w:rsidR="00000000" w:rsidRPr="00D83086" w:rsidP="00D83086">
      <w:pPr>
        <w:pStyle w:val="AllowPageBreak"/>
      </w:pPr>
    </w:p>
    <w:p w:rsidR="00000000" w:rsidRPr="00D83086" w:rsidP="00D83086">
      <w:pPr>
        <w:pStyle w:val="Heading1"/>
      </w:pPr>
      <w:bookmarkStart w:id="2" w:name="O_102040"/>
      <w:bookmarkEnd w:id="2"/>
      <w:r w:rsidRPr="00D83086">
        <w:t>Unit Descriptor</w:t>
      </w:r>
    </w:p>
    <w:tbl>
      <w:tblPr>
        <w:tblW w:w="0" w:type="auto"/>
        <w:tblCellMar>
          <w:left w:w="62" w:type="dxa"/>
          <w:right w:w="62" w:type="dxa"/>
        </w:tblCellMar>
        <w:tblLook w:val="0000"/>
      </w:tblPr>
      <w:tblGrid>
        <w:gridCol w:w="2376"/>
        <w:gridCol w:w="6820"/>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This unit describes the skills to discuss basic job requirements with a trad</w:t>
            </w:r>
            <w:r w:rsidRPr="00D83086">
              <w:t>esperson, members of a team, production manager or customer</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3" w:name="O_102041"/>
      <w:bookmarkEnd w:id="3"/>
      <w:r w:rsidRPr="00D83086">
        <w:t>Application of the Unit</w:t>
      </w:r>
    </w:p>
    <w:tbl>
      <w:tblPr>
        <w:tblW w:w="0" w:type="auto"/>
        <w:tblCellMar>
          <w:left w:w="62" w:type="dxa"/>
          <w:right w:w="62" w:type="dxa"/>
        </w:tblCellMar>
        <w:tblLook w:val="0000"/>
      </w:tblPr>
      <w:tblGrid>
        <w:gridCol w:w="2376"/>
        <w:gridCol w:w="6820"/>
      </w:tblGrid>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This unit covers a basic understanding o</w:t>
            </w:r>
            <w:r w:rsidRPr="00D83086">
              <w:t>f the principles and commercial metal casting practices. The unit will enable a person to be able to safely access areas of a metal casting business and to identify and explain casting processes.  The unit is suitable as a VET in Schools unit and for intro</w:t>
            </w:r>
            <w:r w:rsidRPr="00D83086">
              <w:t>ductory training in metallurgy where the person does not have any prior casting work experience.  All work is carried out under supervision and in consultation with others.</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4" w:name="O_102042"/>
      <w:bookmarkEnd w:id="4"/>
      <w:r w:rsidRPr="00D83086">
        <w:t>Licensing/Regulatory Information</w:t>
      </w:r>
    </w:p>
    <w:p w:rsidR="00000000" w:rsidRPr="00D83086" w:rsidP="00D83086">
      <w:pPr>
        <w:pStyle w:val="BodyText"/>
      </w:pPr>
      <w:r w:rsidRPr="00D83086">
        <w:t>Not applicable.</w:t>
      </w:r>
    </w:p>
    <w:p w:rsidR="00000000" w:rsidRPr="00D83086" w:rsidP="00D83086">
      <w:pPr>
        <w:pStyle w:val="AllowPageBreak"/>
      </w:pPr>
    </w:p>
    <w:p w:rsidR="00000000" w:rsidRPr="00D83086" w:rsidP="00D83086">
      <w:pPr>
        <w:pStyle w:val="Heading1"/>
      </w:pPr>
      <w:bookmarkStart w:id="5" w:name="O_102043"/>
      <w:bookmarkEnd w:id="5"/>
      <w:r w:rsidRPr="00D83086">
        <w:t>Pre-Requisites</w:t>
      </w:r>
    </w:p>
    <w:tbl>
      <w:tblPr>
        <w:tblW w:w="0" w:type="auto"/>
        <w:tblCellMar>
          <w:left w:w="62" w:type="dxa"/>
          <w:right w:w="62" w:type="dxa"/>
        </w:tblCellMar>
        <w:tblLook w:val="0000"/>
      </w:tblPr>
      <w:tblGrid>
        <w:gridCol w:w="2376"/>
        <w:gridCol w:w="1739"/>
        <w:gridCol w:w="5081"/>
      </w:tblGrid>
      <w:tr w:rsidTr="00D704E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p>
        </w:tc>
      </w:tr>
      <w:tr w:rsidTr="00D704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p>
        </w:tc>
      </w:tr>
      <w:tr w:rsidTr="00D704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p>
        </w:tc>
      </w:tr>
      <w:tr w:rsidTr="00D704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p>
        </w:tc>
      </w:tr>
      <w:tr w:rsidTr="00D704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6" w:name="O_102044"/>
      <w:bookmarkEnd w:id="6"/>
      <w:r w:rsidRPr="00D83086">
        <w:t>Employability Skills Information</w:t>
      </w:r>
    </w:p>
    <w:tbl>
      <w:tblPr>
        <w:tblW w:w="0" w:type="auto"/>
        <w:tblCellMar>
          <w:left w:w="62" w:type="dxa"/>
          <w:right w:w="62" w:type="dxa"/>
        </w:tblCellMar>
        <w:tblLook w:val="0000"/>
      </w:tblPr>
      <w:tblGrid>
        <w:gridCol w:w="2376"/>
        <w:gridCol w:w="6820"/>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This unit contains employability skills.</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7" w:name="O_102045"/>
      <w:bookmarkEnd w:id="7"/>
      <w:r w:rsidRPr="00D83086">
        <w:t>Elements and Performance Criteria Pre-Content</w:t>
      </w:r>
    </w:p>
    <w:p w:rsidR="00000000" w:rsidRPr="00D83086" w:rsidP="00D83086">
      <w:pPr>
        <w:pStyle w:val="BodyText"/>
      </w:pPr>
      <w:r w:rsidRPr="00D83086">
        <w:t>Not applicable.</w:t>
      </w:r>
    </w:p>
    <w:p w:rsidR="00000000" w:rsidRPr="00D83086" w:rsidP="00D83086">
      <w:pPr>
        <w:pStyle w:val="AllowPageBreak"/>
      </w:pPr>
    </w:p>
    <w:p w:rsidR="00000000" w:rsidRPr="00D83086" w:rsidP="00D83086">
      <w:pPr>
        <w:pStyle w:val="Heading1"/>
      </w:pPr>
      <w:bookmarkStart w:id="8" w:name="O_102046"/>
      <w:bookmarkEnd w:id="8"/>
      <w:r w:rsidRPr="00D83086">
        <w:t>Elements and Performance Criteria</w:t>
      </w:r>
    </w:p>
    <w:tbl>
      <w:tblPr>
        <w:tblW w:w="0" w:type="auto"/>
        <w:tblCellMar>
          <w:left w:w="62" w:type="dxa"/>
          <w:right w:w="62" w:type="dxa"/>
        </w:tblCellMar>
        <w:tblLook w:val="0000"/>
      </w:tblPr>
      <w:tblGrid>
        <w:gridCol w:w="2644"/>
        <w:gridCol w:w="6552"/>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PERFORMANCE CRITERIA</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List"/>
              <w:rPr>
                <w:lang w:val="en-NZ"/>
              </w:rPr>
            </w:pPr>
            <w:r w:rsidRPr="00D83086">
              <w:t>1.</w:t>
            </w:r>
            <w:r w:rsidRPr="00D83086">
              <w:tab/>
              <w:t>Demonstrate basic knowledge of casting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List2"/>
            </w:pPr>
            <w:r w:rsidRPr="00D83086">
              <w:t>1.1.</w:t>
            </w:r>
            <w:r w:rsidRPr="00D83086">
              <w:tab/>
              <w:t>Identify the major areas and activities of foundry work including melting, casting, heat treatment, pattern an</w:t>
            </w:r>
            <w:r w:rsidRPr="00D83086">
              <w:t>d mould making, finishing and despatch</w:t>
            </w:r>
          </w:p>
          <w:p w:rsidR="00000000" w:rsidRPr="00D83086" w:rsidP="00D83086">
            <w:pPr>
              <w:pStyle w:val="List2"/>
            </w:pPr>
            <w:r w:rsidRPr="00D83086">
              <w:t>1.2.</w:t>
            </w:r>
            <w:r w:rsidRPr="00D83086">
              <w:tab/>
              <w:t>Identify the major items of equipment and their purpose in each foundry area</w:t>
            </w:r>
          </w:p>
          <w:p w:rsidR="00000000" w:rsidRPr="00D83086" w:rsidP="00D83086">
            <w:pPr>
              <w:pStyle w:val="List2"/>
            </w:pPr>
            <w:r w:rsidRPr="00D83086">
              <w:t>1.3.</w:t>
            </w:r>
            <w:r w:rsidRPr="00D83086">
              <w:tab/>
              <w:t>Describe the most common metals and alloys used in casting processes</w:t>
            </w:r>
          </w:p>
          <w:p w:rsidR="00000000" w:rsidP="00D83086">
            <w:pPr>
              <w:pStyle w:val="List2"/>
              <w:rPr>
                <w:lang w:val="en-NZ"/>
              </w:rPr>
            </w:pPr>
            <w:r w:rsidRPr="00D83086">
              <w:t>1.4.</w:t>
            </w:r>
            <w:r w:rsidRPr="00D83086">
              <w:tab/>
              <w:t xml:space="preserve">Describe in the correct order the flow of metal through </w:t>
            </w:r>
            <w:r w:rsidRPr="00D83086">
              <w:t xml:space="preserve">the foundry </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List"/>
              <w:rPr>
                <w:lang w:val="en-NZ"/>
              </w:rPr>
            </w:pPr>
            <w:r w:rsidRPr="00D83086">
              <w:t>2.</w:t>
            </w:r>
            <w:r w:rsidRPr="00D83086">
              <w:tab/>
              <w:t>Demonstrate knowledge of foundry terminology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List2"/>
            </w:pPr>
            <w:r w:rsidRPr="00D83086">
              <w:t>2.1.</w:t>
            </w:r>
            <w:r w:rsidRPr="00D83086">
              <w:tab/>
              <w:t>Correct names are used for foundry processes and equipment</w:t>
            </w:r>
          </w:p>
          <w:p w:rsidR="00000000" w:rsidP="00D83086">
            <w:pPr>
              <w:pStyle w:val="List2"/>
              <w:rPr>
                <w:lang w:val="en-NZ"/>
              </w:rPr>
            </w:pPr>
            <w:r w:rsidRPr="00D83086">
              <w:t>2.2.</w:t>
            </w:r>
            <w:r w:rsidRPr="00D83086">
              <w:tab/>
              <w:t>Metals and alloys are properly identified including their chemical composition</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List"/>
              <w:rPr>
                <w:lang w:val="en-NZ"/>
              </w:rPr>
            </w:pPr>
            <w:r w:rsidRPr="00D83086">
              <w:t>3.</w:t>
            </w:r>
            <w:r w:rsidRPr="00D83086">
              <w:tab/>
            </w:r>
            <w:r w:rsidRPr="00D83086">
              <w:t>Identify basic understanding of commercial aspects of foundry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List2"/>
            </w:pPr>
            <w:r w:rsidRPr="00D83086">
              <w:t>3.1.</w:t>
            </w:r>
            <w:r w:rsidRPr="00D83086">
              <w:tab/>
              <w:t>Major advantages and disadvantages of casting over other metal manufacturing processes are identified</w:t>
            </w:r>
          </w:p>
          <w:p w:rsidR="00000000" w:rsidRPr="00D83086" w:rsidP="00D83086">
            <w:pPr>
              <w:pStyle w:val="List2"/>
            </w:pPr>
            <w:r w:rsidRPr="00D83086">
              <w:t>3.2.</w:t>
            </w:r>
            <w:r w:rsidRPr="00D83086">
              <w:tab/>
              <w:t>Key cost factors are identified including energy, material, labour</w:t>
            </w:r>
          </w:p>
          <w:p w:rsidR="00000000" w:rsidRPr="00D83086" w:rsidP="00D83086">
            <w:pPr>
              <w:pStyle w:val="List2"/>
            </w:pPr>
            <w:r w:rsidRPr="00D83086">
              <w:t>3.3.</w:t>
            </w:r>
            <w:r w:rsidRPr="00D83086">
              <w:tab/>
              <w:t>A basic understanding of OHS and environmental obligations of foundries is demonstrated</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9" w:name="O_102047"/>
      <w:bookmarkEnd w:id="9"/>
      <w:r w:rsidRPr="00D83086">
        <w:t>Required Skills and Knowledge</w:t>
      </w:r>
    </w:p>
    <w:tbl>
      <w:tblPr>
        <w:tblW w:w="0" w:type="auto"/>
        <w:tblCellMar>
          <w:left w:w="62" w:type="dxa"/>
          <w:right w:w="62" w:type="dxa"/>
        </w:tblCellMar>
        <w:tblLook w:val="0000"/>
      </w:tblPr>
      <w:tblGrid>
        <w:gridCol w:w="9196"/>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REQUIRED SKILLS AND KNOWLEDGE</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t>This describes the essential skills and knowledge and their level, required for this un</w:t>
            </w:r>
            <w:r w:rsidRPr="00D83086">
              <w:t>it.</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Required skills</w:t>
            </w:r>
            <w:r w:rsidRPr="00D83086">
              <w:t>:</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ListBullet"/>
            </w:pPr>
            <w:r w:rsidRPr="00D83086">
              <w:t>Explain basic metal casting processes</w:t>
            </w:r>
          </w:p>
          <w:p w:rsidR="00000000" w:rsidRPr="00D83086" w:rsidP="00D83086">
            <w:pPr>
              <w:pStyle w:val="ListBullet"/>
            </w:pPr>
            <w:r w:rsidRPr="00D83086">
              <w:t>Identify basic items of casting equipment</w:t>
            </w:r>
          </w:p>
          <w:p w:rsidR="00000000" w:rsidRPr="00D83086" w:rsidP="00D83086">
            <w:pPr>
              <w:pStyle w:val="ListBullet"/>
            </w:pPr>
            <w:r w:rsidRPr="00D83086">
              <w:t xml:space="preserve">Identify product flow through a foundry or other casting operation </w:t>
            </w:r>
          </w:p>
          <w:p w:rsidR="00000000" w:rsidRPr="00D83086" w:rsidP="00D83086">
            <w:pPr>
              <w:pStyle w:val="ListBullet"/>
            </w:pPr>
            <w:r w:rsidRPr="00D83086">
              <w:t>Analyse mould materials and casting processes</w:t>
            </w:r>
          </w:p>
          <w:p w:rsidR="00000000" w:rsidRPr="00D83086" w:rsidP="00D83086">
            <w:pPr>
              <w:pStyle w:val="ListBullet"/>
            </w:pPr>
            <w:r w:rsidRPr="00D83086">
              <w:t xml:space="preserve">Identify casting defects </w:t>
            </w:r>
          </w:p>
          <w:p w:rsidR="00000000" w:rsidP="00D83086">
            <w:pPr>
              <w:pStyle w:val="ListBullet"/>
              <w:rPr>
                <w:lang w:val="en-NZ"/>
              </w:rPr>
            </w:pPr>
            <w:r w:rsidRPr="00D83086">
              <w:t xml:space="preserve">Identify and control hazards </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Required knowledge</w:t>
            </w:r>
            <w:r w:rsidRPr="00D83086">
              <w:t>:</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Competency includes sufficient knowledge of:</w:t>
            </w:r>
          </w:p>
          <w:p w:rsidR="00000000" w:rsidRPr="00D83086" w:rsidP="00D83086">
            <w:pPr>
              <w:pStyle w:val="ListBullet"/>
            </w:pPr>
            <w:r w:rsidRPr="00D83086">
              <w:t>Classification of casting processes</w:t>
            </w:r>
          </w:p>
          <w:p w:rsidR="00000000" w:rsidRPr="00D83086" w:rsidP="00D83086">
            <w:pPr>
              <w:pStyle w:val="ListBullet2"/>
            </w:pPr>
            <w:r w:rsidRPr="00D83086">
              <w:t>Sand casting, investment casting, die casting, lost foam, vacuum process and protective atmospheres, ingot casting</w:t>
            </w:r>
          </w:p>
          <w:p w:rsidR="00000000" w:rsidRPr="00D83086" w:rsidP="00D83086">
            <w:pPr>
              <w:pStyle w:val="ListBullet"/>
            </w:pPr>
            <w:r w:rsidRPr="00D83086">
              <w:t xml:space="preserve">Preparation of a mould </w:t>
            </w:r>
          </w:p>
          <w:p w:rsidR="00000000" w:rsidRPr="00D83086" w:rsidP="00D83086">
            <w:pPr>
              <w:pStyle w:val="ListBullet2"/>
            </w:pPr>
            <w:r w:rsidRPr="00D83086">
              <w:t>types of mould, shell moulds, dies</w:t>
            </w:r>
          </w:p>
          <w:p w:rsidR="00000000" w:rsidRPr="00D83086" w:rsidP="00D83086">
            <w:pPr>
              <w:pStyle w:val="ListBullet2"/>
            </w:pPr>
            <w:r w:rsidRPr="00D83086">
              <w:t>pattern types, materials, construction, design</w:t>
            </w:r>
          </w:p>
          <w:p w:rsidR="00000000" w:rsidRPr="00D83086" w:rsidP="00D83086">
            <w:pPr>
              <w:pStyle w:val="ListBullet2"/>
            </w:pPr>
            <w:r w:rsidRPr="00D83086">
              <w:t>raw materials: sand, bonds, other additives</w:t>
            </w:r>
          </w:p>
          <w:p w:rsidR="00000000" w:rsidRPr="00D83086" w:rsidP="00D83086">
            <w:pPr>
              <w:pStyle w:val="ListBullet2"/>
            </w:pPr>
            <w:r w:rsidRPr="00D83086">
              <w:t>sand moulding processes, manual moulding, machine moulding</w:t>
            </w:r>
          </w:p>
          <w:p w:rsidR="00000000" w:rsidRPr="00D83086" w:rsidP="00D83086">
            <w:pPr>
              <w:pStyle w:val="ListBullet2"/>
            </w:pPr>
            <w:r w:rsidRPr="00D83086">
              <w:t>moulding equipment, machines and applications,</w:t>
            </w:r>
            <w:r w:rsidRPr="00D83086">
              <w:t xml:space="preserve"> safety around machinery</w:t>
            </w:r>
          </w:p>
          <w:p w:rsidR="00000000" w:rsidRPr="00D83086" w:rsidP="00D83086">
            <w:pPr>
              <w:pStyle w:val="ListBullet2"/>
            </w:pPr>
            <w:r w:rsidRPr="00D83086">
              <w:t>cores, basic coremaking procedures, equipment&amp;machines</w:t>
            </w:r>
          </w:p>
          <w:p w:rsidR="00000000" w:rsidRPr="00D83086" w:rsidP="00D83086">
            <w:pPr>
              <w:pStyle w:val="ListBullet2"/>
            </w:pPr>
            <w:r w:rsidRPr="00D83086">
              <w:t>mould assembly and handling</w:t>
            </w:r>
          </w:p>
          <w:p w:rsidR="00000000" w:rsidRPr="00D83086" w:rsidP="00D83086">
            <w:pPr>
              <w:pStyle w:val="ListBullet2"/>
            </w:pPr>
            <w:r w:rsidRPr="00D83086">
              <w:t>ancillary equipment, sand handling, mould handling and processing</w:t>
            </w:r>
          </w:p>
          <w:p w:rsidR="00000000" w:rsidRPr="00D83086" w:rsidP="00D83086">
            <w:pPr>
              <w:pStyle w:val="ListBullet"/>
            </w:pPr>
            <w:r w:rsidRPr="00D83086">
              <w:t xml:space="preserve">Preparation of molten alloys </w:t>
            </w:r>
          </w:p>
          <w:p w:rsidR="00000000" w:rsidRPr="00D83086" w:rsidP="00D83086">
            <w:pPr>
              <w:pStyle w:val="ListBullet2"/>
            </w:pPr>
            <w:r w:rsidRPr="00D83086">
              <w:t>ferrous alloys</w:t>
            </w:r>
          </w:p>
          <w:p w:rsidR="00000000" w:rsidRPr="00D83086" w:rsidP="00D83086">
            <w:pPr>
              <w:pStyle w:val="ListBullet2"/>
            </w:pPr>
            <w:r w:rsidRPr="00D83086">
              <w:t xml:space="preserve">cast irons, white, grey, malleable </w:t>
            </w:r>
            <w:r w:rsidRPr="00D83086">
              <w:t>and SG cast irons</w:t>
            </w:r>
          </w:p>
          <w:p w:rsidR="00000000" w:rsidRPr="00D83086" w:rsidP="00D83086">
            <w:pPr>
              <w:pStyle w:val="ListBullet2"/>
            </w:pPr>
            <w:r w:rsidRPr="00D83086">
              <w:t>cast steels, carbon steels and alloy steels</w:t>
            </w:r>
          </w:p>
          <w:p w:rsidR="00000000" w:rsidRPr="00D83086" w:rsidP="00D83086">
            <w:pPr>
              <w:pStyle w:val="ListBullet2"/>
            </w:pPr>
            <w:r w:rsidRPr="00D83086">
              <w:t>non-ferrous alloys</w:t>
            </w:r>
          </w:p>
          <w:p w:rsidR="00000000" w:rsidRPr="00D83086" w:rsidP="00D83086">
            <w:pPr>
              <w:pStyle w:val="ListBullet2"/>
            </w:pPr>
            <w:r w:rsidRPr="00D83086">
              <w:t>cast aluminium alloys</w:t>
            </w:r>
          </w:p>
          <w:p w:rsidR="00000000" w:rsidRPr="00D83086" w:rsidP="00D83086">
            <w:pPr>
              <w:pStyle w:val="ListBullet2"/>
            </w:pPr>
            <w:r w:rsidRPr="00D83086">
              <w:t>Al-Si alloys</w:t>
            </w:r>
          </w:p>
          <w:p w:rsidR="00000000" w:rsidRPr="00D83086" w:rsidP="00D83086">
            <w:pPr>
              <w:pStyle w:val="ListBullet2"/>
            </w:pPr>
            <w:r w:rsidRPr="00D83086">
              <w:t>cast copper, magnesium, titanium and zinc alloys</w:t>
            </w:r>
          </w:p>
          <w:p w:rsidR="00000000" w:rsidRPr="00D83086" w:rsidP="00D83086">
            <w:pPr>
              <w:pStyle w:val="ListBullet"/>
            </w:pPr>
            <w:r w:rsidRPr="00D83086">
              <w:t>Melting</w:t>
            </w:r>
          </w:p>
          <w:p w:rsidR="00000000" w:rsidRPr="00D83086" w:rsidP="00D83086">
            <w:pPr>
              <w:pStyle w:val="ListBullet2"/>
            </w:pPr>
            <w:r w:rsidRPr="00D83086">
              <w:t>type of furnaces with applications</w:t>
            </w:r>
          </w:p>
          <w:p w:rsidR="00000000" w:rsidRPr="00D83086" w:rsidP="00D83086">
            <w:pPr>
              <w:pStyle w:val="ListBullet2"/>
            </w:pPr>
            <w:r w:rsidRPr="00D83086">
              <w:t>electric-arc furnace, induction furnace</w:t>
            </w:r>
          </w:p>
          <w:p w:rsidR="00000000" w:rsidRPr="00D83086" w:rsidP="00D83086">
            <w:pPr>
              <w:pStyle w:val="ListBullet2"/>
            </w:pPr>
            <w:r w:rsidRPr="00D83086">
              <w:t>structure and melting principles</w:t>
            </w:r>
          </w:p>
          <w:p w:rsidR="00000000" w:rsidRPr="00D83086" w:rsidP="00D83086">
            <w:pPr>
              <w:pStyle w:val="ListBullet"/>
            </w:pPr>
            <w:r w:rsidRPr="00D83086">
              <w:t>Pouring</w:t>
            </w:r>
          </w:p>
          <w:p w:rsidR="00000000" w:rsidRPr="00D83086" w:rsidP="00D83086">
            <w:pPr>
              <w:pStyle w:val="ListBullet2"/>
            </w:pPr>
            <w:r w:rsidRPr="00D83086">
              <w:t>pouring and molten metal safety</w:t>
            </w:r>
          </w:p>
          <w:p w:rsidR="00000000" w:rsidRPr="00D83086" w:rsidP="00D83086">
            <w:pPr>
              <w:pStyle w:val="ListBullet2"/>
            </w:pPr>
            <w:r w:rsidRPr="00D83086">
              <w:t>pouring equipment</w:t>
            </w:r>
          </w:p>
          <w:p w:rsidR="00000000" w:rsidRPr="00D83086" w:rsidP="00D83086">
            <w:pPr>
              <w:pStyle w:val="ListBullet2"/>
            </w:pPr>
            <w:r w:rsidRPr="00D83086">
              <w:t>running and gating systems</w:t>
            </w:r>
          </w:p>
          <w:p w:rsidR="00000000" w:rsidRPr="00D83086" w:rsidP="00D83086">
            <w:pPr>
              <w:pStyle w:val="ListBullet2"/>
            </w:pPr>
            <w:r w:rsidRPr="00D83086">
              <w:t>solidification process (including grain growth, effects of super heat, mould geometry, chill)</w:t>
            </w:r>
          </w:p>
          <w:p w:rsidR="00000000" w:rsidRPr="00D83086" w:rsidP="00D83086">
            <w:pPr>
              <w:pStyle w:val="ListBullet2"/>
            </w:pPr>
            <w:r w:rsidRPr="00D83086">
              <w:t>feeding: risers outline of basic principles</w:t>
            </w:r>
          </w:p>
          <w:p w:rsidR="00000000" w:rsidRPr="00D83086" w:rsidP="00D83086">
            <w:pPr>
              <w:pStyle w:val="ListBullet"/>
            </w:pPr>
            <w:r w:rsidRPr="00D83086">
              <w:t>Cleaning of castings</w:t>
            </w:r>
          </w:p>
          <w:p w:rsidR="00000000" w:rsidRPr="00D83086" w:rsidP="00D83086">
            <w:pPr>
              <w:pStyle w:val="ListBullet2"/>
            </w:pPr>
            <w:r w:rsidRPr="00D83086">
              <w:t>shakeout</w:t>
            </w:r>
          </w:p>
          <w:p w:rsidR="00000000" w:rsidRPr="00D83086" w:rsidP="00D83086">
            <w:pPr>
              <w:pStyle w:val="ListBullet2"/>
            </w:pPr>
            <w:r w:rsidRPr="00D83086">
              <w:t>cleaning room practices: methods and equipment</w:t>
            </w:r>
          </w:p>
          <w:p w:rsidR="00000000" w:rsidRPr="00D83086" w:rsidP="00D83086">
            <w:pPr>
              <w:pStyle w:val="ListBullet2"/>
            </w:pPr>
            <w:r w:rsidRPr="00D83086">
              <w:t>removing the mould materials</w:t>
            </w:r>
          </w:p>
          <w:p w:rsidR="00000000" w:rsidRPr="00D83086" w:rsidP="00D83086">
            <w:pPr>
              <w:pStyle w:val="ListBullet2"/>
            </w:pPr>
            <w:r w:rsidRPr="00D83086">
              <w:t>removing gate and risers</w:t>
            </w:r>
          </w:p>
          <w:p w:rsidR="00000000" w:rsidRPr="00D83086" w:rsidP="00D83086">
            <w:pPr>
              <w:pStyle w:val="ListBullet2"/>
            </w:pPr>
            <w:r w:rsidRPr="00D83086">
              <w:t>finish cleaning</w:t>
            </w:r>
          </w:p>
          <w:p w:rsidR="00000000" w:rsidRPr="00D83086" w:rsidP="00D83086">
            <w:pPr>
              <w:pStyle w:val="ListBullet"/>
            </w:pPr>
            <w:r w:rsidRPr="00D83086">
              <w:t>Inspection of castings</w:t>
            </w:r>
          </w:p>
          <w:p w:rsidR="00000000" w:rsidRPr="00D83086" w:rsidP="00D83086">
            <w:pPr>
              <w:pStyle w:val="ListBullet2"/>
            </w:pPr>
            <w:r w:rsidRPr="00D83086">
              <w:t>visual examination</w:t>
            </w:r>
          </w:p>
          <w:p w:rsidR="00000000" w:rsidRPr="00D83086" w:rsidP="00D83086">
            <w:pPr>
              <w:pStyle w:val="ListBullet2"/>
            </w:pPr>
            <w:r w:rsidRPr="00D83086">
              <w:t>magnetic, penetrant</w:t>
            </w:r>
            <w:r w:rsidRPr="00D83086">
              <w:t xml:space="preserve"> methods,</w:t>
            </w:r>
          </w:p>
          <w:p w:rsidR="00000000" w:rsidRPr="00D83086" w:rsidP="00D83086">
            <w:pPr>
              <w:pStyle w:val="ListBullet2"/>
            </w:pPr>
            <w:r w:rsidRPr="00D83086">
              <w:t>radiographic, ultrasonic methods</w:t>
            </w:r>
          </w:p>
          <w:p w:rsidR="00000000" w:rsidRPr="00D83086" w:rsidP="00D83086">
            <w:pPr>
              <w:pStyle w:val="ListBullet2"/>
            </w:pPr>
            <w:r w:rsidRPr="00D83086">
              <w:t>chemical, metallographic, mechanical testing</w:t>
            </w:r>
          </w:p>
          <w:p w:rsidR="00000000" w:rsidRPr="00D83086" w:rsidP="00D83086">
            <w:pPr>
              <w:pStyle w:val="ListBullet"/>
            </w:pPr>
            <w:r w:rsidRPr="00D83086">
              <w:t>Repair of casting</w:t>
            </w:r>
          </w:p>
          <w:p w:rsidR="00000000" w:rsidRPr="00D83086" w:rsidP="00D83086">
            <w:pPr>
              <w:pStyle w:val="ListBullet2"/>
            </w:pPr>
            <w:r w:rsidRPr="00D83086">
              <w:t>aligning, welding, filling</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10" w:name="O_102048"/>
      <w:bookmarkEnd w:id="10"/>
      <w:r w:rsidRPr="00D83086">
        <w:t>Evidence Guide</w:t>
      </w:r>
    </w:p>
    <w:tbl>
      <w:tblPr>
        <w:tblW w:w="0" w:type="auto"/>
        <w:tblCellMar>
          <w:left w:w="62" w:type="dxa"/>
          <w:right w:w="62" w:type="dxa"/>
        </w:tblCellMar>
        <w:tblLook w:val="0000"/>
      </w:tblPr>
      <w:tblGrid>
        <w:gridCol w:w="2515"/>
        <w:gridCol w:w="6681"/>
      </w:tblGrid>
      <w:tr w:rsidTr="00D704E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EVIDENCE GUIDE</w:t>
            </w:r>
          </w:p>
        </w:tc>
      </w:tr>
      <w:tr w:rsidTr="00D704E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t>The Evidence Guide provides advice on assessment and must be read in conjunction with the Performance Criteria, Required Skills and Knowledge, the Range Statement and the Assessment Guidelines for the Training Package.</w:t>
            </w:r>
          </w:p>
        </w:tc>
      </w:tr>
      <w:tr w:rsidTr="00D704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t>A person who</w:t>
            </w:r>
            <w:r w:rsidRPr="00D83086">
              <w:t xml:space="preserve"> demonstrates competency in this unit must be able to demonstrate basic knowledge of casting operations.  Critical aspects for assessment and evidence are required to demonstrate competency in this unit.</w:t>
            </w:r>
          </w:p>
        </w:tc>
      </w:tr>
      <w:tr w:rsidTr="00D704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Critical aspects for assessment and evidence requir</w:t>
            </w:r>
            <w:r w:rsidRPr="00D83086">
              <w:rPr>
                <w:rStyle w:val="SpecialBold"/>
              </w:rPr>
              <w:t>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83086" w:rsidP="00D83086">
            <w:pPr>
              <w:pStyle w:val="BodyText"/>
            </w:pPr>
            <w:r w:rsidRPr="00D83086">
              <w:t>It is essential that competence is demonstrated in the ability to:</w:t>
            </w:r>
          </w:p>
          <w:p w:rsidR="00000000" w:rsidRPr="00D83086" w:rsidP="00D83086">
            <w:pPr>
              <w:pStyle w:val="ListBullet"/>
            </w:pPr>
            <w:r w:rsidRPr="00D83086">
              <w:t>Correctly identify casting processes and equipment</w:t>
            </w:r>
          </w:p>
          <w:p w:rsidR="00000000" w:rsidP="00D83086">
            <w:pPr>
              <w:pStyle w:val="ListBullet"/>
              <w:rPr>
                <w:lang w:val="en-NZ"/>
              </w:rPr>
            </w:pPr>
            <w:r w:rsidRPr="00D83086">
              <w:t>Demons</w:t>
            </w:r>
            <w:r w:rsidRPr="00D83086">
              <w:t>trate knowledge of casting principles and practices. Evidence should be provided that knowledge can be applied to a number of castings using different alloys and or different moulds.</w:t>
            </w:r>
          </w:p>
        </w:tc>
      </w:tr>
      <w:tr w:rsidTr="00D704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t xml:space="preserve">This unit may be assessed concurrently with </w:t>
            </w:r>
            <w:r w:rsidRPr="00D83086">
              <w:t>other relevant metallurgy units.</w:t>
            </w:r>
          </w:p>
        </w:tc>
      </w:tr>
      <w:tr w:rsidTr="00D704E9">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D83086" w:rsidP="00D83086">
            <w:pPr>
              <w:pStyle w:val="BodyText"/>
            </w:pPr>
            <w:r w:rsidRPr="00D83086">
              <w:t>Assessors must be satisfied that the person can consistently perform the unit as a whole, as defined by the elements, performance criteria, skills and knowledge.  A holistic approach should be</w:t>
            </w:r>
            <w:r w:rsidRPr="00D83086">
              <w:t xml:space="preserve"> taken to the assessment.</w:t>
            </w:r>
          </w:p>
          <w:p w:rsidR="00000000" w:rsidRPr="00D83086" w:rsidP="00D83086">
            <w:pPr>
              <w:pStyle w:val="BodyText"/>
            </w:pPr>
            <w:r w:rsidRPr="00D83086">
              <w:t xml:space="preserve">Assessors should gather sufficient, fair, valid, reliable, authentic and current evidence from a range of sources.  Sources of evidence may include direct observation, reports from supervisors, peers and colleagues, project work, </w:t>
            </w:r>
            <w:r w:rsidRPr="00D83086">
              <w:t>samples, organisation records and questioning.  Assessment should not require language, literacy or numeracy skills beyond those required for the unit.</w:t>
            </w:r>
          </w:p>
          <w:p w:rsidR="00000000" w:rsidRPr="00D83086" w:rsidP="00D83086">
            <w:pPr>
              <w:pStyle w:val="BodyText"/>
            </w:pPr>
            <w:r w:rsidRPr="00D83086">
              <w:t>The assessee will have access to all techniques, procedures, information, resources and aids which would</w:t>
            </w:r>
            <w:r w:rsidRPr="00D83086">
              <w:t xml:space="preserve"> normally be available in the workplace.</w:t>
            </w:r>
          </w:p>
          <w:p w:rsidR="00000000" w:rsidP="00D83086">
            <w:pPr>
              <w:pStyle w:val="BodyText"/>
              <w:rPr>
                <w:lang w:val="en-NZ"/>
              </w:rPr>
            </w:pPr>
            <w:r w:rsidRPr="00D83086">
              <w:t>The method of assessment should be discussed and agreed with the assessee prior to the commencement of assessment.</w:t>
            </w:r>
          </w:p>
        </w:tc>
      </w:tr>
      <w:tr w:rsidTr="00D704E9">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This section should be read in conjunction with the range of variables for th</w:t>
            </w:r>
            <w:r w:rsidRPr="00D83086">
              <w:t>is unit of competency. Resources required include suitable access to an organisation where casting is done. A bank of case studies/scenarios and questions will also be required to the extent that they form part of the assessment method. Questioning may tak</w:t>
            </w:r>
            <w:r w:rsidRPr="00D83086">
              <w:t>e place either in the workplace, or in an adjacent, quiet facility such as an office or lunchroom. No other special resources are required.</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11" w:name="O_102049"/>
      <w:bookmarkEnd w:id="11"/>
      <w:r w:rsidRPr="00D83086">
        <w:t>Range Statement</w:t>
      </w:r>
    </w:p>
    <w:tbl>
      <w:tblPr>
        <w:tblW w:w="0" w:type="auto"/>
        <w:tblCellMar>
          <w:left w:w="62" w:type="dxa"/>
          <w:right w:w="62" w:type="dxa"/>
        </w:tblCellMar>
        <w:tblLook w:val="0000"/>
      </w:tblPr>
      <w:tblGrid>
        <w:gridCol w:w="2510"/>
        <w:gridCol w:w="6686"/>
      </w:tblGrid>
      <w:tr w:rsidTr="00D704E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RANGE STATEMENT</w:t>
            </w:r>
          </w:p>
        </w:tc>
      </w:tr>
      <w:tr w:rsidTr="00D704E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t>The range st</w:t>
            </w:r>
            <w:r w:rsidRPr="00D83086">
              <w:t>atement relates to the unit of competency as a whole. It allows for different work environments and situations that may affect performance. Bold italicised wording, if used in the performance criteria, is detailed below. Essential operating conditions that</w:t>
            </w:r>
            <w:r w:rsidRPr="00D83086">
              <w:t xml:space="preserve"> may be present with training and assessment (depending on the work situation, needs of the candidate, accessibility of the item, and local industry and regional contexts) may also be included.</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Codes or practice</w:t>
            </w:r>
            <w:r w:rsidRPr="00D83086">
              <w:t>/</w:t>
            </w:r>
            <w:r w:rsidRPr="00D8308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t>Where reference is made to industry codes of practice, and/or Australian/international standards, it is expected the latest version will be used.</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Casting processes</w:t>
            </w:r>
            <w:r w:rsidRPr="00D8308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t>Includes melting, pouring, casting, patternmaking, mould preparation including sand moulds</w:t>
            </w:r>
            <w:r w:rsidRPr="00D83086">
              <w:t>, dies, metal moulds, lost wax and lost foam casting, heat treatment, finishing, despatch and testing</w:t>
            </w:r>
          </w:p>
        </w:tc>
      </w:tr>
      <w:tr w:rsidTr="00D704E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 xml:space="preserve">Includes equipment associated with the processes listed above </w:t>
            </w:r>
          </w:p>
        </w:tc>
      </w:tr>
    </w:tbl>
    <w:p w:rsidR="00D704E9" w:rsidP="00D83086">
      <w:pPr>
        <w:pStyle w:val="BodyText"/>
      </w:pPr>
    </w:p>
    <w:p w:rsidR="00D704E9" w:rsidP="00D83086">
      <w:pPr>
        <w:pStyle w:val="BodyText"/>
      </w:pPr>
    </w:p>
    <w:p w:rsidR="00000000" w:rsidRPr="00D83086" w:rsidP="00D83086">
      <w:pPr>
        <w:pStyle w:val="Heading1"/>
      </w:pPr>
      <w:bookmarkStart w:id="12" w:name="O_102050"/>
      <w:bookmarkEnd w:id="12"/>
      <w:r w:rsidRPr="00D83086">
        <w:t>Unit Sector(s)</w:t>
      </w:r>
    </w:p>
    <w:tbl>
      <w:tblPr>
        <w:tblW w:w="0" w:type="auto"/>
        <w:tblCellMar>
          <w:left w:w="62" w:type="dxa"/>
          <w:right w:w="62" w:type="dxa"/>
        </w:tblCellMar>
        <w:tblLook w:val="0000"/>
      </w:tblPr>
      <w:tblGrid>
        <w:gridCol w:w="2376"/>
        <w:gridCol w:w="6820"/>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r w:rsidRPr="00D83086">
              <w:t>Metallurgy</w:t>
            </w: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13" w:name="O_159322"/>
      <w:bookmarkEnd w:id="13"/>
      <w:r w:rsidRPr="00D83086">
        <w:t>Competency field</w:t>
      </w:r>
    </w:p>
    <w:tbl>
      <w:tblPr>
        <w:tblW w:w="0" w:type="auto"/>
        <w:tblCellMar>
          <w:left w:w="62" w:type="dxa"/>
          <w:right w:w="62" w:type="dxa"/>
        </w:tblCellMar>
        <w:tblLook w:val="0000"/>
      </w:tblPr>
      <w:tblGrid>
        <w:gridCol w:w="2376"/>
        <w:gridCol w:w="6820"/>
      </w:tblGrid>
      <w:tr w:rsidTr="00D704E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p>
        </w:tc>
      </w:tr>
    </w:tbl>
    <w:p w:rsidR="00000000" w:rsidRPr="00D83086" w:rsidP="00D83086">
      <w:pPr>
        <w:pStyle w:val="BodyText"/>
      </w:pPr>
    </w:p>
    <w:p w:rsidR="00000000" w:rsidRPr="00D83086" w:rsidP="00D83086">
      <w:pPr>
        <w:pStyle w:val="AllowPageBreak"/>
      </w:pPr>
    </w:p>
    <w:p w:rsidR="00000000" w:rsidRPr="00D83086" w:rsidP="00D83086">
      <w:pPr>
        <w:pStyle w:val="Heading1"/>
      </w:pPr>
      <w:bookmarkStart w:id="14" w:name="O_159321"/>
      <w:bookmarkEnd w:id="14"/>
      <w:r w:rsidRPr="00D83086">
        <w:t>Co-requisite units</w:t>
      </w:r>
    </w:p>
    <w:tbl>
      <w:tblPr>
        <w:tblW w:w="0" w:type="auto"/>
        <w:tblCellMar>
          <w:left w:w="62" w:type="dxa"/>
          <w:right w:w="62" w:type="dxa"/>
        </w:tblCellMar>
        <w:tblLook w:val="0000"/>
      </w:tblPr>
      <w:tblGrid>
        <w:gridCol w:w="2376"/>
        <w:gridCol w:w="1739"/>
        <w:gridCol w:w="5081"/>
      </w:tblGrid>
      <w:tr w:rsidTr="00D704E9">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r w:rsidRPr="00D8308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086">
            <w:pPr>
              <w:pStyle w:val="BodyText"/>
              <w:rPr>
                <w:lang w:val="en-NZ"/>
              </w:rPr>
            </w:pPr>
          </w:p>
        </w:tc>
      </w:tr>
      <w:tr w:rsidTr="00D704E9">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086" w:rsidP="00D83086">
            <w:pPr>
              <w:pStyle w:val="BodyText"/>
            </w:pPr>
          </w:p>
        </w:tc>
      </w:tr>
    </w:tbl>
    <w:p w:rsidR="00000000" w:rsidRPr="00D83086" w:rsidP="00D83086">
      <w:pPr>
        <w:pStyle w:val="BodyText"/>
      </w:pPr>
    </w:p>
    <w:p w:rsidR="00000000" w:rsidRPr="00D83086" w:rsidP="00D83086"/>
    <w:sectPr w:rsidSect="00D830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4E9" w:rsidP="00D70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E9" w:rsidP="00D830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04E9" w:rsidP="00D830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04E9" w:rsidP="00D830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4E9" w:rsidP="00D70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4E9" w:rsidP="00D83086">
    <w:pPr>
      <w:pStyle w:val="Header"/>
      <w:framePr w:wrap="around"/>
    </w:pPr>
    <w:r>
      <w:fldChar w:fldCharType="begin"/>
    </w:r>
    <w:r>
      <w:instrText xml:space="preserve"> TITLE   \* MERGEFORMAT </w:instrText>
    </w:r>
    <w:r>
      <w:fldChar w:fldCharType="separate"/>
    </w:r>
    <w:r>
      <w:t>MSATCM305A Demonstrate basic knowledge of casting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04E9" w:rsidP="00D830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94A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88B0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DE23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0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3086"/>
    <w:pPr>
      <w:spacing w:before="360" w:after="60"/>
      <w:outlineLvl w:val="0"/>
    </w:pPr>
    <w:rPr>
      <w:sz w:val="32"/>
    </w:rPr>
  </w:style>
  <w:style w:type="paragraph" w:styleId="Heading2">
    <w:name w:val="heading 2"/>
    <w:basedOn w:val="HeadingBase"/>
    <w:next w:val="BodyText"/>
    <w:link w:val="Heading2Char"/>
    <w:qFormat/>
    <w:rsid w:val="00D83086"/>
    <w:pPr>
      <w:keepLines/>
      <w:spacing w:before="240" w:after="120"/>
      <w:outlineLvl w:val="1"/>
    </w:pPr>
    <w:rPr>
      <w:sz w:val="28"/>
      <w:szCs w:val="40"/>
    </w:rPr>
  </w:style>
  <w:style w:type="paragraph" w:styleId="Heading3">
    <w:name w:val="heading 3"/>
    <w:basedOn w:val="HeadingBase"/>
    <w:next w:val="BodyText"/>
    <w:link w:val="Heading3Char"/>
    <w:qFormat/>
    <w:rsid w:val="00D83086"/>
    <w:pPr>
      <w:spacing w:before="180" w:after="120"/>
      <w:outlineLvl w:val="2"/>
    </w:pPr>
    <w:rPr>
      <w:spacing w:val="-10"/>
      <w:kern w:val="32"/>
    </w:rPr>
  </w:style>
  <w:style w:type="paragraph" w:styleId="Heading4">
    <w:name w:val="heading 4"/>
    <w:basedOn w:val="HeadingBase"/>
    <w:next w:val="BodyText"/>
    <w:link w:val="Heading4Char"/>
    <w:qFormat/>
    <w:rsid w:val="00D83086"/>
    <w:pPr>
      <w:spacing w:before="160" w:after="120"/>
      <w:outlineLvl w:val="3"/>
    </w:pPr>
    <w:rPr>
      <w:sz w:val="22"/>
    </w:rPr>
  </w:style>
  <w:style w:type="paragraph" w:styleId="Heading5">
    <w:name w:val="heading 5"/>
    <w:basedOn w:val="HeadingBase"/>
    <w:next w:val="Normal"/>
    <w:link w:val="Heading5Char"/>
    <w:qFormat/>
    <w:rsid w:val="00D83086"/>
    <w:pPr>
      <w:spacing w:before="80"/>
      <w:outlineLvl w:val="4"/>
    </w:pPr>
    <w:rPr>
      <w:color w:val="918585"/>
      <w:sz w:val="20"/>
    </w:rPr>
  </w:style>
  <w:style w:type="paragraph" w:styleId="Heading6">
    <w:name w:val="heading 6"/>
    <w:basedOn w:val="HeadingBase"/>
    <w:next w:val="Normal"/>
    <w:link w:val="Heading6Char"/>
    <w:qFormat/>
    <w:rsid w:val="00D83086"/>
    <w:pPr>
      <w:spacing w:before="60"/>
      <w:outlineLvl w:val="5"/>
    </w:pPr>
    <w:rPr>
      <w:color w:val="918585"/>
      <w:sz w:val="20"/>
    </w:rPr>
  </w:style>
  <w:style w:type="paragraph" w:styleId="Heading7">
    <w:name w:val="heading 7"/>
    <w:basedOn w:val="Normal"/>
    <w:next w:val="Normal"/>
    <w:link w:val="Heading7Char"/>
    <w:qFormat/>
    <w:rsid w:val="00D83086"/>
    <w:pPr>
      <w:ind w:left="720"/>
      <w:outlineLvl w:val="6"/>
    </w:pPr>
    <w:rPr>
      <w:i/>
    </w:rPr>
  </w:style>
  <w:style w:type="paragraph" w:styleId="Heading8">
    <w:name w:val="heading 8"/>
    <w:basedOn w:val="Normal"/>
    <w:next w:val="Normal"/>
    <w:link w:val="Heading8Char"/>
    <w:qFormat/>
    <w:rsid w:val="00D83086"/>
    <w:pPr>
      <w:ind w:left="720"/>
      <w:outlineLvl w:val="7"/>
    </w:pPr>
    <w:rPr>
      <w:i/>
    </w:rPr>
  </w:style>
  <w:style w:type="paragraph" w:styleId="Heading9">
    <w:name w:val="heading 9"/>
    <w:basedOn w:val="Normal"/>
    <w:next w:val="Normal"/>
    <w:link w:val="Heading9Char"/>
    <w:qFormat/>
    <w:rsid w:val="00D83086"/>
    <w:pPr>
      <w:ind w:left="720"/>
      <w:outlineLvl w:val="8"/>
    </w:pPr>
    <w:rPr>
      <w:i/>
    </w:rPr>
  </w:style>
  <w:style w:type="character" w:default="1" w:styleId="DefaultParagraphFont">
    <w:name w:val="Default Paragraph Font"/>
    <w:uiPriority w:val="1"/>
    <w:unhideWhenUsed/>
    <w:rsid w:val="00D830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086"/>
  </w:style>
  <w:style w:type="character" w:customStyle="1" w:styleId="Heading1Char">
    <w:name w:val="Heading 1 Char"/>
    <w:basedOn w:val="DefaultParagraphFont"/>
    <w:link w:val="Heading1"/>
    <w:rsid w:val="00D83086"/>
    <w:rPr>
      <w:rFonts w:ascii="Times New Roman" w:eastAsia="Times New Roman" w:hAnsi="Times New Roman" w:cs="Times New Roman"/>
      <w:b/>
      <w:sz w:val="32"/>
      <w:szCs w:val="20"/>
      <w:lang w:eastAsia="en-US"/>
    </w:rPr>
  </w:style>
  <w:style w:type="paragraph" w:styleId="BodyText">
    <w:name w:val="Body Text"/>
    <w:basedOn w:val="Normal"/>
    <w:link w:val="BodyTextChar"/>
    <w:rsid w:val="00D830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086"/>
    <w:rPr>
      <w:rFonts w:ascii="Times New Roman" w:eastAsia="Times New Roman" w:hAnsi="Times New Roman" w:cs="Times New Roman"/>
      <w:sz w:val="24"/>
      <w:lang w:val="en-US" w:eastAsia="en-US"/>
    </w:rPr>
  </w:style>
  <w:style w:type="paragraph" w:styleId="Footer">
    <w:name w:val="footer"/>
    <w:basedOn w:val="Normal"/>
    <w:link w:val="FooterChar"/>
    <w:rsid w:val="00D830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086"/>
    <w:rPr>
      <w:rFonts w:ascii="Times New Roman" w:eastAsia="Times New Roman" w:hAnsi="Times New Roman" w:cs="Times New Roman"/>
      <w:sz w:val="16"/>
      <w:lang w:val="en-US" w:eastAsia="en-US"/>
    </w:rPr>
  </w:style>
  <w:style w:type="paragraph" w:styleId="List">
    <w:name w:val="List"/>
    <w:basedOn w:val="BodyText"/>
    <w:next w:val="BodyText"/>
    <w:rsid w:val="00D83086"/>
    <w:pPr>
      <w:tabs>
        <w:tab w:val="left" w:pos="340"/>
      </w:tabs>
      <w:spacing w:before="60" w:after="60"/>
      <w:ind w:left="340" w:hanging="340"/>
    </w:pPr>
  </w:style>
  <w:style w:type="paragraph" w:styleId="ListBullet">
    <w:name w:val="List Bullet"/>
    <w:basedOn w:val="List"/>
    <w:rsid w:val="00D83086"/>
    <w:pPr>
      <w:numPr>
        <w:numId w:val="13"/>
      </w:numPr>
      <w:tabs>
        <w:tab w:val="clear" w:pos="340"/>
      </w:tabs>
      <w:spacing w:before="40" w:after="40"/>
    </w:pPr>
  </w:style>
  <w:style w:type="character" w:customStyle="1" w:styleId="SpecialBold">
    <w:name w:val="Special Bold"/>
    <w:basedOn w:val="DefaultParagraphFont"/>
    <w:rsid w:val="00D83086"/>
    <w:rPr>
      <w:b/>
      <w:spacing w:val="0"/>
    </w:rPr>
  </w:style>
  <w:style w:type="paragraph" w:styleId="ListBullet2">
    <w:name w:val="List Bullet 2"/>
    <w:basedOn w:val="List2"/>
    <w:rsid w:val="00D83086"/>
    <w:pPr>
      <w:numPr>
        <w:numId w:val="14"/>
      </w:numPr>
      <w:tabs>
        <w:tab w:val="clear" w:pos="680"/>
      </w:tabs>
    </w:pPr>
  </w:style>
  <w:style w:type="paragraph" w:styleId="Header">
    <w:name w:val="header"/>
    <w:basedOn w:val="Normal"/>
    <w:link w:val="HeaderChar"/>
    <w:rsid w:val="00D830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0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83086"/>
    <w:pPr>
      <w:spacing w:before="240" w:after="120"/>
      <w:outlineLvl w:val="0"/>
    </w:pPr>
    <w:rPr>
      <w:rFonts w:ascii="Times New Roman" w:hAnsi="Times New Roman"/>
      <w:b/>
      <w:sz w:val="28"/>
    </w:rPr>
  </w:style>
  <w:style w:type="paragraph" w:customStyle="1" w:styleId="AllowPageBreak">
    <w:name w:val="AllowPageBreak"/>
    <w:rsid w:val="00D830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086"/>
    <w:pPr>
      <w:tabs>
        <w:tab w:val="left" w:pos="680"/>
      </w:tabs>
      <w:spacing w:before="60" w:after="60"/>
      <w:ind w:left="680" w:hanging="340"/>
    </w:pPr>
  </w:style>
  <w:style w:type="character" w:customStyle="1" w:styleId="Heading2Char">
    <w:name w:val="Heading 2 Char"/>
    <w:basedOn w:val="DefaultParagraphFont"/>
    <w:link w:val="Heading2"/>
    <w:rsid w:val="00D830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0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0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0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0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0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30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3086"/>
    <w:rPr>
      <w:rFonts w:ascii="Courier New" w:eastAsia="Times New Roman" w:hAnsi="Courier New" w:cs="Times New Roman"/>
      <w:i/>
      <w:szCs w:val="20"/>
      <w:lang w:val="en-US" w:eastAsia="en-US"/>
    </w:rPr>
  </w:style>
  <w:style w:type="paragraph" w:customStyle="1" w:styleId="HeadingBase">
    <w:name w:val="Heading Base"/>
    <w:rsid w:val="00D830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086"/>
    <w:pPr>
      <w:tabs>
        <w:tab w:val="right" w:leader="dot" w:pos="9072"/>
      </w:tabs>
      <w:ind w:left="567"/>
    </w:pPr>
    <w:rPr>
      <w:szCs w:val="22"/>
    </w:rPr>
  </w:style>
  <w:style w:type="paragraph" w:customStyle="1" w:styleId="TOCBase">
    <w:name w:val="TOC Base"/>
    <w:rsid w:val="00D830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086"/>
    <w:pPr>
      <w:tabs>
        <w:tab w:val="right" w:leader="dot" w:pos="9072"/>
      </w:tabs>
      <w:spacing w:before="40" w:after="40"/>
      <w:ind w:left="284"/>
    </w:pPr>
    <w:rPr>
      <w:rFonts w:ascii="Times New Roman" w:hAnsi="Times New Roman"/>
    </w:rPr>
  </w:style>
  <w:style w:type="paragraph" w:styleId="TOC1">
    <w:name w:val="toc 1"/>
    <w:basedOn w:val="TOCBase"/>
    <w:next w:val="Normal"/>
    <w:rsid w:val="00D830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086"/>
    <w:pPr>
      <w:spacing w:before="5040"/>
      <w:jc w:val="center"/>
    </w:pPr>
    <w:rPr>
      <w:sz w:val="48"/>
      <w:szCs w:val="72"/>
      <w:lang w:val="en-US"/>
    </w:rPr>
  </w:style>
  <w:style w:type="character" w:customStyle="1" w:styleId="TitleChar">
    <w:name w:val="Title Char"/>
    <w:basedOn w:val="DefaultParagraphFont"/>
    <w:link w:val="Title"/>
    <w:rsid w:val="00D830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086"/>
    <w:pPr>
      <w:tabs>
        <w:tab w:val="left" w:pos="3600"/>
        <w:tab w:val="left" w:pos="3958"/>
      </w:tabs>
    </w:pPr>
  </w:style>
  <w:style w:type="paragraph" w:customStyle="1" w:styleId="Note">
    <w:name w:val="Note"/>
    <w:basedOn w:val="BodyText"/>
    <w:rsid w:val="00D830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086"/>
    <w:pPr>
      <w:framePr w:wrap="auto" w:hAnchor="text" w:y="6049"/>
    </w:pPr>
    <w:rPr>
      <w:color w:val="000000"/>
      <w:sz w:val="40"/>
    </w:rPr>
  </w:style>
  <w:style w:type="paragraph" w:customStyle="1" w:styleId="TOCTitle">
    <w:name w:val="TOCTitle"/>
    <w:basedOn w:val="Heading1"/>
    <w:rsid w:val="00D83086"/>
    <w:pPr>
      <w:spacing w:after="240"/>
      <w:jc w:val="center"/>
      <w:outlineLvl w:val="9"/>
    </w:pPr>
    <w:rPr>
      <w:caps/>
    </w:rPr>
  </w:style>
  <w:style w:type="paragraph" w:customStyle="1" w:styleId="Version">
    <w:name w:val="Version"/>
    <w:rsid w:val="00D830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086"/>
    <w:pPr>
      <w:keepNext w:val="0"/>
      <w:tabs>
        <w:tab w:val="right" w:pos="4176"/>
      </w:tabs>
      <w:ind w:left="198" w:hanging="198"/>
    </w:pPr>
    <w:rPr>
      <w:rFonts w:ascii="Garamond" w:hAnsi="Garamond"/>
    </w:rPr>
  </w:style>
  <w:style w:type="paragraph" w:styleId="IndexHeading">
    <w:name w:val="index heading"/>
    <w:basedOn w:val="Normal"/>
    <w:next w:val="Index1"/>
    <w:semiHidden/>
    <w:rsid w:val="00D83086"/>
    <w:pPr>
      <w:spacing w:before="120" w:after="120"/>
    </w:pPr>
    <w:rPr>
      <w:rFonts w:ascii="Arial" w:hAnsi="Arial"/>
      <w:b/>
      <w:color w:val="918585"/>
      <w:sz w:val="24"/>
    </w:rPr>
  </w:style>
  <w:style w:type="paragraph" w:customStyle="1" w:styleId="Chapter">
    <w:name w:val="Chapter"/>
    <w:basedOn w:val="Normal"/>
    <w:rsid w:val="00D83086"/>
    <w:pPr>
      <w:spacing w:before="240"/>
    </w:pPr>
    <w:rPr>
      <w:rFonts w:ascii="Times New Roman" w:hAnsi="Times New Roman"/>
      <w:smallCaps/>
      <w:spacing w:val="80"/>
      <w:sz w:val="28"/>
    </w:rPr>
  </w:style>
  <w:style w:type="paragraph" w:customStyle="1" w:styleId="InChapter">
    <w:name w:val="InChapter"/>
    <w:basedOn w:val="Heading3"/>
    <w:rsid w:val="00D83086"/>
    <w:pPr>
      <w:spacing w:after="240"/>
      <w:outlineLvl w:val="9"/>
    </w:pPr>
    <w:rPr>
      <w:noProof/>
    </w:rPr>
  </w:style>
  <w:style w:type="paragraph" w:styleId="Index2">
    <w:name w:val="index 2"/>
    <w:basedOn w:val="Normal"/>
    <w:next w:val="Normal"/>
    <w:semiHidden/>
    <w:rsid w:val="00D83086"/>
    <w:pPr>
      <w:tabs>
        <w:tab w:val="right" w:pos="4176"/>
      </w:tabs>
      <w:ind w:left="568" w:hanging="284"/>
    </w:pPr>
    <w:rPr>
      <w:rFonts w:ascii="Garamond" w:hAnsi="Garamond"/>
    </w:rPr>
  </w:style>
  <w:style w:type="paragraph" w:customStyle="1" w:styleId="Byline">
    <w:name w:val="Byline"/>
    <w:rsid w:val="00D830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086"/>
    <w:pPr>
      <w:tabs>
        <w:tab w:val="clear" w:pos="3600"/>
        <w:tab w:val="clear" w:pos="3958"/>
      </w:tabs>
      <w:jc w:val="right"/>
    </w:pPr>
  </w:style>
  <w:style w:type="character" w:styleId="Emphasis">
    <w:name w:val="Emphasis"/>
    <w:basedOn w:val="DefaultParagraphFont"/>
    <w:qFormat/>
    <w:rsid w:val="00D83086"/>
    <w:rPr>
      <w:i/>
    </w:rPr>
  </w:style>
  <w:style w:type="paragraph" w:styleId="Caption">
    <w:name w:val="caption"/>
    <w:basedOn w:val="BodyText"/>
    <w:next w:val="Normal"/>
    <w:qFormat/>
    <w:rsid w:val="00D83086"/>
    <w:pPr>
      <w:framePr w:w="2268" w:hSpace="181" w:vSpace="181" w:wrap="around" w:vAnchor="text" w:hAnchor="page" w:x="1135" w:y="285" w:anchorLock="1"/>
    </w:pPr>
    <w:rPr>
      <w:i/>
    </w:rPr>
  </w:style>
  <w:style w:type="paragraph" w:customStyle="1" w:styleId="MiniTOCTitle">
    <w:name w:val="MiniTOCTitle"/>
    <w:basedOn w:val="Heading4"/>
    <w:rsid w:val="00D83086"/>
    <w:pPr>
      <w:spacing w:before="240"/>
      <w:outlineLvl w:val="9"/>
    </w:pPr>
    <w:rPr>
      <w:noProof/>
      <w:sz w:val="24"/>
    </w:rPr>
  </w:style>
  <w:style w:type="paragraph" w:customStyle="1" w:styleId="MiniTOCItem">
    <w:name w:val="MiniTOCItem"/>
    <w:basedOn w:val="ListBullet"/>
    <w:rsid w:val="00D83086"/>
    <w:pPr>
      <w:numPr>
        <w:numId w:val="0"/>
      </w:numPr>
      <w:tabs>
        <w:tab w:val="right" w:leader="dot" w:pos="6521"/>
      </w:tabs>
      <w:spacing w:before="0" w:after="0"/>
    </w:pPr>
  </w:style>
  <w:style w:type="paragraph" w:customStyle="1" w:styleId="TOFTitle">
    <w:name w:val="TOFTitle"/>
    <w:basedOn w:val="TOCTitle"/>
    <w:rsid w:val="00D83086"/>
  </w:style>
  <w:style w:type="paragraph" w:styleId="TableofFigures">
    <w:name w:val="table of figures"/>
    <w:basedOn w:val="Normal"/>
    <w:next w:val="Normal"/>
    <w:semiHidden/>
    <w:rsid w:val="00D83086"/>
    <w:pPr>
      <w:tabs>
        <w:tab w:val="right" w:leader="dot" w:pos="9072"/>
      </w:tabs>
      <w:ind w:left="970" w:hanging="403"/>
    </w:pPr>
    <w:rPr>
      <w:rFonts w:ascii="Times New Roman" w:hAnsi="Times New Roman"/>
      <w:b/>
    </w:rPr>
  </w:style>
  <w:style w:type="paragraph" w:styleId="ListNumber">
    <w:name w:val="List Number"/>
    <w:basedOn w:val="List"/>
    <w:rsid w:val="00D83086"/>
    <w:pPr>
      <w:numPr>
        <w:numId w:val="11"/>
      </w:numPr>
    </w:pPr>
  </w:style>
  <w:style w:type="character" w:customStyle="1" w:styleId="WingdingSymbols">
    <w:name w:val="Wingding Symbols"/>
    <w:rsid w:val="00D83086"/>
    <w:rPr>
      <w:rFonts w:ascii="Wingdings" w:hAnsi="Wingdings"/>
    </w:rPr>
  </w:style>
  <w:style w:type="paragraph" w:customStyle="1" w:styleId="TableHeading">
    <w:name w:val="Table Heading"/>
    <w:basedOn w:val="HeadingBase"/>
    <w:rsid w:val="00D83086"/>
    <w:pPr>
      <w:keepLines/>
      <w:pBdr>
        <w:bottom w:val="single" w:sz="6" w:space="1" w:color="918585"/>
      </w:pBdr>
      <w:spacing w:before="240"/>
    </w:pPr>
  </w:style>
  <w:style w:type="character" w:customStyle="1" w:styleId="HotSpot">
    <w:name w:val="HotSpot"/>
    <w:rsid w:val="00D83086"/>
    <w:rPr>
      <w:color w:val="0033CC"/>
      <w:u w:val="none"/>
    </w:rPr>
  </w:style>
  <w:style w:type="paragraph" w:customStyle="1" w:styleId="BodyTextRight">
    <w:name w:val="Body Text Right"/>
    <w:basedOn w:val="BodyText"/>
    <w:rsid w:val="00D83086"/>
    <w:pPr>
      <w:spacing w:before="0" w:after="0"/>
      <w:jc w:val="right"/>
    </w:pPr>
  </w:style>
  <w:style w:type="paragraph" w:styleId="Index3">
    <w:name w:val="index 3"/>
    <w:basedOn w:val="ListNumber2"/>
    <w:next w:val="Normal"/>
    <w:semiHidden/>
    <w:rsid w:val="00D83086"/>
    <w:pPr>
      <w:numPr>
        <w:numId w:val="0"/>
      </w:numPr>
      <w:tabs>
        <w:tab w:val="right" w:leader="dot" w:pos="4176"/>
      </w:tabs>
    </w:pPr>
  </w:style>
  <w:style w:type="paragraph" w:styleId="ListNumber2">
    <w:name w:val="List Number 2"/>
    <w:basedOn w:val="List2"/>
    <w:rsid w:val="00D83086"/>
    <w:pPr>
      <w:numPr>
        <w:numId w:val="10"/>
      </w:numPr>
      <w:tabs>
        <w:tab w:val="clear" w:pos="1060"/>
      </w:tabs>
    </w:pPr>
  </w:style>
  <w:style w:type="paragraph" w:customStyle="1" w:styleId="MarginNote">
    <w:name w:val="Margin Note"/>
    <w:basedOn w:val="BodyText"/>
    <w:rsid w:val="00D830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0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0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3086"/>
    <w:rPr>
      <w:sz w:val="32"/>
    </w:rPr>
  </w:style>
  <w:style w:type="paragraph" w:customStyle="1" w:styleId="HeadingProcedure">
    <w:name w:val="Heading Procedure"/>
    <w:basedOn w:val="HeadingBase"/>
    <w:next w:val="Normal"/>
    <w:rsid w:val="00D83086"/>
    <w:pPr>
      <w:tabs>
        <w:tab w:val="left" w:pos="0"/>
      </w:tabs>
      <w:spacing w:before="120" w:after="60"/>
    </w:pPr>
    <w:rPr>
      <w:i/>
      <w:color w:val="918585"/>
      <w:sz w:val="22"/>
    </w:rPr>
  </w:style>
  <w:style w:type="paragraph" w:customStyle="1" w:styleId="TableBodyText">
    <w:name w:val="Table Body Text"/>
    <w:basedOn w:val="BodyText"/>
    <w:rsid w:val="00D83086"/>
    <w:pPr>
      <w:spacing w:before="60" w:after="60"/>
    </w:pPr>
  </w:style>
  <w:style w:type="paragraph" w:styleId="ListContinue">
    <w:name w:val="List Continue"/>
    <w:basedOn w:val="List"/>
    <w:rsid w:val="00D83086"/>
    <w:pPr>
      <w:ind w:firstLine="0"/>
    </w:pPr>
  </w:style>
  <w:style w:type="paragraph" w:customStyle="1" w:styleId="ListNote">
    <w:name w:val="List Note"/>
    <w:basedOn w:val="List"/>
    <w:rsid w:val="00D83086"/>
    <w:pPr>
      <w:pBdr>
        <w:top w:val="single" w:sz="6" w:space="2" w:color="918585"/>
        <w:bottom w:val="single" w:sz="6" w:space="2" w:color="918585"/>
      </w:pBdr>
      <w:tabs>
        <w:tab w:val="left" w:pos="1021"/>
      </w:tabs>
      <w:ind w:firstLine="0"/>
    </w:pPr>
  </w:style>
  <w:style w:type="paragraph" w:customStyle="1" w:styleId="Warning">
    <w:name w:val="Warning"/>
    <w:basedOn w:val="BodyText"/>
    <w:rsid w:val="00D83086"/>
    <w:pPr>
      <w:shd w:val="clear" w:color="auto" w:fill="D9D9D9"/>
      <w:tabs>
        <w:tab w:val="left" w:pos="992"/>
      </w:tabs>
      <w:ind w:left="119" w:right="119"/>
    </w:pPr>
    <w:rPr>
      <w:sz w:val="20"/>
    </w:rPr>
  </w:style>
  <w:style w:type="paragraph" w:customStyle="1" w:styleId="MarginIcons">
    <w:name w:val="Margin Icons"/>
    <w:basedOn w:val="BodyText"/>
    <w:rsid w:val="00D830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086"/>
    <w:rPr>
      <w:rFonts w:ascii="Courier New" w:hAnsi="Courier New"/>
    </w:rPr>
  </w:style>
  <w:style w:type="paragraph" w:customStyle="1" w:styleId="NoteBullet">
    <w:name w:val="Note Bullet"/>
    <w:basedOn w:val="Note"/>
    <w:rsid w:val="00D83086"/>
    <w:pPr>
      <w:tabs>
        <w:tab w:val="clear" w:pos="680"/>
      </w:tabs>
      <w:spacing w:before="60" w:after="60"/>
    </w:pPr>
  </w:style>
  <w:style w:type="paragraph" w:customStyle="1" w:styleId="SubHeading2">
    <w:name w:val="SubHeading2"/>
    <w:basedOn w:val="HeadingBase"/>
    <w:rsid w:val="00D83086"/>
    <w:pPr>
      <w:spacing w:before="240" w:after="60"/>
    </w:pPr>
    <w:rPr>
      <w:sz w:val="20"/>
    </w:rPr>
  </w:style>
  <w:style w:type="paragraph" w:customStyle="1" w:styleId="SubHeading1">
    <w:name w:val="SubHeading1"/>
    <w:basedOn w:val="HeadingBase"/>
    <w:rsid w:val="00D83086"/>
    <w:pPr>
      <w:spacing w:before="240" w:after="60"/>
    </w:pPr>
    <w:rPr>
      <w:color w:val="918585"/>
      <w:sz w:val="22"/>
    </w:rPr>
  </w:style>
  <w:style w:type="paragraph" w:customStyle="1" w:styleId="SideHeading">
    <w:name w:val="Side Heading"/>
    <w:basedOn w:val="HeadingBase"/>
    <w:rsid w:val="00D830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086"/>
    <w:pPr>
      <w:numPr>
        <w:numId w:val="12"/>
      </w:numPr>
    </w:pPr>
  </w:style>
  <w:style w:type="paragraph" w:styleId="PlainText">
    <w:name w:val="Plain Text"/>
    <w:basedOn w:val="Normal"/>
    <w:link w:val="PlainTextChar"/>
    <w:rsid w:val="00D83086"/>
    <w:rPr>
      <w:sz w:val="20"/>
    </w:rPr>
  </w:style>
  <w:style w:type="character" w:customStyle="1" w:styleId="PlainTextChar">
    <w:name w:val="Plain Text Char"/>
    <w:basedOn w:val="DefaultParagraphFont"/>
    <w:link w:val="PlainText"/>
    <w:rsid w:val="00D830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3086"/>
    <w:rPr>
      <w:b/>
      <w:smallCaps/>
    </w:rPr>
  </w:style>
  <w:style w:type="paragraph" w:customStyle="1" w:styleId="TableListNumber">
    <w:name w:val="Table List Number"/>
    <w:basedOn w:val="ListNumber"/>
    <w:rsid w:val="00D83086"/>
    <w:pPr>
      <w:numPr>
        <w:numId w:val="0"/>
      </w:numPr>
    </w:pPr>
  </w:style>
  <w:style w:type="paragraph" w:styleId="TOC4">
    <w:name w:val="toc 4"/>
    <w:basedOn w:val="TOCBase"/>
    <w:next w:val="Normal"/>
    <w:semiHidden/>
    <w:rsid w:val="00D83086"/>
    <w:pPr>
      <w:tabs>
        <w:tab w:val="right" w:leader="dot" w:pos="9071"/>
      </w:tabs>
      <w:ind w:left="1701"/>
    </w:pPr>
  </w:style>
  <w:style w:type="paragraph" w:customStyle="1" w:styleId="ListAlpha">
    <w:name w:val="List Alpha"/>
    <w:basedOn w:val="List"/>
    <w:rsid w:val="00D83086"/>
    <w:pPr>
      <w:numPr>
        <w:numId w:val="9"/>
      </w:numPr>
    </w:pPr>
  </w:style>
  <w:style w:type="paragraph" w:customStyle="1" w:styleId="ListAlpha2">
    <w:name w:val="List Alpha 2"/>
    <w:basedOn w:val="List2"/>
    <w:rsid w:val="00D83086"/>
    <w:pPr>
      <w:numPr>
        <w:numId w:val="8"/>
      </w:numPr>
    </w:pPr>
  </w:style>
  <w:style w:type="paragraph" w:styleId="List3">
    <w:name w:val="List 3"/>
    <w:basedOn w:val="BodyText"/>
    <w:rsid w:val="00D83086"/>
    <w:pPr>
      <w:tabs>
        <w:tab w:val="left" w:pos="1021"/>
      </w:tabs>
      <w:spacing w:before="60" w:after="60"/>
      <w:ind w:left="1020" w:hanging="340"/>
    </w:pPr>
  </w:style>
  <w:style w:type="paragraph" w:styleId="List4">
    <w:name w:val="List 4"/>
    <w:basedOn w:val="BodyText"/>
    <w:rsid w:val="00D83086"/>
    <w:pPr>
      <w:tabs>
        <w:tab w:val="left" w:pos="1361"/>
      </w:tabs>
      <w:spacing w:before="60" w:after="60"/>
      <w:ind w:left="1361" w:hanging="340"/>
    </w:pPr>
  </w:style>
  <w:style w:type="paragraph" w:styleId="List5">
    <w:name w:val="List 5"/>
    <w:basedOn w:val="BodyText"/>
    <w:rsid w:val="00D83086"/>
    <w:pPr>
      <w:tabs>
        <w:tab w:val="left" w:pos="1701"/>
      </w:tabs>
      <w:spacing w:before="60" w:after="60"/>
      <w:ind w:left="1701" w:hanging="340"/>
    </w:pPr>
  </w:style>
  <w:style w:type="paragraph" w:styleId="ListBullet3">
    <w:name w:val="List Bullet 3"/>
    <w:basedOn w:val="List3"/>
    <w:rsid w:val="00D83086"/>
    <w:pPr>
      <w:numPr>
        <w:numId w:val="15"/>
      </w:numPr>
      <w:tabs>
        <w:tab w:val="clear" w:pos="1021"/>
      </w:tabs>
      <w:ind w:left="1037" w:hanging="357"/>
    </w:pPr>
  </w:style>
  <w:style w:type="paragraph" w:styleId="ListBullet4">
    <w:name w:val="List Bullet 4"/>
    <w:basedOn w:val="List4"/>
    <w:rsid w:val="00D83086"/>
    <w:pPr>
      <w:numPr>
        <w:numId w:val="3"/>
      </w:numPr>
    </w:pPr>
  </w:style>
  <w:style w:type="paragraph" w:styleId="ListBullet5">
    <w:name w:val="List Bullet 5"/>
    <w:basedOn w:val="List5"/>
    <w:rsid w:val="00D83086"/>
    <w:pPr>
      <w:numPr>
        <w:numId w:val="4"/>
      </w:numPr>
    </w:pPr>
  </w:style>
  <w:style w:type="paragraph" w:styleId="ListContinue2">
    <w:name w:val="List Continue 2"/>
    <w:basedOn w:val="List2"/>
    <w:rsid w:val="00D83086"/>
    <w:pPr>
      <w:ind w:firstLine="0"/>
    </w:pPr>
  </w:style>
  <w:style w:type="paragraph" w:styleId="ListContinue3">
    <w:name w:val="List Continue 3"/>
    <w:basedOn w:val="List3"/>
    <w:rsid w:val="00D83086"/>
    <w:pPr>
      <w:ind w:left="1021" w:firstLine="0"/>
    </w:pPr>
  </w:style>
  <w:style w:type="paragraph" w:styleId="ListContinue4">
    <w:name w:val="List Continue 4"/>
    <w:basedOn w:val="List4"/>
    <w:rsid w:val="00D83086"/>
    <w:pPr>
      <w:ind w:firstLine="0"/>
    </w:pPr>
  </w:style>
  <w:style w:type="paragraph" w:styleId="ListContinue5">
    <w:name w:val="List Continue 5"/>
    <w:basedOn w:val="List5"/>
    <w:rsid w:val="00D83086"/>
    <w:pPr>
      <w:ind w:firstLine="0"/>
    </w:pPr>
  </w:style>
  <w:style w:type="paragraph" w:styleId="ListNumber3">
    <w:name w:val="List Number 3"/>
    <w:basedOn w:val="List3"/>
    <w:rsid w:val="00D83086"/>
    <w:pPr>
      <w:numPr>
        <w:numId w:val="5"/>
      </w:numPr>
    </w:pPr>
  </w:style>
  <w:style w:type="paragraph" w:styleId="ListNumber4">
    <w:name w:val="List Number 4"/>
    <w:basedOn w:val="List4"/>
    <w:rsid w:val="00D83086"/>
    <w:pPr>
      <w:numPr>
        <w:numId w:val="6"/>
      </w:numPr>
    </w:pPr>
  </w:style>
  <w:style w:type="paragraph" w:styleId="ListNumber5">
    <w:name w:val="List Number 5"/>
    <w:basedOn w:val="List5"/>
    <w:rsid w:val="00D83086"/>
    <w:pPr>
      <w:numPr>
        <w:numId w:val="7"/>
      </w:numPr>
    </w:pPr>
  </w:style>
  <w:style w:type="paragraph" w:styleId="BlockText">
    <w:name w:val="Block Text"/>
    <w:basedOn w:val="Normal"/>
    <w:rsid w:val="00D83086"/>
    <w:pPr>
      <w:spacing w:after="120"/>
      <w:ind w:left="1440" w:right="1440"/>
    </w:pPr>
  </w:style>
  <w:style w:type="character" w:customStyle="1" w:styleId="Subscript">
    <w:name w:val="Subscript"/>
    <w:basedOn w:val="DefaultParagraphFont"/>
    <w:rsid w:val="00D83086"/>
    <w:rPr>
      <w:sz w:val="16"/>
      <w:vertAlign w:val="subscript"/>
    </w:rPr>
  </w:style>
  <w:style w:type="character" w:customStyle="1" w:styleId="Superscript">
    <w:name w:val="Superscript"/>
    <w:basedOn w:val="DefaultParagraphFont"/>
    <w:rsid w:val="00D83086"/>
    <w:rPr>
      <w:sz w:val="16"/>
      <w:vertAlign w:val="superscript"/>
    </w:rPr>
  </w:style>
  <w:style w:type="character" w:customStyle="1" w:styleId="Symbols">
    <w:name w:val="Symbols"/>
    <w:basedOn w:val="DefaultParagraphFont"/>
    <w:rsid w:val="00D83086"/>
    <w:rPr>
      <w:rFonts w:ascii="Symbol" w:hAnsi="Symbol"/>
    </w:rPr>
  </w:style>
  <w:style w:type="character" w:customStyle="1" w:styleId="MenuOptions">
    <w:name w:val="Menu Options"/>
    <w:basedOn w:val="DefaultParagraphFont"/>
    <w:rsid w:val="00D83086"/>
    <w:rPr>
      <w:rFonts w:ascii="Arial Narrow" w:hAnsi="Arial Narrow"/>
      <w:smallCaps/>
    </w:rPr>
  </w:style>
  <w:style w:type="character" w:customStyle="1" w:styleId="Buttons">
    <w:name w:val="Buttons"/>
    <w:basedOn w:val="DefaultParagraphFont"/>
    <w:rsid w:val="00D83086"/>
    <w:rPr>
      <w:b/>
    </w:rPr>
  </w:style>
  <w:style w:type="character" w:customStyle="1" w:styleId="Underlined">
    <w:name w:val="Underlined"/>
    <w:basedOn w:val="DefaultParagraphFont"/>
    <w:rsid w:val="00D83086"/>
    <w:rPr>
      <w:u w:val="single"/>
    </w:rPr>
  </w:style>
  <w:style w:type="paragraph" w:customStyle="1" w:styleId="TableBodyTextRight">
    <w:name w:val="Table Body Text Right"/>
    <w:basedOn w:val="TableBodyText"/>
    <w:rsid w:val="00D83086"/>
    <w:pPr>
      <w:widowControl w:val="0"/>
      <w:autoSpaceDE w:val="0"/>
      <w:autoSpaceDN w:val="0"/>
      <w:adjustRightInd w:val="0"/>
      <w:jc w:val="right"/>
    </w:pPr>
    <w:rPr>
      <w:rFonts w:cs="Arial"/>
      <w:szCs w:val="18"/>
    </w:rPr>
  </w:style>
  <w:style w:type="paragraph" w:customStyle="1" w:styleId="CopyrightText">
    <w:name w:val="Copyright Text"/>
    <w:basedOn w:val="BodyText"/>
    <w:rsid w:val="00D83086"/>
    <w:rPr>
      <w:sz w:val="18"/>
    </w:rPr>
  </w:style>
  <w:style w:type="paragraph" w:customStyle="1" w:styleId="BodySmallRight">
    <w:name w:val="Body Small Right"/>
    <w:basedOn w:val="BodyTextRight"/>
    <w:rsid w:val="00D83086"/>
    <w:rPr>
      <w:sz w:val="18"/>
      <w:szCs w:val="18"/>
    </w:rPr>
  </w:style>
  <w:style w:type="paragraph" w:customStyle="1" w:styleId="MarginEdition">
    <w:name w:val="Margin Edition"/>
    <w:basedOn w:val="MarginNote"/>
    <w:rsid w:val="00D83086"/>
    <w:pPr>
      <w:spacing w:before="0" w:after="0"/>
    </w:pPr>
    <w:rPr>
      <w:rFonts w:ascii="Times New Roman" w:hAnsi="Times New Roman"/>
      <w:color w:val="999999"/>
    </w:rPr>
  </w:style>
  <w:style w:type="paragraph" w:customStyle="1" w:styleId="Spacer">
    <w:name w:val="Spacer"/>
    <w:basedOn w:val="Normal"/>
    <w:rsid w:val="00D83086"/>
    <w:rPr>
      <w:sz w:val="2"/>
      <w:szCs w:val="2"/>
    </w:rPr>
  </w:style>
  <w:style w:type="character" w:customStyle="1" w:styleId="Small">
    <w:name w:val="Small"/>
    <w:basedOn w:val="DefaultParagraphFont"/>
    <w:rsid w:val="00D83086"/>
    <w:rPr>
      <w:sz w:val="16"/>
    </w:rPr>
  </w:style>
  <w:style w:type="paragraph" w:customStyle="1" w:styleId="WideTable">
    <w:name w:val="Wide Table"/>
    <w:basedOn w:val="Normal"/>
    <w:rsid w:val="00D83086"/>
    <w:pPr>
      <w:ind w:left="-1418"/>
    </w:pPr>
    <w:rPr>
      <w:sz w:val="2"/>
      <w:szCs w:val="2"/>
    </w:rPr>
  </w:style>
  <w:style w:type="character" w:styleId="PageNumber">
    <w:name w:val="page number"/>
    <w:basedOn w:val="DefaultParagraphFont"/>
    <w:rsid w:val="00D83086"/>
  </w:style>
  <w:style w:type="paragraph" w:styleId="Quote">
    <w:name w:val="Quote"/>
    <w:basedOn w:val="Heading1"/>
    <w:link w:val="QuoteChar"/>
    <w:qFormat/>
    <w:rsid w:val="00D83086"/>
    <w:rPr>
      <w:b w:val="0"/>
      <w:sz w:val="72"/>
      <w:szCs w:val="72"/>
      <w:lang w:val="en-NZ"/>
    </w:rPr>
  </w:style>
  <w:style w:type="character" w:customStyle="1" w:styleId="QuoteChar">
    <w:name w:val="Quote Char"/>
    <w:basedOn w:val="DefaultParagraphFont"/>
    <w:link w:val="Quote"/>
    <w:rsid w:val="00D830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086"/>
    <w:pPr>
      <w:pageBreakBefore/>
    </w:pPr>
  </w:style>
  <w:style w:type="paragraph" w:customStyle="1" w:styleId="Border">
    <w:name w:val="Border"/>
    <w:basedOn w:val="Normal"/>
    <w:qFormat/>
    <w:rsid w:val="00D830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086"/>
    <w:rPr>
      <w:b/>
      <w:bCs/>
      <w:i/>
      <w:iCs/>
      <w:color w:val="auto"/>
    </w:rPr>
  </w:style>
  <w:style w:type="paragraph" w:styleId="IntenseQuote">
    <w:name w:val="Intense Quote"/>
    <w:basedOn w:val="Normal"/>
    <w:next w:val="Normal"/>
    <w:link w:val="IntenseQuoteChar"/>
    <w:uiPriority w:val="30"/>
    <w:qFormat/>
    <w:rsid w:val="00D830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0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3086"/>
    <w:rPr>
      <w:smallCaps/>
      <w:color w:val="auto"/>
      <w:u w:val="single"/>
    </w:rPr>
  </w:style>
  <w:style w:type="character" w:styleId="IntenseReference">
    <w:name w:val="Intense Reference"/>
    <w:basedOn w:val="DefaultParagraphFont"/>
    <w:uiPriority w:val="32"/>
    <w:qFormat/>
    <w:rsid w:val="00D83086"/>
    <w:rPr>
      <w:b/>
      <w:bCs/>
      <w:smallCaps/>
      <w:color w:val="auto"/>
      <w:spacing w:val="5"/>
      <w:u w:val="single"/>
    </w:rPr>
  </w:style>
  <w:style w:type="paragraph" w:customStyle="1" w:styleId="2ColumnHeading">
    <w:name w:val="2Column Heading"/>
    <w:basedOn w:val="BodyText"/>
    <w:qFormat/>
    <w:rsid w:val="00D83086"/>
    <w:pPr>
      <w:spacing w:after="60"/>
      <w:ind w:left="-2268"/>
    </w:pPr>
    <w:rPr>
      <w:b/>
    </w:rPr>
  </w:style>
  <w:style w:type="paragraph" w:customStyle="1" w:styleId="Heading1TOC">
    <w:name w:val="Heading1 TOC"/>
    <w:basedOn w:val="Normal"/>
    <w:qFormat/>
    <w:rsid w:val="00D83086"/>
    <w:pPr>
      <w:spacing w:before="240" w:after="120"/>
    </w:pPr>
    <w:rPr>
      <w:rFonts w:ascii="Times New Roman" w:hAnsi="Times New Roman"/>
      <w:b/>
      <w:sz w:val="32"/>
    </w:rPr>
  </w:style>
  <w:style w:type="paragraph" w:customStyle="1" w:styleId="Heading2TOC">
    <w:name w:val="Heading2 TOC"/>
    <w:basedOn w:val="Normal"/>
    <w:qFormat/>
    <w:rsid w:val="00D83086"/>
    <w:pPr>
      <w:spacing w:before="240" w:after="60"/>
    </w:pPr>
    <w:rPr>
      <w:rFonts w:ascii="Times New Roman" w:hAnsi="Times New Roman"/>
      <w:b/>
      <w:sz w:val="28"/>
    </w:rPr>
  </w:style>
  <w:style w:type="character" w:customStyle="1" w:styleId="Underline">
    <w:name w:val="Underline"/>
    <w:basedOn w:val="DefaultParagraphFont"/>
    <w:qFormat/>
    <w:rsid w:val="00D83086"/>
    <w:rPr>
      <w:u w:val="single"/>
    </w:rPr>
  </w:style>
  <w:style w:type="character" w:customStyle="1" w:styleId="BoldandItalics">
    <w:name w:val="Bold and Italics"/>
    <w:qFormat/>
    <w:rsid w:val="00D83086"/>
    <w:rPr>
      <w:b/>
      <w:i/>
      <w:u w:val="none"/>
    </w:rPr>
  </w:style>
  <w:style w:type="paragraph" w:styleId="BalloonText">
    <w:name w:val="Balloon Text"/>
    <w:basedOn w:val="Normal"/>
    <w:link w:val="BalloonTextChar"/>
    <w:rsid w:val="00D83086"/>
    <w:rPr>
      <w:rFonts w:ascii="Tahoma" w:hAnsi="Tahoma" w:cs="Tahoma"/>
      <w:sz w:val="16"/>
      <w:szCs w:val="16"/>
    </w:rPr>
  </w:style>
  <w:style w:type="character" w:customStyle="1" w:styleId="BalloonTextChar">
    <w:name w:val="Balloon Text Char"/>
    <w:basedOn w:val="DefaultParagraphFont"/>
    <w:link w:val="BalloonText"/>
    <w:rsid w:val="00D830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30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0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6550</Characters>
  <Application>Microsoft Office Word</Application>
  <DocSecurity>0</DocSecurity>
  <Lines>232</Lines>
  <Paragraphs>123</Paragraphs>
  <ScaleCrop>false</ScaleCrop>
  <Company>Author-it Software Corporation Ltd.</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MSATCM305A Demonstrate basic knowledge of casting operations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2012-05-26T18:29:00Z</dcterms:created>
  <dcterms:modified xsi:type="dcterms:W3CDTF">2012-05-26T18:29:00Z</dcterms:modified>
</cp:coreProperties>
</file>