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81B" w:rsidP="009F781B">
      <w:pPr>
        <w:pStyle w:val="Title"/>
      </w:pPr>
      <w:r>
        <w:fldChar w:fldCharType="begin"/>
      </w:r>
      <w:r>
        <w:instrText xml:space="preserve"> TITLE   \* MERGEFORMAT </w:instrText>
      </w:r>
      <w:r>
        <w:fldChar w:fldCharType="separate"/>
      </w:r>
      <w:r>
        <w:t>MSATCM302A Monitor ferrous melting and casting processes</w:t>
      </w:r>
      <w:r>
        <w:fldChar w:fldCharType="end"/>
      </w:r>
    </w:p>
    <w:p w:rsidR="009F781B" w:rsidP="009F781B">
      <w:pPr>
        <w:pStyle w:val="Version"/>
        <w:sectPr w:rsidSect="00DE62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626F" w:rsidP="00DE626F">
      <w:pPr>
        <w:pStyle w:val="SuperHeading"/>
      </w:pPr>
      <w:r w:rsidRPr="00DE626F">
        <w:t>MSATCM302A Monitor ferrous melting and casting processes</w:t>
      </w:r>
    </w:p>
    <w:p w:rsidR="00000000" w:rsidRPr="00DE626F" w:rsidP="00DE626F">
      <w:pPr>
        <w:pStyle w:val="SuperHeading"/>
      </w:pPr>
    </w:p>
    <w:p w:rsidR="00000000" w:rsidRPr="00DE626F" w:rsidP="00DE626F">
      <w:pPr>
        <w:pStyle w:val="Heading1"/>
      </w:pPr>
      <w:bookmarkStart w:id="1" w:name="O_102003"/>
      <w:bookmarkEnd w:id="1"/>
      <w:r w:rsidRPr="00DE626F">
        <w:t>Modification History</w:t>
      </w:r>
    </w:p>
    <w:p w:rsidR="00000000" w:rsidRPr="00DE626F" w:rsidP="00DE626F">
      <w:pPr>
        <w:pStyle w:val="BodyText"/>
      </w:pPr>
      <w:r w:rsidRPr="00DE626F">
        <w:t>Not applicable.</w:t>
      </w:r>
    </w:p>
    <w:p w:rsidR="00000000" w:rsidRPr="00DE626F" w:rsidP="00DE626F">
      <w:pPr>
        <w:pStyle w:val="AllowPageBreak"/>
      </w:pPr>
    </w:p>
    <w:p w:rsidR="00000000" w:rsidRPr="00DE626F" w:rsidP="00DE626F">
      <w:pPr>
        <w:pStyle w:val="Heading1"/>
      </w:pPr>
      <w:bookmarkStart w:id="2" w:name="O_102004"/>
      <w:bookmarkEnd w:id="2"/>
      <w:r w:rsidRPr="00DE626F">
        <w:t>Unit Descriptor</w:t>
      </w:r>
    </w:p>
    <w:tbl>
      <w:tblPr>
        <w:tblW w:w="0" w:type="auto"/>
        <w:tblCellMar>
          <w:left w:w="62" w:type="dxa"/>
          <w:right w:w="62" w:type="dxa"/>
        </w:tblCellMar>
        <w:tblLook w:val="0000"/>
      </w:tblPr>
      <w:tblGrid>
        <w:gridCol w:w="2376"/>
        <w:gridCol w:w="6820"/>
      </w:tblGrid>
      <w:tr w:rsidTr="009F78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r w:rsidRPr="00DE626F">
              <w:t>This unit covers the knowledge and skills needed to monitor the melting and casting of the allo</w:t>
            </w:r>
            <w:r w:rsidRPr="00DE626F">
              <w:t>ys of iron, steel</w:t>
            </w: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3" w:name="O_102005"/>
      <w:bookmarkEnd w:id="3"/>
      <w:r w:rsidRPr="00DE626F">
        <w:t>Application of the Unit</w:t>
      </w:r>
    </w:p>
    <w:tbl>
      <w:tblPr>
        <w:tblW w:w="0" w:type="auto"/>
        <w:tblCellMar>
          <w:left w:w="62" w:type="dxa"/>
          <w:right w:w="62" w:type="dxa"/>
        </w:tblCellMar>
        <w:tblLook w:val="0000"/>
      </w:tblPr>
      <w:tblGrid>
        <w:gridCol w:w="2376"/>
        <w:gridCol w:w="6820"/>
      </w:tblGrid>
      <w:tr w:rsidTr="009F78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r w:rsidRPr="00DE626F">
              <w:t xml:space="preserve">In a typical scenario, a technician will be required to monitor a ferrous melting and casting operation, ensuring that correct quantities and </w:t>
            </w:r>
            <w:r w:rsidRPr="00DE626F">
              <w:t xml:space="preserve">temperatures are used and correct procedures followed. </w:t>
            </w: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4" w:name="O_102006"/>
      <w:bookmarkEnd w:id="4"/>
      <w:r w:rsidRPr="00DE626F">
        <w:t>Licensing/Regulatory Information</w:t>
      </w:r>
    </w:p>
    <w:p w:rsidR="00000000" w:rsidRPr="00DE626F" w:rsidP="00DE626F">
      <w:pPr>
        <w:pStyle w:val="BodyText"/>
      </w:pPr>
      <w:r w:rsidRPr="00DE626F">
        <w:t>Not applicable.</w:t>
      </w:r>
    </w:p>
    <w:p w:rsidR="00000000" w:rsidRPr="00DE626F" w:rsidP="00DE626F">
      <w:pPr>
        <w:pStyle w:val="AllowPageBreak"/>
      </w:pPr>
    </w:p>
    <w:p w:rsidR="00000000" w:rsidRPr="00DE626F" w:rsidP="00DE626F">
      <w:pPr>
        <w:pStyle w:val="Heading1"/>
      </w:pPr>
      <w:bookmarkStart w:id="5" w:name="O_102008"/>
      <w:bookmarkEnd w:id="5"/>
      <w:r w:rsidRPr="00DE626F">
        <w:t>Pre-Requisites</w:t>
      </w:r>
    </w:p>
    <w:tbl>
      <w:tblPr>
        <w:tblW w:w="0" w:type="auto"/>
        <w:tblCellMar>
          <w:left w:w="62" w:type="dxa"/>
          <w:right w:w="62" w:type="dxa"/>
        </w:tblCellMar>
        <w:tblLook w:val="0000"/>
      </w:tblPr>
      <w:tblGrid>
        <w:gridCol w:w="2376"/>
        <w:gridCol w:w="1739"/>
        <w:gridCol w:w="5081"/>
      </w:tblGrid>
      <w:tr w:rsidTr="009F781B">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p>
        </w:tc>
      </w:tr>
      <w:tr w:rsidTr="009F781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p>
        </w:tc>
      </w:tr>
      <w:tr w:rsidTr="009F781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p>
        </w:tc>
      </w:tr>
      <w:tr w:rsidTr="009F781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6" w:name="O_102007"/>
      <w:bookmarkEnd w:id="6"/>
      <w:r w:rsidRPr="00DE626F">
        <w:t>Employability Skills Information</w:t>
      </w:r>
    </w:p>
    <w:tbl>
      <w:tblPr>
        <w:tblW w:w="0" w:type="auto"/>
        <w:tblCellMar>
          <w:left w:w="62" w:type="dxa"/>
          <w:right w:w="62" w:type="dxa"/>
        </w:tblCellMar>
        <w:tblLook w:val="0000"/>
      </w:tblPr>
      <w:tblGrid>
        <w:gridCol w:w="2376"/>
        <w:gridCol w:w="6820"/>
      </w:tblGrid>
      <w:tr w:rsidTr="009F78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r w:rsidRPr="00DE626F">
              <w:t>This unit contains employability skills.</w:t>
            </w: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7" w:name="O_102009"/>
      <w:bookmarkEnd w:id="7"/>
      <w:r w:rsidRPr="00DE626F">
        <w:t>Elements and Performance Criteria Pre-Content</w:t>
      </w:r>
    </w:p>
    <w:p w:rsidR="00000000" w:rsidRPr="00DE626F" w:rsidP="00DE626F">
      <w:pPr>
        <w:pStyle w:val="BodyText"/>
      </w:pPr>
      <w:r w:rsidRPr="00DE626F">
        <w:t>Not applicable.</w:t>
      </w:r>
    </w:p>
    <w:p w:rsidR="00000000" w:rsidRPr="00DE626F" w:rsidP="00DE626F">
      <w:pPr>
        <w:pStyle w:val="AllowPageBreak"/>
      </w:pPr>
    </w:p>
    <w:p w:rsidR="00000000" w:rsidRPr="00DE626F" w:rsidP="00DE626F">
      <w:pPr>
        <w:pStyle w:val="Heading1"/>
      </w:pPr>
      <w:bookmarkStart w:id="8" w:name="O_102010"/>
      <w:bookmarkEnd w:id="8"/>
      <w:r w:rsidRPr="00DE626F">
        <w:t>Elements and Performance Criteria</w:t>
      </w:r>
    </w:p>
    <w:tbl>
      <w:tblPr>
        <w:tblW w:w="0" w:type="auto"/>
        <w:tblCellMar>
          <w:left w:w="62" w:type="dxa"/>
          <w:right w:w="62" w:type="dxa"/>
        </w:tblCellMar>
        <w:tblLook w:val="0000"/>
      </w:tblPr>
      <w:tblGrid>
        <w:gridCol w:w="2644"/>
        <w:gridCol w:w="6552"/>
      </w:tblGrid>
      <w:tr w:rsidTr="009F78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r w:rsidRPr="00DE626F">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PERFORMANCE CRITERIA</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List"/>
              <w:rPr>
                <w:lang w:val="en-NZ"/>
              </w:rPr>
            </w:pPr>
            <w:r w:rsidRPr="00DE626F">
              <w:t>1.</w:t>
            </w:r>
            <w:r w:rsidRPr="00DE626F">
              <w:tab/>
              <w:t>Identify specifications for r</w:t>
            </w:r>
            <w:r w:rsidRPr="00DE626F">
              <w:t xml:space="preserve">equired casting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List2"/>
            </w:pPr>
            <w:r w:rsidRPr="00DE626F">
              <w:t>1.1.</w:t>
            </w:r>
            <w:r w:rsidRPr="00DE626F">
              <w:tab/>
              <w:t>Identify required material specification</w:t>
            </w:r>
          </w:p>
          <w:p w:rsidR="00000000" w:rsidRPr="00DE626F" w:rsidP="00DE626F">
            <w:pPr>
              <w:pStyle w:val="List2"/>
            </w:pPr>
            <w:r w:rsidRPr="00DE626F">
              <w:t>1.2.</w:t>
            </w:r>
            <w:r w:rsidRPr="00DE626F">
              <w:tab/>
              <w:t>Identify mould requirements</w:t>
            </w:r>
          </w:p>
          <w:p w:rsidR="00000000" w:rsidP="00DE626F">
            <w:pPr>
              <w:pStyle w:val="List2"/>
              <w:rPr>
                <w:lang w:val="en-NZ"/>
              </w:rPr>
            </w:pPr>
            <w:r w:rsidRPr="00DE626F">
              <w:t>1.3.</w:t>
            </w:r>
            <w:r w:rsidRPr="00DE626F">
              <w:tab/>
              <w:t>Identify any special requirements for this job</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List"/>
              <w:rPr>
                <w:lang w:val="en-NZ"/>
              </w:rPr>
            </w:pPr>
            <w:r w:rsidRPr="00DE626F">
              <w:t>2.</w:t>
            </w:r>
            <w:r w:rsidRPr="00DE626F">
              <w:tab/>
              <w:t>Verify metal charges to melting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List2"/>
            </w:pPr>
            <w:r w:rsidRPr="00DE626F">
              <w:t>2.1.</w:t>
            </w:r>
            <w:r w:rsidRPr="00DE626F">
              <w:tab/>
            </w:r>
            <w:r w:rsidRPr="00DE626F">
              <w:t xml:space="preserve">Select required components to give the required metal specification </w:t>
            </w:r>
          </w:p>
          <w:p w:rsidR="00000000" w:rsidRPr="00DE626F" w:rsidP="00DE626F">
            <w:pPr>
              <w:pStyle w:val="List2"/>
            </w:pPr>
            <w:r w:rsidRPr="00DE626F">
              <w:t>2.2.</w:t>
            </w:r>
            <w:r w:rsidRPr="00DE626F">
              <w:tab/>
              <w:t xml:space="preserve">Calculate required charge of each component </w:t>
            </w:r>
          </w:p>
          <w:p w:rsidR="00000000" w:rsidRPr="00DE626F" w:rsidP="00DE626F">
            <w:pPr>
              <w:pStyle w:val="List2"/>
            </w:pPr>
            <w:r w:rsidRPr="00DE626F">
              <w:t>2.3.</w:t>
            </w:r>
            <w:r w:rsidRPr="00DE626F">
              <w:tab/>
              <w:t xml:space="preserve">Recommend changes/additions to the charge </w:t>
            </w:r>
          </w:p>
          <w:p w:rsidR="00000000" w:rsidP="00DE626F">
            <w:pPr>
              <w:pStyle w:val="List2"/>
              <w:rPr>
                <w:lang w:val="en-NZ"/>
              </w:rPr>
            </w:pPr>
            <w:r w:rsidRPr="00DE626F">
              <w:t>2.4.</w:t>
            </w:r>
            <w:r w:rsidRPr="00DE626F">
              <w:tab/>
              <w:t>Monitor the preparation of the charge including checking for contaminants</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List"/>
              <w:rPr>
                <w:lang w:val="en-NZ"/>
              </w:rPr>
            </w:pPr>
            <w:r w:rsidRPr="00DE626F">
              <w:t>3.</w:t>
            </w:r>
            <w:r w:rsidRPr="00DE626F">
              <w:tab/>
              <w:t>Monito</w:t>
            </w:r>
            <w:r w:rsidRPr="00DE626F">
              <w:t>r furnace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List2"/>
            </w:pPr>
            <w:r w:rsidRPr="00DE626F">
              <w:t>3.1.</w:t>
            </w:r>
            <w:r w:rsidRPr="00DE626F">
              <w:tab/>
              <w:t>Check that the furnace is in good operational condition and that appropriate lining is present</w:t>
            </w:r>
          </w:p>
          <w:p w:rsidR="00000000" w:rsidRPr="00DE626F" w:rsidP="00DE626F">
            <w:pPr>
              <w:pStyle w:val="List2"/>
            </w:pPr>
            <w:r w:rsidRPr="00DE626F">
              <w:t>3.2.</w:t>
            </w:r>
            <w:r w:rsidRPr="00DE626F">
              <w:tab/>
              <w:t>Organise for maintenance/repairs as required</w:t>
            </w:r>
          </w:p>
          <w:p w:rsidR="00000000" w:rsidP="00DE626F">
            <w:pPr>
              <w:pStyle w:val="List2"/>
              <w:rPr>
                <w:lang w:val="en-NZ"/>
              </w:rPr>
            </w:pPr>
            <w:r w:rsidRPr="00DE626F">
              <w:t>3.3.</w:t>
            </w:r>
            <w:r w:rsidRPr="00DE626F">
              <w:tab/>
              <w:t>Monitor a melt to ensure the product meets specification</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List"/>
              <w:rPr>
                <w:lang w:val="en-NZ"/>
              </w:rPr>
            </w:pPr>
            <w:r w:rsidRPr="00DE626F">
              <w:t>4.</w:t>
            </w:r>
            <w:r w:rsidRPr="00DE626F">
              <w:tab/>
              <w:t>Monitor pouring of m</w:t>
            </w:r>
            <w:r w:rsidRPr="00DE626F">
              <w:t>olten metal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List2"/>
            </w:pPr>
            <w:r w:rsidRPr="00DE626F">
              <w:t>4.1.</w:t>
            </w:r>
            <w:r w:rsidRPr="00DE626F">
              <w:tab/>
              <w:t xml:space="preserve">Check that the ladle is in good operational condition and that appropriate lining is present </w:t>
            </w:r>
          </w:p>
          <w:p w:rsidR="00000000" w:rsidRPr="00DE626F" w:rsidP="00DE626F">
            <w:pPr>
              <w:pStyle w:val="List2"/>
            </w:pPr>
            <w:r w:rsidRPr="00DE626F">
              <w:t>4.2.</w:t>
            </w:r>
            <w:r w:rsidRPr="00DE626F">
              <w:tab/>
              <w:t>Check pouring is to procedures</w:t>
            </w:r>
          </w:p>
          <w:p w:rsidR="00000000" w:rsidP="00DE626F">
            <w:pPr>
              <w:pStyle w:val="List2"/>
              <w:rPr>
                <w:lang w:val="en-NZ"/>
              </w:rPr>
            </w:pPr>
            <w:r w:rsidRPr="00DE626F">
              <w:t>4.3.</w:t>
            </w:r>
            <w:r w:rsidRPr="00DE626F">
              <w:tab/>
              <w:t>Take required samples for analysis</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List"/>
              <w:rPr>
                <w:lang w:val="en-NZ"/>
              </w:rPr>
            </w:pPr>
            <w:r w:rsidRPr="00DE626F">
              <w:t>5.</w:t>
            </w:r>
            <w:r w:rsidRPr="00DE626F">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List2"/>
            </w:pPr>
            <w:r w:rsidRPr="00DE626F">
              <w:t>5.1.</w:t>
            </w:r>
            <w:r w:rsidRPr="00DE626F">
              <w:tab/>
            </w:r>
            <w:r w:rsidRPr="00DE626F">
              <w:t>Identify hazards in the metal melting/pouring process</w:t>
            </w:r>
          </w:p>
          <w:p w:rsidR="00000000" w:rsidRPr="00DE626F" w:rsidP="00DE626F">
            <w:pPr>
              <w:pStyle w:val="List2"/>
            </w:pPr>
            <w:r w:rsidRPr="00DE626F">
              <w:t>5.2.</w:t>
            </w:r>
            <w:r w:rsidRPr="00DE626F">
              <w:tab/>
              <w:t>Assess the risks arising from those hazards</w:t>
            </w:r>
          </w:p>
          <w:p w:rsidR="00000000" w:rsidRPr="00DE626F" w:rsidP="00DE626F">
            <w:pPr>
              <w:pStyle w:val="List2"/>
            </w:pPr>
            <w:r w:rsidRPr="00DE626F">
              <w:t>5.3.</w:t>
            </w:r>
            <w:r w:rsidRPr="00DE626F">
              <w:tab/>
              <w:t>Implement procedures to control those hazards in line with procedures and duty of care.</w:t>
            </w: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9" w:name="O_102011"/>
      <w:bookmarkEnd w:id="9"/>
      <w:r w:rsidRPr="00DE626F">
        <w:t>Required Skills and Knowledge</w:t>
      </w:r>
    </w:p>
    <w:tbl>
      <w:tblPr>
        <w:tblW w:w="0" w:type="auto"/>
        <w:tblCellMar>
          <w:left w:w="62" w:type="dxa"/>
          <w:right w:w="62" w:type="dxa"/>
        </w:tblCellMar>
        <w:tblLook w:val="0000"/>
      </w:tblPr>
      <w:tblGrid>
        <w:gridCol w:w="9196"/>
      </w:tblGrid>
      <w:tr w:rsidTr="009F78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REQUIRED SK</w:t>
            </w:r>
            <w:r w:rsidRPr="00DE626F">
              <w:rPr>
                <w:rStyle w:val="SpecialBold"/>
              </w:rPr>
              <w:t>ILLS AND KNOWLEDGE</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t>This describes the essential skills and knowledge and their level, required for this unit.</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Required skills</w:t>
            </w:r>
            <w:r w:rsidRPr="00DE626F">
              <w:t>:</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ListBullet"/>
            </w:pPr>
            <w:r w:rsidRPr="00DE626F">
              <w:t xml:space="preserve">take calculations needed for determining charges </w:t>
            </w:r>
          </w:p>
          <w:p w:rsidR="00000000" w:rsidRPr="00DE626F" w:rsidP="00DE626F">
            <w:pPr>
              <w:pStyle w:val="ListBullet"/>
            </w:pPr>
            <w:r w:rsidRPr="00DE626F">
              <w:t>perform visual checking of furnaces for operational condition and safety risks</w:t>
            </w:r>
          </w:p>
          <w:p w:rsidR="00000000" w:rsidRPr="00DE626F" w:rsidP="00DE626F">
            <w:pPr>
              <w:pStyle w:val="ListBullet"/>
            </w:pPr>
            <w:r w:rsidRPr="00DE626F">
              <w:t>take of samples</w:t>
            </w:r>
          </w:p>
          <w:p w:rsidR="00000000" w:rsidP="00DE626F">
            <w:pPr>
              <w:pStyle w:val="ListBullet"/>
              <w:rPr>
                <w:lang w:val="en-NZ"/>
              </w:rPr>
            </w:pPr>
            <w:r w:rsidRPr="00DE626F">
              <w:t>follow safety and quality procedures</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Required knowledge</w:t>
            </w:r>
            <w:r w:rsidRPr="00DE626F">
              <w:t>:</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ListBullet"/>
            </w:pPr>
            <w:r w:rsidRPr="00DE626F">
              <w:t>Charge Calculations</w:t>
            </w:r>
          </w:p>
          <w:p w:rsidR="00000000" w:rsidRPr="00DE626F" w:rsidP="00DE626F">
            <w:pPr>
              <w:pStyle w:val="ListBullet2"/>
            </w:pPr>
            <w:r w:rsidRPr="00DE626F">
              <w:t>importance of composition control.</w:t>
            </w:r>
          </w:p>
          <w:p w:rsidR="00000000" w:rsidRPr="00DE626F" w:rsidP="00DE626F">
            <w:pPr>
              <w:pStyle w:val="ListBullet2"/>
            </w:pPr>
            <w:r w:rsidRPr="00DE626F">
              <w:t>methods of calculation used to correct for</w:t>
            </w:r>
          </w:p>
          <w:p w:rsidR="00000000" w:rsidRPr="00DE626F" w:rsidP="00DE626F">
            <w:pPr>
              <w:pStyle w:val="ListBullet2"/>
            </w:pPr>
            <w:r w:rsidRPr="00DE626F">
              <w:t>additions.</w:t>
            </w:r>
          </w:p>
          <w:p w:rsidR="00000000" w:rsidRPr="00DE626F" w:rsidP="00DE626F">
            <w:pPr>
              <w:pStyle w:val="ListBullet2"/>
            </w:pPr>
            <w:r w:rsidRPr="00DE626F">
              <w:t>types of alloy additions.</w:t>
            </w:r>
          </w:p>
          <w:p w:rsidR="00000000" w:rsidRPr="00DE626F" w:rsidP="00DE626F">
            <w:pPr>
              <w:pStyle w:val="ListBullet"/>
            </w:pPr>
            <w:r w:rsidRPr="00DE626F">
              <w:t>Steel</w:t>
            </w:r>
          </w:p>
          <w:p w:rsidR="00000000" w:rsidRPr="00DE626F" w:rsidP="00DE626F">
            <w:pPr>
              <w:pStyle w:val="ListBullet2"/>
            </w:pPr>
            <w:r w:rsidRPr="00DE626F">
              <w:t>induction furnace melting; principles; refractories.</w:t>
            </w:r>
          </w:p>
          <w:p w:rsidR="00000000" w:rsidRPr="00DE626F" w:rsidP="00DE626F">
            <w:pPr>
              <w:pStyle w:val="ListBullet2"/>
            </w:pPr>
            <w:r w:rsidRPr="00DE626F">
              <w:t>arc furnace melting; acid, basic, single slag,</w:t>
            </w:r>
          </w:p>
          <w:p w:rsidR="00000000" w:rsidRPr="00DE626F" w:rsidP="00DE626F">
            <w:pPr>
              <w:pStyle w:val="ListBullet2"/>
            </w:pPr>
            <w:r w:rsidRPr="00DE626F">
              <w:t>double slag, deoxidisation, hydrogen control.</w:t>
            </w:r>
          </w:p>
          <w:p w:rsidR="00000000" w:rsidRPr="00DE626F" w:rsidP="00DE626F">
            <w:pPr>
              <w:pStyle w:val="ListBullet2"/>
            </w:pPr>
            <w:r w:rsidRPr="00DE626F">
              <w:t>ladle refining</w:t>
            </w:r>
          </w:p>
          <w:p w:rsidR="00000000" w:rsidRPr="00DE626F" w:rsidP="00DE626F">
            <w:pPr>
              <w:pStyle w:val="ListBullet"/>
            </w:pPr>
            <w:r w:rsidRPr="00DE626F">
              <w:t>Cast iron</w:t>
            </w:r>
          </w:p>
          <w:p w:rsidR="00000000" w:rsidRPr="00DE626F" w:rsidP="00DE626F">
            <w:pPr>
              <w:pStyle w:val="ListBullet2"/>
            </w:pPr>
            <w:r w:rsidRPr="00DE626F">
              <w:t>types of cast iron</w:t>
            </w:r>
          </w:p>
          <w:p w:rsidR="00000000" w:rsidRPr="00DE626F" w:rsidP="00DE626F">
            <w:pPr>
              <w:pStyle w:val="ListBullet2"/>
            </w:pPr>
            <w:r w:rsidRPr="00DE626F">
              <w:t>influence of carbon and silicon contents</w:t>
            </w:r>
          </w:p>
          <w:p w:rsidR="00000000" w:rsidRPr="00DE626F" w:rsidP="00DE626F">
            <w:pPr>
              <w:pStyle w:val="ListBullet2"/>
            </w:pPr>
            <w:r w:rsidRPr="00DE626F">
              <w:t>carbon equivalent. effect of cooling rate.</w:t>
            </w:r>
          </w:p>
          <w:p w:rsidR="00000000" w:rsidRPr="00DE626F" w:rsidP="00DE626F">
            <w:pPr>
              <w:pStyle w:val="ListBullet2"/>
            </w:pPr>
            <w:r w:rsidRPr="00DE626F">
              <w:t>microstructure, classification of graphite.</w:t>
            </w:r>
          </w:p>
          <w:p w:rsidR="00000000" w:rsidRPr="00DE626F" w:rsidP="00DE626F">
            <w:pPr>
              <w:pStyle w:val="ListBullet2"/>
            </w:pPr>
            <w:r w:rsidRPr="00DE626F">
              <w:t>carbide stabilisers and graphite.</w:t>
            </w:r>
          </w:p>
          <w:p w:rsidR="00000000" w:rsidRPr="00DE626F" w:rsidP="00DE626F">
            <w:pPr>
              <w:pStyle w:val="ListBullet2"/>
            </w:pPr>
            <w:r w:rsidRPr="00DE626F">
              <w:t>innoculation, types of innoculant.</w:t>
            </w:r>
          </w:p>
          <w:p w:rsidR="00000000" w:rsidRPr="00DE626F" w:rsidP="00DE626F">
            <w:pPr>
              <w:pStyle w:val="ListBullet2"/>
            </w:pPr>
            <w:r w:rsidRPr="00DE626F">
              <w:t>spheroidal graphite formation and treatment</w:t>
            </w:r>
          </w:p>
          <w:p w:rsidR="00000000" w:rsidRPr="00DE626F" w:rsidP="00DE626F">
            <w:pPr>
              <w:pStyle w:val="ListBullet2"/>
            </w:pPr>
            <w:r w:rsidRPr="00DE626F">
              <w:t>methods.</w:t>
            </w:r>
          </w:p>
          <w:p w:rsidR="00000000" w:rsidRPr="00DE626F" w:rsidP="00DE626F">
            <w:pPr>
              <w:pStyle w:val="ListBullet2"/>
            </w:pPr>
            <w:r w:rsidRPr="00DE626F">
              <w:t>casting characteristics of grey, S.G and malleable</w:t>
            </w:r>
          </w:p>
          <w:p w:rsidR="00000000" w:rsidRPr="00DE626F" w:rsidP="00DE626F">
            <w:pPr>
              <w:pStyle w:val="ListBullet2"/>
            </w:pPr>
            <w:r w:rsidRPr="00DE626F">
              <w:t>cast irons.</w:t>
            </w:r>
          </w:p>
          <w:p w:rsidR="00000000" w:rsidRPr="00DE626F" w:rsidP="00DE626F">
            <w:pPr>
              <w:pStyle w:val="ListBullet"/>
            </w:pPr>
            <w:r w:rsidRPr="00DE626F">
              <w:t>Ferrous alloys:</w:t>
            </w:r>
          </w:p>
          <w:p w:rsidR="00000000" w:rsidRPr="00DE626F" w:rsidP="00DE626F">
            <w:pPr>
              <w:pStyle w:val="ListBullet2"/>
            </w:pPr>
            <w:r w:rsidRPr="00DE626F">
              <w:t>definitions:</w:t>
            </w:r>
          </w:p>
          <w:p w:rsidR="00000000" w:rsidRPr="00DE626F" w:rsidP="00DE626F">
            <w:pPr>
              <w:pStyle w:val="ListBullet2"/>
            </w:pPr>
            <w:r w:rsidRPr="00DE626F">
              <w:t>iron</w:t>
            </w:r>
          </w:p>
          <w:p w:rsidR="00000000" w:rsidRPr="00DE626F" w:rsidP="00DE626F">
            <w:pPr>
              <w:pStyle w:val="ListBullet2"/>
            </w:pPr>
            <w:r w:rsidRPr="00DE626F">
              <w:t>steel</w:t>
            </w:r>
          </w:p>
          <w:p w:rsidR="00000000" w:rsidRPr="00DE626F" w:rsidP="00DE626F">
            <w:pPr>
              <w:pStyle w:val="ListBullet2"/>
            </w:pPr>
            <w:r w:rsidRPr="00DE626F">
              <w:t>physical properties:</w:t>
            </w:r>
          </w:p>
          <w:p w:rsidR="00000000" w:rsidRPr="00DE626F" w:rsidP="00DE626F">
            <w:pPr>
              <w:pStyle w:val="ListBullet2"/>
            </w:pPr>
            <w:r w:rsidRPr="00DE626F">
              <w:t>density</w:t>
            </w:r>
          </w:p>
          <w:p w:rsidR="00000000" w:rsidRPr="00DE626F" w:rsidP="00DE626F">
            <w:pPr>
              <w:pStyle w:val="ListBullet2"/>
            </w:pPr>
            <w:r w:rsidRPr="00DE626F">
              <w:t>tensile</w:t>
            </w:r>
          </w:p>
          <w:p w:rsidR="00000000" w:rsidRPr="00DE626F" w:rsidP="00DE626F">
            <w:pPr>
              <w:pStyle w:val="ListBullet2"/>
            </w:pPr>
            <w:r w:rsidRPr="00DE626F">
              <w:t>hardness</w:t>
            </w:r>
          </w:p>
          <w:p w:rsidR="00000000" w:rsidRPr="00DE626F" w:rsidP="00DE626F">
            <w:pPr>
              <w:pStyle w:val="ListBullet2"/>
            </w:pPr>
            <w:r w:rsidRPr="00DE626F">
              <w:t>melting points</w:t>
            </w:r>
          </w:p>
          <w:p w:rsidR="00000000" w:rsidRPr="00DE626F" w:rsidP="00DE626F">
            <w:pPr>
              <w:pStyle w:val="ListBullet2"/>
            </w:pPr>
            <w:r w:rsidRPr="00DE626F">
              <w:t>shrinkage percent</w:t>
            </w:r>
          </w:p>
          <w:p w:rsidR="00000000" w:rsidRPr="00DE626F" w:rsidP="00DE626F">
            <w:pPr>
              <w:pStyle w:val="ListBullet2"/>
            </w:pPr>
            <w:r w:rsidRPr="00DE626F">
              <w:t>casting temperature</w:t>
            </w:r>
          </w:p>
          <w:p w:rsidR="00000000" w:rsidRPr="00DE626F" w:rsidP="00DE626F">
            <w:pPr>
              <w:pStyle w:val="ListBullet2"/>
            </w:pPr>
            <w:r w:rsidRPr="00DE626F">
              <w:t>S.G. iron</w:t>
            </w:r>
          </w:p>
          <w:p w:rsidR="00000000" w:rsidRPr="00DE626F" w:rsidP="00DE626F">
            <w:pPr>
              <w:pStyle w:val="ListBullet2"/>
            </w:pPr>
            <w:r w:rsidRPr="00DE626F">
              <w:t>ductile iron</w:t>
            </w:r>
          </w:p>
          <w:p w:rsidR="00000000" w:rsidRPr="00DE626F" w:rsidP="00DE626F">
            <w:pPr>
              <w:pStyle w:val="ListBullet2"/>
            </w:pPr>
            <w:r w:rsidRPr="00DE626F">
              <w:t>carbon steel</w:t>
            </w:r>
          </w:p>
          <w:p w:rsidR="00000000" w:rsidRPr="00DE626F" w:rsidP="00DE626F">
            <w:pPr>
              <w:pStyle w:val="ListBullet2"/>
            </w:pPr>
            <w:r w:rsidRPr="00DE626F">
              <w:t>grey and white irons</w:t>
            </w:r>
          </w:p>
          <w:p w:rsidR="00000000" w:rsidRPr="00DE626F" w:rsidP="00DE626F">
            <w:pPr>
              <w:pStyle w:val="ListBullet2"/>
            </w:pPr>
            <w:r w:rsidRPr="00DE626F">
              <w:t>alloy cast irons</w:t>
            </w:r>
          </w:p>
          <w:p w:rsidR="00000000" w:rsidRPr="00DE626F" w:rsidP="00DE626F">
            <w:pPr>
              <w:pStyle w:val="ListBullet2"/>
            </w:pPr>
            <w:r w:rsidRPr="00DE626F">
              <w:t>alloys steels</w:t>
            </w:r>
          </w:p>
          <w:p w:rsidR="00000000" w:rsidRPr="00DE626F" w:rsidP="00DE626F">
            <w:pPr>
              <w:pStyle w:val="ListBullet2"/>
            </w:pPr>
            <w:r w:rsidRPr="00DE626F">
              <w:t>chilled and malleable iron</w:t>
            </w:r>
          </w:p>
          <w:p w:rsidR="00000000" w:rsidRPr="00DE626F" w:rsidP="00DE626F">
            <w:pPr>
              <w:pStyle w:val="ListBullet2"/>
            </w:pPr>
            <w:r w:rsidRPr="00DE626F">
              <w:t>selection:</w:t>
            </w:r>
          </w:p>
          <w:p w:rsidR="00000000" w:rsidRPr="00DE626F" w:rsidP="00DE626F">
            <w:pPr>
              <w:pStyle w:val="ListBullet2"/>
            </w:pPr>
            <w:r w:rsidRPr="00DE626F">
              <w:t>customer requirements</w:t>
            </w:r>
          </w:p>
          <w:p w:rsidR="00000000" w:rsidRPr="00DE626F" w:rsidP="00DE626F">
            <w:pPr>
              <w:pStyle w:val="ListBullet2"/>
            </w:pPr>
            <w:r w:rsidRPr="00DE626F">
              <w:t>manufacturer's requirements</w:t>
            </w:r>
          </w:p>
          <w:p w:rsidR="00000000" w:rsidRPr="00DE626F" w:rsidP="00DE626F">
            <w:pPr>
              <w:pStyle w:val="ListBullet2"/>
            </w:pPr>
            <w:r w:rsidRPr="00DE626F">
              <w:t>metal analysis</w:t>
            </w:r>
          </w:p>
          <w:p w:rsidR="00000000" w:rsidRPr="00DE626F" w:rsidP="00DE626F">
            <w:pPr>
              <w:pStyle w:val="ListBullet2"/>
            </w:pPr>
            <w:r w:rsidRPr="00DE626F">
              <w:t>Australian standards</w:t>
            </w:r>
          </w:p>
          <w:p w:rsidR="00000000" w:rsidRPr="00DE626F" w:rsidP="00DE626F">
            <w:pPr>
              <w:pStyle w:val="ListBullet"/>
            </w:pPr>
            <w:r w:rsidRPr="00DE626F">
              <w:t>Types of furnaces:</w:t>
            </w:r>
          </w:p>
          <w:p w:rsidR="00000000" w:rsidRPr="00DE626F" w:rsidP="00DE626F">
            <w:pPr>
              <w:pStyle w:val="ListBullet2"/>
            </w:pPr>
            <w:r w:rsidRPr="00DE626F">
              <w:t>blast furnace</w:t>
            </w:r>
          </w:p>
          <w:p w:rsidR="00000000" w:rsidRPr="00DE626F" w:rsidP="00DE626F">
            <w:pPr>
              <w:pStyle w:val="ListBullet2"/>
            </w:pPr>
            <w:r w:rsidRPr="00DE626F">
              <w:t>cupola</w:t>
            </w:r>
          </w:p>
          <w:p w:rsidR="00000000" w:rsidRPr="00DE626F" w:rsidP="00DE626F">
            <w:pPr>
              <w:pStyle w:val="ListBullet2"/>
            </w:pPr>
            <w:r w:rsidRPr="00DE626F">
              <w:t>induction</w:t>
            </w:r>
          </w:p>
          <w:p w:rsidR="00000000" w:rsidRPr="00DE626F" w:rsidP="00DE626F">
            <w:pPr>
              <w:pStyle w:val="ListBullet2"/>
            </w:pPr>
            <w:r w:rsidRPr="00DE626F">
              <w:t>direct arc</w:t>
            </w:r>
          </w:p>
          <w:p w:rsidR="00000000" w:rsidRPr="00DE626F" w:rsidP="00DE626F">
            <w:pPr>
              <w:pStyle w:val="ListBullet2"/>
            </w:pPr>
            <w:r w:rsidRPr="00DE626F">
              <w:t>indirect arc</w:t>
            </w:r>
          </w:p>
          <w:p w:rsidR="00000000" w:rsidRPr="00DE626F" w:rsidP="00DE626F">
            <w:pPr>
              <w:pStyle w:val="ListBullet2"/>
            </w:pPr>
            <w:r w:rsidRPr="00DE626F">
              <w:t>open hearth</w:t>
            </w:r>
          </w:p>
          <w:p w:rsidR="00000000" w:rsidRPr="00DE626F" w:rsidP="00DE626F">
            <w:pPr>
              <w:pStyle w:val="ListBullet2"/>
            </w:pPr>
            <w:r w:rsidRPr="00DE626F">
              <w:t>reverberatory</w:t>
            </w:r>
          </w:p>
          <w:p w:rsidR="00000000" w:rsidRPr="00DE626F" w:rsidP="00DE626F">
            <w:pPr>
              <w:pStyle w:val="ListBullet2"/>
            </w:pPr>
            <w:r w:rsidRPr="00DE626F">
              <w:t>rotary</w:t>
            </w:r>
          </w:p>
          <w:p w:rsidR="00000000" w:rsidRPr="00DE626F" w:rsidP="00DE626F">
            <w:pPr>
              <w:pStyle w:val="ListBullet2"/>
            </w:pPr>
            <w:r w:rsidRPr="00DE626F">
              <w:t>maintenance</w:t>
            </w:r>
          </w:p>
          <w:p w:rsidR="00000000" w:rsidRPr="00DE626F" w:rsidP="00DE626F">
            <w:pPr>
              <w:pStyle w:val="ListBullet"/>
            </w:pPr>
            <w:r w:rsidRPr="00DE626F">
              <w:t>Refractories:</w:t>
            </w:r>
          </w:p>
          <w:p w:rsidR="00000000" w:rsidRPr="00DE626F" w:rsidP="00DE626F">
            <w:pPr>
              <w:pStyle w:val="ListBullet2"/>
            </w:pPr>
            <w:r w:rsidRPr="00DE626F">
              <w:t>dolomite</w:t>
            </w:r>
          </w:p>
          <w:p w:rsidR="00000000" w:rsidRPr="00DE626F" w:rsidP="00DE626F">
            <w:pPr>
              <w:pStyle w:val="ListBullet2"/>
            </w:pPr>
            <w:r w:rsidRPr="00DE626F">
              <w:t>silica brick</w:t>
            </w:r>
          </w:p>
          <w:p w:rsidR="00000000" w:rsidRPr="00DE626F" w:rsidP="00DE626F">
            <w:pPr>
              <w:pStyle w:val="ListBullet2"/>
            </w:pPr>
            <w:r w:rsidRPr="00DE626F">
              <w:t>chrome brick</w:t>
            </w:r>
          </w:p>
          <w:p w:rsidR="00000000" w:rsidRPr="00DE626F" w:rsidP="00DE626F">
            <w:pPr>
              <w:pStyle w:val="ListBullet2"/>
            </w:pPr>
            <w:r w:rsidRPr="00DE626F">
              <w:t>ganister</w:t>
            </w:r>
          </w:p>
          <w:p w:rsidR="00000000" w:rsidRPr="00DE626F" w:rsidP="00DE626F">
            <w:pPr>
              <w:pStyle w:val="ListBullet2"/>
            </w:pPr>
            <w:r w:rsidRPr="00DE626F">
              <w:t>fireclay</w:t>
            </w:r>
          </w:p>
          <w:p w:rsidR="00000000" w:rsidRPr="00DE626F" w:rsidP="00DE626F">
            <w:pPr>
              <w:pStyle w:val="ListBullet2"/>
            </w:pPr>
            <w:r w:rsidRPr="00DE626F">
              <w:t>firebrick</w:t>
            </w:r>
          </w:p>
          <w:p w:rsidR="00000000" w:rsidRPr="00DE626F" w:rsidP="00DE626F">
            <w:pPr>
              <w:pStyle w:val="ListBullet2"/>
            </w:pPr>
            <w:r w:rsidRPr="00DE626F">
              <w:t>magnesite</w:t>
            </w:r>
          </w:p>
          <w:p w:rsidR="00000000" w:rsidRPr="00DE626F" w:rsidP="00DE626F">
            <w:pPr>
              <w:pStyle w:val="ListBullet2"/>
            </w:pPr>
            <w:r w:rsidRPr="00DE626F">
              <w:t>kyanite</w:t>
            </w:r>
          </w:p>
          <w:p w:rsidR="00000000" w:rsidRPr="00DE626F" w:rsidP="00DE626F">
            <w:pPr>
              <w:pStyle w:val="ListBullet2"/>
            </w:pPr>
            <w:r w:rsidRPr="00DE626F">
              <w:t>fused alumina</w:t>
            </w:r>
          </w:p>
          <w:p w:rsidR="00000000" w:rsidRPr="00DE626F" w:rsidP="00DE626F">
            <w:pPr>
              <w:pStyle w:val="ListBullet"/>
            </w:pPr>
            <w:r w:rsidRPr="00DE626F">
              <w:t>Linings:</w:t>
            </w:r>
          </w:p>
          <w:p w:rsidR="00000000" w:rsidRPr="00DE626F" w:rsidP="00DE626F">
            <w:pPr>
              <w:pStyle w:val="ListBullet2"/>
            </w:pPr>
            <w:r w:rsidRPr="00DE626F">
              <w:t>monolithic</w:t>
            </w:r>
          </w:p>
          <w:p w:rsidR="00000000" w:rsidRPr="00DE626F" w:rsidP="00DE626F">
            <w:pPr>
              <w:pStyle w:val="ListBullet2"/>
            </w:pPr>
            <w:r w:rsidRPr="00DE626F">
              <w:t>castable</w:t>
            </w:r>
          </w:p>
          <w:p w:rsidR="00000000" w:rsidRPr="00DE626F" w:rsidP="00DE626F">
            <w:pPr>
              <w:pStyle w:val="ListBullet2"/>
            </w:pPr>
            <w:r w:rsidRPr="00DE626F">
              <w:t>rammable</w:t>
            </w:r>
          </w:p>
          <w:p w:rsidR="00000000" w:rsidRPr="00DE626F" w:rsidP="00DE626F">
            <w:pPr>
              <w:pStyle w:val="ListBullet2"/>
            </w:pPr>
            <w:r w:rsidRPr="00DE626F">
              <w:t>bricks</w:t>
            </w:r>
          </w:p>
          <w:p w:rsidR="00000000" w:rsidRPr="00DE626F" w:rsidP="00DE626F">
            <w:pPr>
              <w:pStyle w:val="ListBullet2"/>
            </w:pPr>
            <w:r w:rsidRPr="00DE626F">
              <w:t>basic</w:t>
            </w:r>
          </w:p>
          <w:p w:rsidR="00000000" w:rsidRPr="00DE626F" w:rsidP="00DE626F">
            <w:pPr>
              <w:pStyle w:val="ListBullet2"/>
            </w:pPr>
            <w:r w:rsidRPr="00DE626F">
              <w:t>acid</w:t>
            </w:r>
          </w:p>
          <w:p w:rsidR="00000000" w:rsidRPr="00DE626F" w:rsidP="00DE626F">
            <w:pPr>
              <w:pStyle w:val="ListBullet2"/>
            </w:pPr>
            <w:r w:rsidRPr="00DE626F">
              <w:t>neutral</w:t>
            </w:r>
          </w:p>
          <w:p w:rsidR="00000000" w:rsidRPr="00DE626F" w:rsidP="00DE626F">
            <w:pPr>
              <w:pStyle w:val="ListBullet"/>
            </w:pPr>
            <w:r w:rsidRPr="00DE626F">
              <w:t>Types of ladles:</w:t>
            </w:r>
          </w:p>
          <w:p w:rsidR="00000000" w:rsidRPr="00DE626F" w:rsidP="00DE626F">
            <w:pPr>
              <w:pStyle w:val="ListBullet2"/>
            </w:pPr>
            <w:r w:rsidRPr="00DE626F">
              <w:t>lip</w:t>
            </w:r>
          </w:p>
          <w:p w:rsidR="00000000" w:rsidRPr="00DE626F" w:rsidP="00DE626F">
            <w:pPr>
              <w:pStyle w:val="ListBullet2"/>
            </w:pPr>
            <w:r w:rsidRPr="00DE626F">
              <w:t>tea pot</w:t>
            </w:r>
          </w:p>
          <w:p w:rsidR="00000000" w:rsidRPr="00DE626F" w:rsidP="00DE626F">
            <w:pPr>
              <w:pStyle w:val="ListBullet2"/>
            </w:pPr>
            <w:r w:rsidRPr="00DE626F">
              <w:t>bottom pour</w:t>
            </w:r>
          </w:p>
          <w:p w:rsidR="00000000" w:rsidRPr="00DE626F" w:rsidP="00DE626F">
            <w:pPr>
              <w:pStyle w:val="ListBullet2"/>
            </w:pPr>
            <w:r w:rsidRPr="00DE626F">
              <w:t>safety with ladles</w:t>
            </w:r>
          </w:p>
          <w:p w:rsidR="00000000" w:rsidRPr="00DE626F" w:rsidP="00DE626F">
            <w:pPr>
              <w:pStyle w:val="ListBullet2"/>
            </w:pPr>
            <w:r w:rsidRPr="00DE626F">
              <w:t>maintenance</w:t>
            </w:r>
          </w:p>
          <w:p w:rsidR="00000000" w:rsidRPr="00DE626F" w:rsidP="00DE626F">
            <w:pPr>
              <w:pStyle w:val="ListBullet"/>
            </w:pPr>
            <w:r w:rsidRPr="00DE626F">
              <w:t>Safety:</w:t>
            </w:r>
          </w:p>
          <w:p w:rsidR="00000000" w:rsidRPr="00DE626F" w:rsidP="00DE626F">
            <w:pPr>
              <w:pStyle w:val="ListBullet2"/>
            </w:pPr>
            <w:r w:rsidRPr="00DE626F">
              <w:t>house keeping</w:t>
            </w:r>
          </w:p>
          <w:p w:rsidR="00000000" w:rsidRPr="00DE626F" w:rsidP="00DE626F">
            <w:pPr>
              <w:pStyle w:val="ListBullet2"/>
            </w:pPr>
            <w:r w:rsidRPr="00DE626F">
              <w:t>personal clothing/gear</w:t>
            </w:r>
          </w:p>
          <w:p w:rsidR="00000000" w:rsidRPr="00DE626F" w:rsidP="00DE626F">
            <w:pPr>
              <w:pStyle w:val="ListBullet2"/>
            </w:pPr>
            <w:r w:rsidRPr="00DE626F">
              <w:t>dry area</w:t>
            </w:r>
          </w:p>
          <w:p w:rsidR="00000000" w:rsidRPr="00DE626F" w:rsidP="00DE626F">
            <w:pPr>
              <w:pStyle w:val="ListBullet2"/>
            </w:pPr>
            <w:r w:rsidRPr="00DE626F">
              <w:t>pre-heat ladles</w:t>
            </w:r>
          </w:p>
          <w:p w:rsidR="00000000" w:rsidRPr="00DE626F" w:rsidP="00DE626F">
            <w:pPr>
              <w:pStyle w:val="ListBullet2"/>
            </w:pPr>
            <w:r w:rsidRPr="00DE626F">
              <w:t>overhead cranes</w:t>
            </w:r>
          </w:p>
          <w:p w:rsidR="00000000" w:rsidRPr="00DE626F" w:rsidP="00DE626F">
            <w:pPr>
              <w:pStyle w:val="ListBullet"/>
            </w:pPr>
            <w:r w:rsidRPr="00DE626F">
              <w:t>Furnace operation:</w:t>
            </w:r>
          </w:p>
          <w:p w:rsidR="00000000" w:rsidRPr="00DE626F" w:rsidP="00DE626F">
            <w:pPr>
              <w:pStyle w:val="ListBullet2"/>
            </w:pPr>
            <w:r w:rsidRPr="00DE626F">
              <w:t>personal clothing/gear</w:t>
            </w:r>
          </w:p>
          <w:p w:rsidR="00000000" w:rsidRPr="00DE626F" w:rsidP="00DE626F">
            <w:pPr>
              <w:pStyle w:val="ListBullet2"/>
            </w:pPr>
            <w:r w:rsidRPr="00DE626F">
              <w:t>dry charge/equipment</w:t>
            </w:r>
          </w:p>
          <w:p w:rsidR="00000000" w:rsidRPr="00DE626F" w:rsidP="00DE626F">
            <w:pPr>
              <w:pStyle w:val="ListBullet2"/>
            </w:pPr>
            <w:r w:rsidRPr="00DE626F">
              <w:t>pre-heating</w:t>
            </w:r>
          </w:p>
          <w:p w:rsidR="00000000" w:rsidRPr="00DE626F" w:rsidP="00DE626F">
            <w:pPr>
              <w:pStyle w:val="ListBullet2"/>
            </w:pPr>
            <w:r w:rsidRPr="00DE626F">
              <w:t>scrap selection</w:t>
            </w:r>
          </w:p>
          <w:p w:rsidR="00000000" w:rsidRPr="00DE626F" w:rsidP="00DE626F">
            <w:pPr>
              <w:pStyle w:val="ListBullet2"/>
            </w:pPr>
            <w:r w:rsidRPr="00DE626F">
              <w:t>house keeping</w:t>
            </w:r>
          </w:p>
          <w:p w:rsidR="00000000" w:rsidRPr="00DE626F" w:rsidP="00DE626F">
            <w:pPr>
              <w:pStyle w:val="ListBullet2"/>
            </w:pPr>
            <w:r w:rsidRPr="00DE626F">
              <w:t>melting program</w:t>
            </w:r>
          </w:p>
          <w:p w:rsidR="00000000" w:rsidRPr="00DE626F" w:rsidP="00DE626F">
            <w:pPr>
              <w:pStyle w:val="ListBullet2"/>
            </w:pPr>
            <w:r w:rsidRPr="00DE626F">
              <w:t>alloying program</w:t>
            </w:r>
          </w:p>
          <w:p w:rsidR="00000000" w:rsidRPr="00DE626F" w:rsidP="00DE626F">
            <w:pPr>
              <w:pStyle w:val="ListBullet2"/>
            </w:pPr>
            <w:r w:rsidRPr="00DE626F">
              <w:t>calculations</w:t>
            </w:r>
          </w:p>
          <w:p w:rsidR="00000000" w:rsidRPr="00DE626F" w:rsidP="00DE626F">
            <w:pPr>
              <w:pStyle w:val="ListBullet2"/>
            </w:pPr>
            <w:r w:rsidRPr="00DE626F">
              <w:t>percentages, ratio</w:t>
            </w:r>
          </w:p>
          <w:p w:rsidR="00000000" w:rsidRPr="00DE626F" w:rsidP="00DE626F">
            <w:pPr>
              <w:pStyle w:val="ListBullet2"/>
            </w:pPr>
            <w:r w:rsidRPr="00DE626F">
              <w:t>charge calculations</w:t>
            </w:r>
          </w:p>
          <w:p w:rsidR="00000000" w:rsidRPr="00DE626F" w:rsidP="00DE626F">
            <w:pPr>
              <w:pStyle w:val="ListBullet2"/>
            </w:pPr>
            <w:r w:rsidRPr="00DE626F">
              <w:t>maintenance</w:t>
            </w:r>
          </w:p>
          <w:p w:rsidR="00000000" w:rsidRPr="00DE626F" w:rsidP="00DE626F">
            <w:pPr>
              <w:pStyle w:val="ListBullet"/>
            </w:pPr>
            <w:r w:rsidRPr="00DE626F">
              <w:t>Types of control equipment:</w:t>
            </w:r>
          </w:p>
          <w:p w:rsidR="00000000" w:rsidRPr="00DE626F" w:rsidP="00DE626F">
            <w:pPr>
              <w:pStyle w:val="ListBullet2"/>
            </w:pPr>
            <w:r w:rsidRPr="00DE626F">
              <w:t>carbon equivalent</w:t>
            </w:r>
          </w:p>
          <w:p w:rsidR="00000000" w:rsidRPr="00DE626F" w:rsidP="00DE626F">
            <w:pPr>
              <w:pStyle w:val="ListBullet2"/>
            </w:pPr>
            <w:r w:rsidRPr="00DE626F">
              <w:t>wedge test</w:t>
            </w:r>
          </w:p>
          <w:p w:rsidR="00000000" w:rsidRPr="00DE626F" w:rsidP="00DE626F">
            <w:pPr>
              <w:pStyle w:val="ListBullet2"/>
            </w:pPr>
            <w:r w:rsidRPr="00DE626F">
              <w:t>fluidity spiral test</w:t>
            </w:r>
          </w:p>
          <w:p w:rsidR="00000000" w:rsidRPr="00DE626F" w:rsidP="00DE626F">
            <w:pPr>
              <w:pStyle w:val="ListBullet2"/>
            </w:pPr>
            <w:r w:rsidRPr="00DE626F">
              <w:t>chemical analysis</w:t>
            </w:r>
          </w:p>
          <w:p w:rsidR="00000000" w:rsidRPr="00DE626F" w:rsidP="00DE626F">
            <w:pPr>
              <w:pStyle w:val="ListBullet2"/>
            </w:pPr>
            <w:r w:rsidRPr="00DE626F">
              <w:t>wet</w:t>
            </w:r>
          </w:p>
          <w:p w:rsidR="00000000" w:rsidRPr="00DE626F" w:rsidP="00DE626F">
            <w:pPr>
              <w:pStyle w:val="ListBullet2"/>
            </w:pPr>
            <w:r w:rsidRPr="00DE626F">
              <w:t>spectrograph</w:t>
            </w:r>
          </w:p>
          <w:p w:rsidR="00000000" w:rsidRPr="00DE626F" w:rsidP="00DE626F">
            <w:pPr>
              <w:pStyle w:val="ListBullet2"/>
            </w:pPr>
            <w:r w:rsidRPr="00DE626F">
              <w:t>sample spoons</w:t>
            </w:r>
          </w:p>
          <w:p w:rsidR="00000000" w:rsidRPr="00DE626F" w:rsidP="00DE626F">
            <w:pPr>
              <w:pStyle w:val="ListBullet2"/>
            </w:pPr>
            <w:r w:rsidRPr="00DE626F">
              <w:t>sample moulds</w:t>
            </w:r>
          </w:p>
          <w:p w:rsidR="00000000" w:rsidRPr="00DE626F" w:rsidP="00DE626F">
            <w:pPr>
              <w:pStyle w:val="ListBullet2"/>
            </w:pPr>
            <w:r w:rsidRPr="00DE626F">
              <w:t>deoxidising</w:t>
            </w:r>
          </w:p>
          <w:p w:rsidR="00000000" w:rsidRPr="00DE626F" w:rsidP="00DE626F">
            <w:pPr>
              <w:pStyle w:val="ListBullet2"/>
            </w:pPr>
            <w:r w:rsidRPr="00DE626F">
              <w:t>degassing</w:t>
            </w:r>
          </w:p>
          <w:p w:rsidR="00000000" w:rsidRPr="00DE626F" w:rsidP="00DE626F">
            <w:pPr>
              <w:pStyle w:val="ListBullet2"/>
            </w:pPr>
            <w:r w:rsidRPr="00DE626F">
              <w:t>temperature measurement</w:t>
            </w:r>
          </w:p>
          <w:p w:rsidR="00000000" w:rsidRPr="00DE626F" w:rsidP="00DE626F">
            <w:pPr>
              <w:pStyle w:val="ListBullet"/>
            </w:pPr>
            <w:r w:rsidRPr="00DE626F">
              <w:t>Quality control:</w:t>
            </w:r>
          </w:p>
          <w:p w:rsidR="00000000" w:rsidRPr="00DE626F" w:rsidP="00DE626F">
            <w:pPr>
              <w:pStyle w:val="ListBullet2"/>
            </w:pPr>
            <w:r w:rsidRPr="00DE626F">
              <w:t>accurate weighing</w:t>
            </w:r>
          </w:p>
          <w:p w:rsidR="00000000" w:rsidRPr="00DE626F" w:rsidP="00DE626F">
            <w:pPr>
              <w:pStyle w:val="ListBullet2"/>
            </w:pPr>
            <w:r w:rsidRPr="00DE626F">
              <w:t>correct analysis</w:t>
            </w:r>
          </w:p>
          <w:p w:rsidR="00000000" w:rsidRPr="00DE626F" w:rsidP="00DE626F">
            <w:pPr>
              <w:pStyle w:val="ListBullet2"/>
            </w:pPr>
            <w:r w:rsidRPr="00DE626F">
              <w:t>temperature control</w:t>
            </w:r>
          </w:p>
          <w:p w:rsidR="00000000" w:rsidRPr="00DE626F" w:rsidP="00DE626F">
            <w:pPr>
              <w:pStyle w:val="ListBullet2"/>
            </w:pPr>
            <w:r w:rsidRPr="00DE626F">
              <w:t>slag control (including chemistry and interaction with molten bath)</w:t>
            </w:r>
          </w:p>
          <w:p w:rsidR="00000000" w:rsidRPr="00DE626F" w:rsidP="00DE626F">
            <w:pPr>
              <w:pStyle w:val="ListBullet2"/>
            </w:pPr>
            <w:r w:rsidRPr="00DE626F">
              <w:t>alloying procedure</w:t>
            </w:r>
          </w:p>
          <w:p w:rsidR="00000000" w:rsidRPr="00DE626F" w:rsidP="00DE626F">
            <w:pPr>
              <w:pStyle w:val="ListBullet2"/>
            </w:pPr>
            <w:r w:rsidRPr="00DE626F">
              <w:t>thermal analysis</w:t>
            </w:r>
          </w:p>
          <w:p w:rsidR="00000000" w:rsidRPr="00DE626F" w:rsidP="00DE626F">
            <w:pPr>
              <w:pStyle w:val="ListBullet2"/>
            </w:pPr>
            <w:r w:rsidRPr="00DE626F">
              <w:t>degassing</w:t>
            </w:r>
          </w:p>
          <w:p w:rsidR="00000000" w:rsidRPr="00DE626F" w:rsidP="00DE626F">
            <w:pPr>
              <w:pStyle w:val="ListBullet2"/>
            </w:pPr>
            <w:r w:rsidRPr="00DE626F">
              <w:t>deoxidising</w:t>
            </w:r>
          </w:p>
          <w:p w:rsidR="00000000" w:rsidRPr="00DE626F" w:rsidP="00DE626F">
            <w:pPr>
              <w:pStyle w:val="ListBullet"/>
            </w:pPr>
            <w:r w:rsidRPr="00DE626F">
              <w:t>Defects:</w:t>
            </w:r>
          </w:p>
          <w:p w:rsidR="00000000" w:rsidRPr="00DE626F" w:rsidP="00DE626F">
            <w:pPr>
              <w:pStyle w:val="ListBullet2"/>
            </w:pPr>
            <w:r w:rsidRPr="00DE626F">
              <w:t>contamination</w:t>
            </w:r>
          </w:p>
          <w:p w:rsidR="00000000" w:rsidRPr="00DE626F" w:rsidP="00DE626F">
            <w:pPr>
              <w:pStyle w:val="ListBullet2"/>
            </w:pPr>
            <w:r w:rsidRPr="00DE626F">
              <w:t>gas absorption</w:t>
            </w:r>
          </w:p>
          <w:p w:rsidR="00000000" w:rsidRPr="00DE626F" w:rsidP="00DE626F">
            <w:pPr>
              <w:pStyle w:val="ListBullet2"/>
            </w:pPr>
            <w:r w:rsidRPr="00DE626F">
              <w:t>metal analysis</w:t>
            </w:r>
          </w:p>
          <w:p w:rsidR="00000000" w:rsidRPr="00DE626F" w:rsidP="00DE626F">
            <w:pPr>
              <w:pStyle w:val="ListBullet2"/>
            </w:pPr>
            <w:r w:rsidRPr="00DE626F">
              <w:t>temperature control</w:t>
            </w:r>
          </w:p>
          <w:p w:rsidR="00000000" w:rsidRPr="00DE626F" w:rsidP="00DE626F">
            <w:pPr>
              <w:pStyle w:val="ListBullet2"/>
            </w:pPr>
            <w:r w:rsidRPr="00DE626F">
              <w:t>oxidation</w:t>
            </w:r>
          </w:p>
          <w:p w:rsidR="00000000" w:rsidRPr="00DE626F" w:rsidP="00DE626F">
            <w:pPr>
              <w:pStyle w:val="ListBullet"/>
            </w:pPr>
            <w:r w:rsidRPr="00DE626F">
              <w:t>Alloy production:</w:t>
            </w:r>
          </w:p>
          <w:p w:rsidR="00000000" w:rsidRPr="00DE626F" w:rsidP="00DE626F">
            <w:pPr>
              <w:pStyle w:val="ListBullet2"/>
            </w:pPr>
            <w:r w:rsidRPr="00DE626F">
              <w:t>charge analysis</w:t>
            </w:r>
          </w:p>
          <w:p w:rsidR="00000000" w:rsidRPr="00DE626F" w:rsidP="00DE626F">
            <w:pPr>
              <w:pStyle w:val="ListBullet2"/>
            </w:pPr>
            <w:r w:rsidRPr="00DE626F">
              <w:t>charge calculation</w:t>
            </w:r>
          </w:p>
          <w:p w:rsidR="00000000" w:rsidRPr="00DE626F" w:rsidP="00DE626F">
            <w:pPr>
              <w:pStyle w:val="ListBullet2"/>
            </w:pPr>
            <w:r w:rsidRPr="00DE626F">
              <w:t>charge preparation</w:t>
            </w:r>
          </w:p>
          <w:p w:rsidR="00000000" w:rsidRPr="00DE626F" w:rsidP="00DE626F">
            <w:pPr>
              <w:pStyle w:val="ListBullet2"/>
            </w:pPr>
            <w:r w:rsidRPr="00DE626F">
              <w:t>melt control</w:t>
            </w:r>
          </w:p>
          <w:p w:rsidR="00000000" w:rsidRPr="00DE626F" w:rsidP="00DE626F">
            <w:pPr>
              <w:pStyle w:val="ListBullet2"/>
            </w:pPr>
            <w:r w:rsidRPr="00DE626F">
              <w:t>tapping/pouring</w:t>
            </w: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10" w:name="O_102012"/>
      <w:bookmarkEnd w:id="10"/>
      <w:r w:rsidRPr="00DE626F">
        <w:t>Evidence Guide</w:t>
      </w:r>
    </w:p>
    <w:tbl>
      <w:tblPr>
        <w:tblW w:w="0" w:type="auto"/>
        <w:tblCellMar>
          <w:left w:w="62" w:type="dxa"/>
          <w:right w:w="62" w:type="dxa"/>
        </w:tblCellMar>
        <w:tblLook w:val="0000"/>
      </w:tblPr>
      <w:tblGrid>
        <w:gridCol w:w="2515"/>
        <w:gridCol w:w="6681"/>
      </w:tblGrid>
      <w:tr w:rsidTr="009F781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EVIDENCE GUIDE</w:t>
            </w:r>
          </w:p>
        </w:tc>
      </w:tr>
      <w:tr w:rsidTr="009F781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t>The Evidence Guide provides advice on assessment and must be read in conjunction with the Performance Criteria, Required Skills and Knowledge, the Range Statement and the Assessment Guidelines for the TrainingPackage.</w:t>
            </w:r>
          </w:p>
        </w:tc>
      </w:tr>
      <w:tr w:rsidTr="009F781B">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E626F">
            <w:pPr>
              <w:pStyle w:val="BodyText"/>
              <w:rPr>
                <w:lang w:val="en-NZ"/>
              </w:rPr>
            </w:pPr>
            <w:r w:rsidRPr="00DE626F">
              <w:t xml:space="preserve">A person who </w:t>
            </w:r>
            <w:r w:rsidRPr="00DE626F">
              <w:t>demonstrates competency in this unit must be able to monitor basic ferrous melting and casting processes. Critical aspects for assessment and evidence are required to demonstrate competency in this unit</w:t>
            </w:r>
          </w:p>
        </w:tc>
      </w:tr>
      <w:tr w:rsidTr="009F781B">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DE626F" w:rsidP="00DE626F">
            <w:pPr>
              <w:pStyle w:val="BodyText"/>
            </w:pPr>
            <w:r w:rsidRPr="00DE626F">
              <w:t>It is essential that competence is demonstrated in the ability to:</w:t>
            </w:r>
          </w:p>
          <w:p w:rsidR="00000000" w:rsidRPr="00DE626F" w:rsidP="00DE626F">
            <w:pPr>
              <w:pStyle w:val="ListBullet"/>
            </w:pPr>
            <w:r w:rsidRPr="00DE626F">
              <w:t xml:space="preserve">Monitor the melting and casting of ferrous metal. Evidence should be provided from a number of </w:t>
            </w:r>
            <w:r w:rsidRPr="00DE626F">
              <w:t xml:space="preserve">castings using different alloys and or different moulds. </w:t>
            </w:r>
          </w:p>
          <w:p w:rsidR="00000000" w:rsidRPr="00DE626F" w:rsidP="00DE626F">
            <w:pPr>
              <w:pStyle w:val="ListBullet"/>
            </w:pPr>
            <w:r w:rsidRPr="00DE626F">
              <w:t>Safely operate melting furnace</w:t>
            </w:r>
          </w:p>
          <w:p w:rsidR="00000000" w:rsidP="00DE626F">
            <w:pPr>
              <w:pStyle w:val="ListBullet"/>
              <w:rPr>
                <w:lang w:val="en-NZ"/>
              </w:rPr>
            </w:pPr>
            <w:r w:rsidRPr="00DE626F">
              <w:t>Safely handle pouring equipment</w:t>
            </w:r>
          </w:p>
        </w:tc>
      </w:tr>
      <w:tr w:rsidTr="009F781B">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E626F">
            <w:pPr>
              <w:pStyle w:val="BodyText"/>
              <w:rPr>
                <w:lang w:val="en-NZ"/>
              </w:rPr>
            </w:pPr>
            <w:r w:rsidRPr="00DE626F">
              <w:t>This unit may be assessed concurrently with other relevant units.</w:t>
            </w:r>
          </w:p>
        </w:tc>
      </w:tr>
      <w:tr w:rsidTr="009F781B">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DE626F" w:rsidP="00DE626F">
            <w:pPr>
              <w:pStyle w:val="BodyText"/>
            </w:pPr>
            <w:r w:rsidRPr="00DE626F">
              <w:t>Assessors</w:t>
            </w:r>
            <w:r w:rsidRPr="00DE626F">
              <w:t xml:space="preserve"> must be satisfied that the person can consistently perform the unit as a whole, as defined by the elements, performance criteria, skills and knowledge.  A holistic approach should be taken to the assessment.</w:t>
            </w:r>
          </w:p>
          <w:p w:rsidR="00000000" w:rsidRPr="00DE626F" w:rsidP="00DE626F">
            <w:pPr>
              <w:pStyle w:val="BodyText"/>
            </w:pPr>
            <w:r w:rsidRPr="00DE626F">
              <w:t>Assessors should gather sufficient, fair, valid</w:t>
            </w:r>
            <w:r w:rsidRPr="00DE626F">
              <w:t>, reliable, authentic and current evidence from a range of sources.  Sources of evidence may include direct observation, reports from supervisors, peers and colleagues, project work, samples, organisation records and questioning.  Assessment should not req</w:t>
            </w:r>
            <w:r w:rsidRPr="00DE626F">
              <w:t>uire language, literacy or numeracy skills beyond those required for the unit.</w:t>
            </w:r>
          </w:p>
          <w:p w:rsidR="00000000" w:rsidRPr="00DE626F" w:rsidP="00DE626F">
            <w:pPr>
              <w:pStyle w:val="BodyText"/>
            </w:pPr>
            <w:r w:rsidRPr="00DE626F">
              <w:t>The assessee will have access to all techniques, procedures, information, resources and aids which would normally be available in the workplace.</w:t>
            </w:r>
          </w:p>
          <w:p w:rsidR="00000000" w:rsidP="00DE626F">
            <w:pPr>
              <w:pStyle w:val="BodyText"/>
              <w:rPr>
                <w:lang w:val="en-NZ"/>
              </w:rPr>
            </w:pPr>
            <w:r w:rsidRPr="00DE626F">
              <w:t xml:space="preserve">The method of assessment should </w:t>
            </w:r>
            <w:r w:rsidRPr="00DE626F">
              <w:t>be discussed and agreed with the assessee prior to the commencement of assessment.</w:t>
            </w:r>
          </w:p>
        </w:tc>
      </w:tr>
      <w:tr w:rsidTr="009F781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r w:rsidRPr="00DE626F">
              <w:t xml:space="preserve">This section should be read in conjunction with the range of variables for this unit of competency. Resources required include suitable access </w:t>
            </w:r>
            <w:r w:rsidRPr="00DE626F">
              <w:t xml:space="preserve">to an organisation where ferrous casting is done. A bank of case studies/scenarios and questions will also be required to the extent that they form part of the assessment method. Questioning may take place either in the workplace, or in an adjacent, quiet </w:t>
            </w:r>
            <w:r w:rsidRPr="00DE626F">
              <w:t>facility such as an office or lunchroom. No other special resources are required.</w:t>
            </w: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11" w:name="O_102013"/>
      <w:bookmarkEnd w:id="11"/>
      <w:r w:rsidRPr="00DE626F">
        <w:t>Range Statement</w:t>
      </w:r>
    </w:p>
    <w:tbl>
      <w:tblPr>
        <w:tblW w:w="0" w:type="auto"/>
        <w:tblCellMar>
          <w:left w:w="62" w:type="dxa"/>
          <w:right w:w="62" w:type="dxa"/>
        </w:tblCellMar>
        <w:tblLook w:val="0000"/>
      </w:tblPr>
      <w:tblGrid>
        <w:gridCol w:w="2510"/>
        <w:gridCol w:w="6686"/>
      </w:tblGrid>
      <w:tr w:rsidTr="009F781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RANGE STATEMENT</w:t>
            </w:r>
          </w:p>
        </w:tc>
      </w:tr>
      <w:tr w:rsidTr="009F781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t>The range statement relates to the unit of competency as a whole. It allows for different work environments and situations that may affect performance. Bold italicised wording, if used in the performance criteria, is detailed below. Essential operating con</w:t>
            </w:r>
            <w:r w:rsidRPr="00DE626F">
              <w:t>ditions that may be present with training and assessment (depending on the work situation, needs of the candidate, accessibility of the item, and local industry and regional contexts) may also be included.</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Codes of practice</w:t>
            </w:r>
            <w:r w:rsidRPr="00DE626F">
              <w:t>/</w:t>
            </w:r>
            <w:r w:rsidRPr="00DE626F">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t>Where reference is m</w:t>
            </w:r>
            <w:r w:rsidRPr="00DE626F">
              <w:t>ade to industry codes of practice, and/or Australian/international standards, it is expected the latest version will be used.</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Contaminants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t>Contaminants include non specified metal, rubber, grease, water, paint and non-metallics, closed containers or pipes</w:t>
            </w:r>
            <w:r w:rsidRPr="00DE626F">
              <w:t xml:space="preserve"> and pressure containers such as aerosols.</w:t>
            </w:r>
          </w:p>
        </w:tc>
      </w:tr>
      <w:tr w:rsidTr="009F78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Material specification</w:t>
            </w:r>
            <w:r w:rsidRPr="00DE626F">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r w:rsidRPr="00DE626F">
              <w:t xml:space="preserve">Material specification includes ferrous metals and ferrous alloys as well as contaminants. </w:t>
            </w:r>
          </w:p>
        </w:tc>
      </w:tr>
    </w:tbl>
    <w:p w:rsidR="009F781B" w:rsidP="00DE626F">
      <w:pPr>
        <w:pStyle w:val="BodyText"/>
      </w:pPr>
    </w:p>
    <w:p w:rsidR="009F781B" w:rsidP="00DE626F">
      <w:pPr>
        <w:pStyle w:val="BodyText"/>
      </w:pPr>
    </w:p>
    <w:p w:rsidR="00000000" w:rsidRPr="00DE626F" w:rsidP="00DE626F">
      <w:pPr>
        <w:pStyle w:val="Heading1"/>
      </w:pPr>
      <w:bookmarkStart w:id="12" w:name="O_102014"/>
      <w:bookmarkEnd w:id="12"/>
      <w:r w:rsidRPr="00DE626F">
        <w:t>Unit Sector(s)</w:t>
      </w:r>
    </w:p>
    <w:tbl>
      <w:tblPr>
        <w:tblW w:w="0" w:type="auto"/>
        <w:tblCellMar>
          <w:left w:w="62" w:type="dxa"/>
          <w:right w:w="62" w:type="dxa"/>
        </w:tblCellMar>
        <w:tblLook w:val="0000"/>
      </w:tblPr>
      <w:tblGrid>
        <w:gridCol w:w="2376"/>
        <w:gridCol w:w="6820"/>
      </w:tblGrid>
      <w:tr w:rsidTr="009F78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r w:rsidRPr="00DE626F">
              <w:t>Metallurgy</w:t>
            </w: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13" w:name="O_159316"/>
      <w:bookmarkEnd w:id="13"/>
      <w:r w:rsidRPr="00DE626F">
        <w:t>Competency field</w:t>
      </w:r>
    </w:p>
    <w:tbl>
      <w:tblPr>
        <w:tblW w:w="0" w:type="auto"/>
        <w:tblCellMar>
          <w:left w:w="62" w:type="dxa"/>
          <w:right w:w="62" w:type="dxa"/>
        </w:tblCellMar>
        <w:tblLook w:val="0000"/>
      </w:tblPr>
      <w:tblGrid>
        <w:gridCol w:w="2376"/>
        <w:gridCol w:w="6820"/>
      </w:tblGrid>
      <w:tr w:rsidTr="009F78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p>
        </w:tc>
      </w:tr>
    </w:tbl>
    <w:p w:rsidR="00000000" w:rsidRPr="00DE626F" w:rsidP="00DE626F">
      <w:pPr>
        <w:pStyle w:val="BodyText"/>
      </w:pPr>
    </w:p>
    <w:p w:rsidR="00000000" w:rsidRPr="00DE626F" w:rsidP="00DE626F">
      <w:pPr>
        <w:pStyle w:val="AllowPageBreak"/>
      </w:pPr>
    </w:p>
    <w:p w:rsidR="00000000" w:rsidRPr="00DE626F" w:rsidP="00DE626F">
      <w:pPr>
        <w:pStyle w:val="Heading1"/>
      </w:pPr>
      <w:bookmarkStart w:id="14" w:name="O_159315"/>
      <w:bookmarkEnd w:id="14"/>
      <w:r w:rsidRPr="00DE626F">
        <w:t>Co-requisite units</w:t>
      </w:r>
    </w:p>
    <w:tbl>
      <w:tblPr>
        <w:tblW w:w="0" w:type="auto"/>
        <w:tblCellMar>
          <w:left w:w="62" w:type="dxa"/>
          <w:right w:w="62" w:type="dxa"/>
        </w:tblCellMar>
        <w:tblLook w:val="0000"/>
      </w:tblPr>
      <w:tblGrid>
        <w:gridCol w:w="2376"/>
        <w:gridCol w:w="1739"/>
        <w:gridCol w:w="5081"/>
      </w:tblGrid>
      <w:tr w:rsidTr="009F781B">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r w:rsidRPr="00DE626F">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26F">
            <w:pPr>
              <w:pStyle w:val="BodyText"/>
              <w:rPr>
                <w:lang w:val="en-NZ"/>
              </w:rPr>
            </w:pPr>
          </w:p>
        </w:tc>
      </w:tr>
      <w:tr w:rsidTr="009F781B">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26F" w:rsidP="00DE626F">
            <w:pPr>
              <w:pStyle w:val="BodyText"/>
            </w:pPr>
          </w:p>
        </w:tc>
      </w:tr>
    </w:tbl>
    <w:p w:rsidR="00000000" w:rsidRPr="00DE626F" w:rsidP="00DE626F">
      <w:pPr>
        <w:pStyle w:val="BodyText"/>
      </w:pPr>
    </w:p>
    <w:p w:rsidR="00000000" w:rsidRPr="00DE626F" w:rsidP="00DE626F"/>
    <w:sectPr w:rsidSect="00DE62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81B" w:rsidP="009F7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1B" w:rsidP="00DE6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F781B" w:rsidP="00DE62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781B" w:rsidP="00DE62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81B" w:rsidP="009F781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1B" w:rsidP="00DE626F">
    <w:pPr>
      <w:pStyle w:val="Header"/>
      <w:framePr w:wrap="around"/>
    </w:pPr>
    <w:r>
      <w:fldChar w:fldCharType="begin"/>
    </w:r>
    <w:r>
      <w:instrText xml:space="preserve"> TITLE   \* MERGEFORMAT </w:instrText>
    </w:r>
    <w:r>
      <w:fldChar w:fldCharType="separate"/>
    </w:r>
    <w:r>
      <w:t>MSATCM302A Monitor ferrous melting and casting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81B" w:rsidP="00DE62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E6A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661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DE3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2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626F"/>
    <w:pPr>
      <w:spacing w:before="360" w:after="60"/>
      <w:outlineLvl w:val="0"/>
    </w:pPr>
    <w:rPr>
      <w:sz w:val="32"/>
    </w:rPr>
  </w:style>
  <w:style w:type="paragraph" w:styleId="Heading2">
    <w:name w:val="heading 2"/>
    <w:basedOn w:val="HeadingBase"/>
    <w:next w:val="BodyText"/>
    <w:link w:val="Heading2Char"/>
    <w:qFormat/>
    <w:rsid w:val="00DE626F"/>
    <w:pPr>
      <w:keepLines/>
      <w:spacing w:before="240" w:after="120"/>
      <w:outlineLvl w:val="1"/>
    </w:pPr>
    <w:rPr>
      <w:sz w:val="28"/>
      <w:szCs w:val="40"/>
    </w:rPr>
  </w:style>
  <w:style w:type="paragraph" w:styleId="Heading3">
    <w:name w:val="heading 3"/>
    <w:basedOn w:val="HeadingBase"/>
    <w:next w:val="BodyText"/>
    <w:link w:val="Heading3Char"/>
    <w:qFormat/>
    <w:rsid w:val="00DE626F"/>
    <w:pPr>
      <w:spacing w:before="180" w:after="120"/>
      <w:outlineLvl w:val="2"/>
    </w:pPr>
    <w:rPr>
      <w:spacing w:val="-10"/>
      <w:kern w:val="32"/>
    </w:rPr>
  </w:style>
  <w:style w:type="paragraph" w:styleId="Heading4">
    <w:name w:val="heading 4"/>
    <w:basedOn w:val="HeadingBase"/>
    <w:next w:val="BodyText"/>
    <w:link w:val="Heading4Char"/>
    <w:qFormat/>
    <w:rsid w:val="00DE626F"/>
    <w:pPr>
      <w:spacing w:before="160" w:after="120"/>
      <w:outlineLvl w:val="3"/>
    </w:pPr>
    <w:rPr>
      <w:sz w:val="22"/>
    </w:rPr>
  </w:style>
  <w:style w:type="paragraph" w:styleId="Heading5">
    <w:name w:val="heading 5"/>
    <w:basedOn w:val="HeadingBase"/>
    <w:next w:val="Normal"/>
    <w:link w:val="Heading5Char"/>
    <w:qFormat/>
    <w:rsid w:val="00DE626F"/>
    <w:pPr>
      <w:spacing w:before="80"/>
      <w:outlineLvl w:val="4"/>
    </w:pPr>
    <w:rPr>
      <w:color w:val="918585"/>
      <w:sz w:val="20"/>
    </w:rPr>
  </w:style>
  <w:style w:type="paragraph" w:styleId="Heading6">
    <w:name w:val="heading 6"/>
    <w:basedOn w:val="HeadingBase"/>
    <w:next w:val="Normal"/>
    <w:link w:val="Heading6Char"/>
    <w:qFormat/>
    <w:rsid w:val="00DE626F"/>
    <w:pPr>
      <w:spacing w:before="60"/>
      <w:outlineLvl w:val="5"/>
    </w:pPr>
    <w:rPr>
      <w:color w:val="918585"/>
      <w:sz w:val="20"/>
    </w:rPr>
  </w:style>
  <w:style w:type="paragraph" w:styleId="Heading7">
    <w:name w:val="heading 7"/>
    <w:basedOn w:val="Normal"/>
    <w:next w:val="Normal"/>
    <w:link w:val="Heading7Char"/>
    <w:qFormat/>
    <w:rsid w:val="00DE626F"/>
    <w:pPr>
      <w:ind w:left="720"/>
      <w:outlineLvl w:val="6"/>
    </w:pPr>
    <w:rPr>
      <w:i/>
    </w:rPr>
  </w:style>
  <w:style w:type="paragraph" w:styleId="Heading8">
    <w:name w:val="heading 8"/>
    <w:basedOn w:val="Normal"/>
    <w:next w:val="Normal"/>
    <w:link w:val="Heading8Char"/>
    <w:qFormat/>
    <w:rsid w:val="00DE626F"/>
    <w:pPr>
      <w:ind w:left="720"/>
      <w:outlineLvl w:val="7"/>
    </w:pPr>
    <w:rPr>
      <w:i/>
    </w:rPr>
  </w:style>
  <w:style w:type="paragraph" w:styleId="Heading9">
    <w:name w:val="heading 9"/>
    <w:basedOn w:val="Normal"/>
    <w:next w:val="Normal"/>
    <w:link w:val="Heading9Char"/>
    <w:qFormat/>
    <w:rsid w:val="00DE626F"/>
    <w:pPr>
      <w:ind w:left="720"/>
      <w:outlineLvl w:val="8"/>
    </w:pPr>
    <w:rPr>
      <w:i/>
    </w:rPr>
  </w:style>
  <w:style w:type="character" w:default="1" w:styleId="DefaultParagraphFont">
    <w:name w:val="Default Paragraph Font"/>
    <w:uiPriority w:val="1"/>
    <w:unhideWhenUsed/>
    <w:rsid w:val="00DE6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26F"/>
  </w:style>
  <w:style w:type="character" w:customStyle="1" w:styleId="Heading1Char">
    <w:name w:val="Heading 1 Char"/>
    <w:link w:val="Heading1"/>
    <w:rsid w:val="00DE626F"/>
    <w:rPr>
      <w:rFonts w:ascii="Times New Roman" w:eastAsia="Times New Roman" w:hAnsi="Times New Roman" w:cs="Times New Roman"/>
      <w:b/>
      <w:sz w:val="32"/>
      <w:szCs w:val="20"/>
      <w:lang w:eastAsia="en-US"/>
    </w:rPr>
  </w:style>
  <w:style w:type="paragraph" w:styleId="BodyText">
    <w:name w:val="Body Text"/>
    <w:basedOn w:val="Normal"/>
    <w:link w:val="BodyTextChar"/>
    <w:rsid w:val="00DE626F"/>
    <w:pPr>
      <w:spacing w:before="120" w:after="120"/>
      <w:contextualSpacing/>
    </w:pPr>
    <w:rPr>
      <w:rFonts w:ascii="Times New Roman" w:hAnsi="Times New Roman"/>
      <w:sz w:val="24"/>
      <w:szCs w:val="22"/>
    </w:rPr>
  </w:style>
  <w:style w:type="character" w:customStyle="1" w:styleId="BodyTextChar">
    <w:name w:val="Body Text Char"/>
    <w:link w:val="BodyText"/>
    <w:rsid w:val="00DE626F"/>
    <w:rPr>
      <w:rFonts w:ascii="Times New Roman" w:eastAsia="Times New Roman" w:hAnsi="Times New Roman" w:cs="Times New Roman"/>
      <w:sz w:val="24"/>
      <w:lang w:val="en-US" w:eastAsia="en-US"/>
    </w:rPr>
  </w:style>
  <w:style w:type="paragraph" w:styleId="Footer">
    <w:name w:val="footer"/>
    <w:basedOn w:val="Normal"/>
    <w:link w:val="FooterChar"/>
    <w:rsid w:val="00DE6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626F"/>
    <w:rPr>
      <w:rFonts w:ascii="Times New Roman" w:eastAsia="Times New Roman" w:hAnsi="Times New Roman" w:cs="Times New Roman"/>
      <w:sz w:val="16"/>
      <w:lang w:val="en-US" w:eastAsia="en-US"/>
    </w:rPr>
  </w:style>
  <w:style w:type="paragraph" w:styleId="List">
    <w:name w:val="List"/>
    <w:basedOn w:val="BodyText"/>
    <w:next w:val="BodyText"/>
    <w:rsid w:val="00DE626F"/>
    <w:pPr>
      <w:tabs>
        <w:tab w:val="left" w:pos="340"/>
      </w:tabs>
      <w:spacing w:before="60" w:after="60"/>
      <w:ind w:left="340" w:hanging="340"/>
    </w:pPr>
  </w:style>
  <w:style w:type="paragraph" w:styleId="ListBullet">
    <w:name w:val="List Bullet"/>
    <w:basedOn w:val="List"/>
    <w:rsid w:val="00DE626F"/>
    <w:pPr>
      <w:numPr>
        <w:numId w:val="13"/>
      </w:numPr>
      <w:tabs>
        <w:tab w:val="clear" w:pos="340"/>
      </w:tabs>
      <w:spacing w:before="40" w:after="40"/>
    </w:pPr>
  </w:style>
  <w:style w:type="character" w:customStyle="1" w:styleId="SpecialBold">
    <w:name w:val="Special Bold"/>
    <w:rsid w:val="00DE626F"/>
    <w:rPr>
      <w:b/>
      <w:spacing w:val="0"/>
    </w:rPr>
  </w:style>
  <w:style w:type="paragraph" w:styleId="ListBullet2">
    <w:name w:val="List Bullet 2"/>
    <w:basedOn w:val="List2"/>
    <w:rsid w:val="00DE626F"/>
    <w:pPr>
      <w:numPr>
        <w:numId w:val="14"/>
      </w:numPr>
      <w:tabs>
        <w:tab w:val="clear" w:pos="680"/>
      </w:tabs>
    </w:pPr>
  </w:style>
  <w:style w:type="paragraph" w:styleId="Header">
    <w:name w:val="header"/>
    <w:basedOn w:val="Normal"/>
    <w:link w:val="HeaderChar"/>
    <w:rsid w:val="00DE6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62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626F"/>
    <w:pPr>
      <w:spacing w:before="240" w:after="120"/>
      <w:outlineLvl w:val="0"/>
    </w:pPr>
    <w:rPr>
      <w:rFonts w:ascii="Times New Roman" w:hAnsi="Times New Roman"/>
      <w:b/>
      <w:sz w:val="28"/>
    </w:rPr>
  </w:style>
  <w:style w:type="paragraph" w:customStyle="1" w:styleId="AllowPageBreak">
    <w:name w:val="AllowPageBreak"/>
    <w:rsid w:val="00DE62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626F"/>
    <w:pPr>
      <w:tabs>
        <w:tab w:val="left" w:pos="680"/>
      </w:tabs>
      <w:spacing w:before="60" w:after="60"/>
      <w:ind w:left="680" w:hanging="340"/>
    </w:pPr>
  </w:style>
  <w:style w:type="character" w:customStyle="1" w:styleId="Heading2Char">
    <w:name w:val="Heading 2 Char"/>
    <w:link w:val="Heading2"/>
    <w:rsid w:val="00DE626F"/>
    <w:rPr>
      <w:rFonts w:ascii="Times New Roman" w:eastAsia="Times New Roman" w:hAnsi="Times New Roman" w:cs="Times New Roman"/>
      <w:b/>
      <w:sz w:val="28"/>
      <w:szCs w:val="40"/>
      <w:lang w:eastAsia="en-US"/>
    </w:rPr>
  </w:style>
  <w:style w:type="character" w:customStyle="1" w:styleId="Heading3Char">
    <w:name w:val="Heading 3 Char"/>
    <w:link w:val="Heading3"/>
    <w:rsid w:val="00DE626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626F"/>
    <w:rPr>
      <w:rFonts w:ascii="Times New Roman" w:eastAsia="Times New Roman" w:hAnsi="Times New Roman" w:cs="Times New Roman"/>
      <w:b/>
      <w:szCs w:val="20"/>
      <w:lang w:eastAsia="en-US"/>
    </w:rPr>
  </w:style>
  <w:style w:type="character" w:customStyle="1" w:styleId="Heading5Char">
    <w:name w:val="Heading 5 Char"/>
    <w:link w:val="Heading5"/>
    <w:rsid w:val="00DE626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6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2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62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626F"/>
    <w:rPr>
      <w:rFonts w:ascii="Courier New" w:eastAsia="Times New Roman" w:hAnsi="Courier New" w:cs="Times New Roman"/>
      <w:i/>
      <w:szCs w:val="20"/>
      <w:lang w:val="en-US" w:eastAsia="en-US"/>
    </w:rPr>
  </w:style>
  <w:style w:type="paragraph" w:customStyle="1" w:styleId="HeadingBase">
    <w:name w:val="Heading Base"/>
    <w:rsid w:val="00DE6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26F"/>
    <w:pPr>
      <w:tabs>
        <w:tab w:val="right" w:leader="dot" w:pos="9072"/>
      </w:tabs>
      <w:ind w:left="567"/>
    </w:pPr>
    <w:rPr>
      <w:szCs w:val="22"/>
    </w:rPr>
  </w:style>
  <w:style w:type="paragraph" w:customStyle="1" w:styleId="TOCBase">
    <w:name w:val="TOC Base"/>
    <w:rsid w:val="00DE6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26F"/>
    <w:pPr>
      <w:tabs>
        <w:tab w:val="right" w:leader="dot" w:pos="9072"/>
      </w:tabs>
      <w:spacing w:before="40" w:after="40"/>
      <w:ind w:left="284"/>
    </w:pPr>
    <w:rPr>
      <w:rFonts w:ascii="Times New Roman" w:hAnsi="Times New Roman"/>
    </w:rPr>
  </w:style>
  <w:style w:type="paragraph" w:styleId="TOC1">
    <w:name w:val="toc 1"/>
    <w:basedOn w:val="TOCBase"/>
    <w:next w:val="Normal"/>
    <w:rsid w:val="00DE62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26F"/>
    <w:pPr>
      <w:spacing w:before="5040"/>
      <w:jc w:val="center"/>
    </w:pPr>
    <w:rPr>
      <w:sz w:val="48"/>
      <w:szCs w:val="72"/>
      <w:lang w:val="en-US"/>
    </w:rPr>
  </w:style>
  <w:style w:type="character" w:customStyle="1" w:styleId="TitleChar">
    <w:name w:val="Title Char"/>
    <w:link w:val="Title"/>
    <w:rsid w:val="00DE6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26F"/>
    <w:pPr>
      <w:tabs>
        <w:tab w:val="left" w:pos="3600"/>
        <w:tab w:val="left" w:pos="3958"/>
      </w:tabs>
    </w:pPr>
  </w:style>
  <w:style w:type="paragraph" w:customStyle="1" w:styleId="Note">
    <w:name w:val="Note"/>
    <w:basedOn w:val="BodyText"/>
    <w:rsid w:val="00DE6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26F"/>
    <w:pPr>
      <w:framePr w:wrap="auto" w:hAnchor="text" w:y="6049"/>
    </w:pPr>
    <w:rPr>
      <w:color w:val="000000"/>
      <w:sz w:val="40"/>
    </w:rPr>
  </w:style>
  <w:style w:type="paragraph" w:customStyle="1" w:styleId="TOCTitle">
    <w:name w:val="TOCTitle"/>
    <w:basedOn w:val="Heading1"/>
    <w:rsid w:val="00DE626F"/>
    <w:pPr>
      <w:spacing w:after="240"/>
      <w:jc w:val="center"/>
      <w:outlineLvl w:val="9"/>
    </w:pPr>
    <w:rPr>
      <w:caps/>
    </w:rPr>
  </w:style>
  <w:style w:type="paragraph" w:customStyle="1" w:styleId="Version">
    <w:name w:val="Version"/>
    <w:rsid w:val="00DE6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26F"/>
    <w:pPr>
      <w:keepNext w:val="0"/>
      <w:tabs>
        <w:tab w:val="right" w:pos="4176"/>
      </w:tabs>
      <w:ind w:left="198" w:hanging="198"/>
    </w:pPr>
    <w:rPr>
      <w:rFonts w:ascii="Garamond" w:hAnsi="Garamond"/>
    </w:rPr>
  </w:style>
  <w:style w:type="paragraph" w:styleId="IndexHeading">
    <w:name w:val="index heading"/>
    <w:basedOn w:val="Normal"/>
    <w:next w:val="Index1"/>
    <w:semiHidden/>
    <w:rsid w:val="00DE626F"/>
    <w:pPr>
      <w:spacing w:before="120" w:after="120"/>
    </w:pPr>
    <w:rPr>
      <w:rFonts w:ascii="Arial" w:hAnsi="Arial"/>
      <w:b/>
      <w:color w:val="918585"/>
      <w:sz w:val="24"/>
    </w:rPr>
  </w:style>
  <w:style w:type="paragraph" w:customStyle="1" w:styleId="Chapter">
    <w:name w:val="Chapter"/>
    <w:basedOn w:val="Normal"/>
    <w:rsid w:val="00DE626F"/>
    <w:pPr>
      <w:spacing w:before="240"/>
    </w:pPr>
    <w:rPr>
      <w:rFonts w:ascii="Times New Roman" w:hAnsi="Times New Roman"/>
      <w:smallCaps/>
      <w:spacing w:val="80"/>
      <w:sz w:val="28"/>
    </w:rPr>
  </w:style>
  <w:style w:type="paragraph" w:customStyle="1" w:styleId="InChapter">
    <w:name w:val="InChapter"/>
    <w:basedOn w:val="Heading3"/>
    <w:rsid w:val="00DE626F"/>
    <w:pPr>
      <w:spacing w:after="240"/>
      <w:outlineLvl w:val="9"/>
    </w:pPr>
    <w:rPr>
      <w:noProof/>
    </w:rPr>
  </w:style>
  <w:style w:type="paragraph" w:styleId="Index2">
    <w:name w:val="index 2"/>
    <w:basedOn w:val="Normal"/>
    <w:next w:val="Normal"/>
    <w:semiHidden/>
    <w:rsid w:val="00DE626F"/>
    <w:pPr>
      <w:tabs>
        <w:tab w:val="right" w:pos="4176"/>
      </w:tabs>
      <w:ind w:left="568" w:hanging="284"/>
    </w:pPr>
    <w:rPr>
      <w:rFonts w:ascii="Garamond" w:hAnsi="Garamond"/>
    </w:rPr>
  </w:style>
  <w:style w:type="paragraph" w:customStyle="1" w:styleId="Byline">
    <w:name w:val="Byline"/>
    <w:rsid w:val="00DE6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26F"/>
    <w:pPr>
      <w:tabs>
        <w:tab w:val="clear" w:pos="3600"/>
        <w:tab w:val="clear" w:pos="3958"/>
      </w:tabs>
      <w:jc w:val="right"/>
    </w:pPr>
  </w:style>
  <w:style w:type="character" w:styleId="Emphasis">
    <w:name w:val="Emphasis"/>
    <w:qFormat/>
    <w:rsid w:val="00DE626F"/>
    <w:rPr>
      <w:i/>
    </w:rPr>
  </w:style>
  <w:style w:type="paragraph" w:styleId="Caption">
    <w:name w:val="caption"/>
    <w:basedOn w:val="BodyText"/>
    <w:next w:val="Normal"/>
    <w:qFormat/>
    <w:rsid w:val="00DE626F"/>
    <w:pPr>
      <w:framePr w:w="2268" w:hSpace="181" w:vSpace="181" w:wrap="around" w:vAnchor="text" w:hAnchor="page" w:x="1135" w:y="285" w:anchorLock="1"/>
    </w:pPr>
    <w:rPr>
      <w:i/>
    </w:rPr>
  </w:style>
  <w:style w:type="paragraph" w:customStyle="1" w:styleId="MiniTOCTitle">
    <w:name w:val="MiniTOCTitle"/>
    <w:basedOn w:val="Heading4"/>
    <w:rsid w:val="00DE626F"/>
    <w:pPr>
      <w:spacing w:before="240"/>
      <w:outlineLvl w:val="9"/>
    </w:pPr>
    <w:rPr>
      <w:noProof/>
      <w:sz w:val="24"/>
    </w:rPr>
  </w:style>
  <w:style w:type="paragraph" w:customStyle="1" w:styleId="MiniTOCItem">
    <w:name w:val="MiniTOCItem"/>
    <w:basedOn w:val="ListBullet"/>
    <w:rsid w:val="00DE626F"/>
    <w:pPr>
      <w:numPr>
        <w:numId w:val="0"/>
      </w:numPr>
      <w:tabs>
        <w:tab w:val="right" w:leader="dot" w:pos="6521"/>
      </w:tabs>
      <w:spacing w:before="0" w:after="0"/>
    </w:pPr>
  </w:style>
  <w:style w:type="paragraph" w:customStyle="1" w:styleId="TOFTitle">
    <w:name w:val="TOFTitle"/>
    <w:basedOn w:val="TOCTitle"/>
    <w:rsid w:val="00DE626F"/>
  </w:style>
  <w:style w:type="paragraph" w:styleId="TableofFigures">
    <w:name w:val="table of figures"/>
    <w:basedOn w:val="Normal"/>
    <w:next w:val="Normal"/>
    <w:semiHidden/>
    <w:rsid w:val="00DE626F"/>
    <w:pPr>
      <w:tabs>
        <w:tab w:val="right" w:leader="dot" w:pos="9072"/>
      </w:tabs>
      <w:ind w:left="970" w:hanging="403"/>
    </w:pPr>
    <w:rPr>
      <w:rFonts w:ascii="Times New Roman" w:hAnsi="Times New Roman"/>
      <w:b/>
    </w:rPr>
  </w:style>
  <w:style w:type="paragraph" w:styleId="ListNumber">
    <w:name w:val="List Number"/>
    <w:basedOn w:val="List"/>
    <w:rsid w:val="00DE626F"/>
    <w:pPr>
      <w:numPr>
        <w:numId w:val="11"/>
      </w:numPr>
    </w:pPr>
  </w:style>
  <w:style w:type="character" w:customStyle="1" w:styleId="WingdingSymbols">
    <w:name w:val="Wingding Symbols"/>
    <w:rsid w:val="00DE626F"/>
    <w:rPr>
      <w:rFonts w:ascii="Wingdings" w:hAnsi="Wingdings"/>
    </w:rPr>
  </w:style>
  <w:style w:type="paragraph" w:customStyle="1" w:styleId="TableHeading">
    <w:name w:val="Table Heading"/>
    <w:basedOn w:val="HeadingBase"/>
    <w:rsid w:val="00DE626F"/>
    <w:pPr>
      <w:keepLines/>
      <w:pBdr>
        <w:bottom w:val="single" w:sz="6" w:space="1" w:color="918585"/>
      </w:pBdr>
      <w:spacing w:before="240"/>
    </w:pPr>
  </w:style>
  <w:style w:type="character" w:customStyle="1" w:styleId="HotSpot">
    <w:name w:val="HotSpot"/>
    <w:rsid w:val="00DE626F"/>
    <w:rPr>
      <w:color w:val="0033CC"/>
      <w:u w:val="none"/>
    </w:rPr>
  </w:style>
  <w:style w:type="paragraph" w:customStyle="1" w:styleId="BodyTextRight">
    <w:name w:val="Body Text Right"/>
    <w:basedOn w:val="BodyText"/>
    <w:rsid w:val="00DE626F"/>
    <w:pPr>
      <w:spacing w:before="0" w:after="0"/>
      <w:jc w:val="right"/>
    </w:pPr>
  </w:style>
  <w:style w:type="paragraph" w:styleId="Index3">
    <w:name w:val="index 3"/>
    <w:basedOn w:val="ListNumber2"/>
    <w:next w:val="Normal"/>
    <w:semiHidden/>
    <w:rsid w:val="00DE626F"/>
    <w:pPr>
      <w:numPr>
        <w:numId w:val="0"/>
      </w:numPr>
      <w:tabs>
        <w:tab w:val="right" w:leader="dot" w:pos="4176"/>
      </w:tabs>
    </w:pPr>
  </w:style>
  <w:style w:type="paragraph" w:styleId="ListNumber2">
    <w:name w:val="List Number 2"/>
    <w:basedOn w:val="List2"/>
    <w:rsid w:val="00DE626F"/>
    <w:pPr>
      <w:numPr>
        <w:numId w:val="10"/>
      </w:numPr>
      <w:tabs>
        <w:tab w:val="clear" w:pos="1060"/>
      </w:tabs>
    </w:pPr>
  </w:style>
  <w:style w:type="paragraph" w:customStyle="1" w:styleId="MarginNote">
    <w:name w:val="Margin Note"/>
    <w:basedOn w:val="BodyText"/>
    <w:rsid w:val="00DE6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62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626F"/>
    <w:rPr>
      <w:sz w:val="32"/>
    </w:rPr>
  </w:style>
  <w:style w:type="paragraph" w:customStyle="1" w:styleId="HeadingProcedure">
    <w:name w:val="Heading Procedure"/>
    <w:basedOn w:val="HeadingBase"/>
    <w:next w:val="Normal"/>
    <w:rsid w:val="00DE626F"/>
    <w:pPr>
      <w:tabs>
        <w:tab w:val="left" w:pos="0"/>
      </w:tabs>
      <w:spacing w:before="120" w:after="60"/>
    </w:pPr>
    <w:rPr>
      <w:i/>
      <w:color w:val="918585"/>
      <w:sz w:val="22"/>
    </w:rPr>
  </w:style>
  <w:style w:type="paragraph" w:customStyle="1" w:styleId="TableBodyText">
    <w:name w:val="Table Body Text"/>
    <w:basedOn w:val="BodyText"/>
    <w:rsid w:val="00DE626F"/>
    <w:pPr>
      <w:spacing w:before="60" w:after="60"/>
    </w:pPr>
  </w:style>
  <w:style w:type="paragraph" w:styleId="ListContinue">
    <w:name w:val="List Continue"/>
    <w:basedOn w:val="List"/>
    <w:rsid w:val="00DE626F"/>
    <w:pPr>
      <w:ind w:firstLine="0"/>
    </w:pPr>
  </w:style>
  <w:style w:type="paragraph" w:customStyle="1" w:styleId="ListNote">
    <w:name w:val="List Note"/>
    <w:basedOn w:val="List"/>
    <w:rsid w:val="00DE626F"/>
    <w:pPr>
      <w:pBdr>
        <w:top w:val="single" w:sz="6" w:space="2" w:color="918585"/>
        <w:bottom w:val="single" w:sz="6" w:space="2" w:color="918585"/>
      </w:pBdr>
      <w:tabs>
        <w:tab w:val="left" w:pos="1021"/>
      </w:tabs>
      <w:ind w:firstLine="0"/>
    </w:pPr>
  </w:style>
  <w:style w:type="paragraph" w:customStyle="1" w:styleId="Warning">
    <w:name w:val="Warning"/>
    <w:basedOn w:val="BodyText"/>
    <w:rsid w:val="00DE626F"/>
    <w:pPr>
      <w:shd w:val="clear" w:color="auto" w:fill="D9D9D9"/>
      <w:tabs>
        <w:tab w:val="left" w:pos="992"/>
      </w:tabs>
      <w:ind w:left="119" w:right="119"/>
    </w:pPr>
    <w:rPr>
      <w:sz w:val="20"/>
    </w:rPr>
  </w:style>
  <w:style w:type="paragraph" w:customStyle="1" w:styleId="MarginIcons">
    <w:name w:val="Margin Icons"/>
    <w:basedOn w:val="BodyText"/>
    <w:rsid w:val="00DE626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626F"/>
    <w:rPr>
      <w:rFonts w:ascii="Courier New" w:hAnsi="Courier New"/>
    </w:rPr>
  </w:style>
  <w:style w:type="paragraph" w:customStyle="1" w:styleId="NoteBullet">
    <w:name w:val="Note Bullet"/>
    <w:basedOn w:val="Note"/>
    <w:rsid w:val="00DE626F"/>
    <w:pPr>
      <w:tabs>
        <w:tab w:val="clear" w:pos="680"/>
      </w:tabs>
      <w:spacing w:before="60" w:after="60"/>
    </w:pPr>
  </w:style>
  <w:style w:type="paragraph" w:customStyle="1" w:styleId="SubHeading2">
    <w:name w:val="SubHeading2"/>
    <w:basedOn w:val="HeadingBase"/>
    <w:rsid w:val="00DE626F"/>
    <w:pPr>
      <w:spacing w:before="240" w:after="60"/>
    </w:pPr>
    <w:rPr>
      <w:sz w:val="20"/>
    </w:rPr>
  </w:style>
  <w:style w:type="paragraph" w:customStyle="1" w:styleId="SubHeading1">
    <w:name w:val="SubHeading1"/>
    <w:basedOn w:val="HeadingBase"/>
    <w:rsid w:val="00DE626F"/>
    <w:pPr>
      <w:spacing w:before="240" w:after="60"/>
    </w:pPr>
    <w:rPr>
      <w:color w:val="918585"/>
      <w:sz w:val="22"/>
    </w:rPr>
  </w:style>
  <w:style w:type="paragraph" w:customStyle="1" w:styleId="SideHeading">
    <w:name w:val="Side Heading"/>
    <w:basedOn w:val="HeadingBase"/>
    <w:rsid w:val="00DE6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26F"/>
    <w:pPr>
      <w:numPr>
        <w:numId w:val="12"/>
      </w:numPr>
    </w:pPr>
  </w:style>
  <w:style w:type="paragraph" w:styleId="PlainText">
    <w:name w:val="Plain Text"/>
    <w:basedOn w:val="Normal"/>
    <w:link w:val="PlainTextChar"/>
    <w:rsid w:val="00DE626F"/>
    <w:rPr>
      <w:sz w:val="20"/>
    </w:rPr>
  </w:style>
  <w:style w:type="character" w:customStyle="1" w:styleId="PlainTextChar">
    <w:name w:val="Plain Text Char"/>
    <w:basedOn w:val="DefaultParagraphFont"/>
    <w:link w:val="PlainText"/>
    <w:rsid w:val="00DE626F"/>
    <w:rPr>
      <w:rFonts w:ascii="Courier New" w:eastAsia="Times New Roman" w:hAnsi="Courier New" w:cs="Times New Roman"/>
      <w:sz w:val="20"/>
      <w:szCs w:val="20"/>
      <w:lang w:val="en-US" w:eastAsia="en-US"/>
    </w:rPr>
  </w:style>
  <w:style w:type="character" w:customStyle="1" w:styleId="MenuOption">
    <w:name w:val="Menu Option"/>
    <w:rsid w:val="00DE626F"/>
    <w:rPr>
      <w:b/>
      <w:smallCaps/>
    </w:rPr>
  </w:style>
  <w:style w:type="paragraph" w:customStyle="1" w:styleId="TableListNumber">
    <w:name w:val="Table List Number"/>
    <w:basedOn w:val="ListNumber"/>
    <w:rsid w:val="00DE626F"/>
    <w:pPr>
      <w:numPr>
        <w:numId w:val="0"/>
      </w:numPr>
    </w:pPr>
  </w:style>
  <w:style w:type="paragraph" w:styleId="TOC4">
    <w:name w:val="toc 4"/>
    <w:basedOn w:val="TOCBase"/>
    <w:next w:val="Normal"/>
    <w:semiHidden/>
    <w:rsid w:val="00DE626F"/>
    <w:pPr>
      <w:tabs>
        <w:tab w:val="right" w:leader="dot" w:pos="9071"/>
      </w:tabs>
      <w:ind w:left="1701"/>
    </w:pPr>
  </w:style>
  <w:style w:type="paragraph" w:customStyle="1" w:styleId="ListAlpha">
    <w:name w:val="List Alpha"/>
    <w:basedOn w:val="List"/>
    <w:rsid w:val="00DE626F"/>
    <w:pPr>
      <w:numPr>
        <w:numId w:val="9"/>
      </w:numPr>
    </w:pPr>
  </w:style>
  <w:style w:type="paragraph" w:customStyle="1" w:styleId="ListAlpha2">
    <w:name w:val="List Alpha 2"/>
    <w:basedOn w:val="List2"/>
    <w:rsid w:val="00DE626F"/>
    <w:pPr>
      <w:numPr>
        <w:numId w:val="8"/>
      </w:numPr>
    </w:pPr>
  </w:style>
  <w:style w:type="paragraph" w:styleId="List3">
    <w:name w:val="List 3"/>
    <w:basedOn w:val="BodyText"/>
    <w:rsid w:val="00DE626F"/>
    <w:pPr>
      <w:tabs>
        <w:tab w:val="left" w:pos="1021"/>
      </w:tabs>
      <w:spacing w:before="60" w:after="60"/>
      <w:ind w:left="1020" w:hanging="340"/>
    </w:pPr>
  </w:style>
  <w:style w:type="paragraph" w:styleId="List4">
    <w:name w:val="List 4"/>
    <w:basedOn w:val="BodyText"/>
    <w:rsid w:val="00DE626F"/>
    <w:pPr>
      <w:tabs>
        <w:tab w:val="left" w:pos="1361"/>
      </w:tabs>
      <w:spacing w:before="60" w:after="60"/>
      <w:ind w:left="1361" w:hanging="340"/>
    </w:pPr>
  </w:style>
  <w:style w:type="paragraph" w:styleId="List5">
    <w:name w:val="List 5"/>
    <w:basedOn w:val="BodyText"/>
    <w:rsid w:val="00DE626F"/>
    <w:pPr>
      <w:tabs>
        <w:tab w:val="left" w:pos="1701"/>
      </w:tabs>
      <w:spacing w:before="60" w:after="60"/>
      <w:ind w:left="1701" w:hanging="340"/>
    </w:pPr>
  </w:style>
  <w:style w:type="paragraph" w:styleId="ListBullet3">
    <w:name w:val="List Bullet 3"/>
    <w:basedOn w:val="List3"/>
    <w:rsid w:val="00DE626F"/>
    <w:pPr>
      <w:numPr>
        <w:numId w:val="15"/>
      </w:numPr>
      <w:tabs>
        <w:tab w:val="clear" w:pos="1021"/>
      </w:tabs>
      <w:ind w:left="1037" w:hanging="357"/>
    </w:pPr>
  </w:style>
  <w:style w:type="paragraph" w:styleId="ListBullet4">
    <w:name w:val="List Bullet 4"/>
    <w:basedOn w:val="List4"/>
    <w:rsid w:val="00DE626F"/>
    <w:pPr>
      <w:numPr>
        <w:numId w:val="3"/>
      </w:numPr>
    </w:pPr>
  </w:style>
  <w:style w:type="paragraph" w:styleId="ListBullet5">
    <w:name w:val="List Bullet 5"/>
    <w:basedOn w:val="List5"/>
    <w:rsid w:val="00DE626F"/>
    <w:pPr>
      <w:numPr>
        <w:numId w:val="4"/>
      </w:numPr>
    </w:pPr>
  </w:style>
  <w:style w:type="paragraph" w:styleId="ListContinue2">
    <w:name w:val="List Continue 2"/>
    <w:basedOn w:val="List2"/>
    <w:rsid w:val="00DE626F"/>
    <w:pPr>
      <w:ind w:firstLine="0"/>
    </w:pPr>
  </w:style>
  <w:style w:type="paragraph" w:styleId="ListContinue3">
    <w:name w:val="List Continue 3"/>
    <w:basedOn w:val="List3"/>
    <w:rsid w:val="00DE626F"/>
    <w:pPr>
      <w:ind w:left="1021" w:firstLine="0"/>
    </w:pPr>
  </w:style>
  <w:style w:type="paragraph" w:styleId="ListContinue4">
    <w:name w:val="List Continue 4"/>
    <w:basedOn w:val="List4"/>
    <w:rsid w:val="00DE626F"/>
    <w:pPr>
      <w:ind w:firstLine="0"/>
    </w:pPr>
  </w:style>
  <w:style w:type="paragraph" w:styleId="ListContinue5">
    <w:name w:val="List Continue 5"/>
    <w:basedOn w:val="List5"/>
    <w:rsid w:val="00DE626F"/>
    <w:pPr>
      <w:ind w:firstLine="0"/>
    </w:pPr>
  </w:style>
  <w:style w:type="paragraph" w:styleId="ListNumber3">
    <w:name w:val="List Number 3"/>
    <w:basedOn w:val="List3"/>
    <w:rsid w:val="00DE626F"/>
    <w:pPr>
      <w:numPr>
        <w:numId w:val="5"/>
      </w:numPr>
    </w:pPr>
  </w:style>
  <w:style w:type="paragraph" w:styleId="ListNumber4">
    <w:name w:val="List Number 4"/>
    <w:basedOn w:val="List4"/>
    <w:rsid w:val="00DE626F"/>
    <w:pPr>
      <w:numPr>
        <w:numId w:val="6"/>
      </w:numPr>
    </w:pPr>
  </w:style>
  <w:style w:type="paragraph" w:styleId="ListNumber5">
    <w:name w:val="List Number 5"/>
    <w:basedOn w:val="List5"/>
    <w:rsid w:val="00DE626F"/>
    <w:pPr>
      <w:numPr>
        <w:numId w:val="7"/>
      </w:numPr>
    </w:pPr>
  </w:style>
  <w:style w:type="paragraph" w:styleId="BlockText">
    <w:name w:val="Block Text"/>
    <w:basedOn w:val="Normal"/>
    <w:rsid w:val="00DE626F"/>
    <w:pPr>
      <w:spacing w:after="120"/>
      <w:ind w:left="1440" w:right="1440"/>
    </w:pPr>
  </w:style>
  <w:style w:type="character" w:customStyle="1" w:styleId="Subscript">
    <w:name w:val="Subscript"/>
    <w:rsid w:val="00DE626F"/>
    <w:rPr>
      <w:sz w:val="16"/>
      <w:vertAlign w:val="subscript"/>
    </w:rPr>
  </w:style>
  <w:style w:type="character" w:customStyle="1" w:styleId="Superscript">
    <w:name w:val="Superscript"/>
    <w:rsid w:val="00DE626F"/>
    <w:rPr>
      <w:sz w:val="16"/>
      <w:vertAlign w:val="superscript"/>
    </w:rPr>
  </w:style>
  <w:style w:type="character" w:customStyle="1" w:styleId="Symbols">
    <w:name w:val="Symbols"/>
    <w:rsid w:val="00DE626F"/>
    <w:rPr>
      <w:rFonts w:ascii="Symbol" w:hAnsi="Symbol"/>
    </w:rPr>
  </w:style>
  <w:style w:type="character" w:customStyle="1" w:styleId="MenuOptions">
    <w:name w:val="Menu Options"/>
    <w:rsid w:val="00DE626F"/>
    <w:rPr>
      <w:rFonts w:ascii="Arial Narrow" w:hAnsi="Arial Narrow"/>
      <w:smallCaps/>
    </w:rPr>
  </w:style>
  <w:style w:type="character" w:customStyle="1" w:styleId="Buttons">
    <w:name w:val="Buttons"/>
    <w:rsid w:val="00DE626F"/>
    <w:rPr>
      <w:b/>
    </w:rPr>
  </w:style>
  <w:style w:type="character" w:customStyle="1" w:styleId="Underlined">
    <w:name w:val="Underlined"/>
    <w:rsid w:val="00DE626F"/>
    <w:rPr>
      <w:u w:val="single"/>
    </w:rPr>
  </w:style>
  <w:style w:type="paragraph" w:customStyle="1" w:styleId="TableBodyTextRight">
    <w:name w:val="Table Body Text Right"/>
    <w:basedOn w:val="TableBodyText"/>
    <w:rsid w:val="00DE626F"/>
    <w:pPr>
      <w:widowControl w:val="0"/>
      <w:autoSpaceDE w:val="0"/>
      <w:autoSpaceDN w:val="0"/>
      <w:adjustRightInd w:val="0"/>
      <w:jc w:val="right"/>
    </w:pPr>
    <w:rPr>
      <w:rFonts w:cs="Arial"/>
      <w:szCs w:val="18"/>
    </w:rPr>
  </w:style>
  <w:style w:type="paragraph" w:customStyle="1" w:styleId="CopyrightText">
    <w:name w:val="Copyright Text"/>
    <w:basedOn w:val="BodyText"/>
    <w:rsid w:val="00DE626F"/>
    <w:rPr>
      <w:sz w:val="18"/>
    </w:rPr>
  </w:style>
  <w:style w:type="paragraph" w:customStyle="1" w:styleId="BodySmallRight">
    <w:name w:val="Body Small Right"/>
    <w:basedOn w:val="BodyTextRight"/>
    <w:rsid w:val="00DE626F"/>
    <w:rPr>
      <w:sz w:val="18"/>
      <w:szCs w:val="18"/>
    </w:rPr>
  </w:style>
  <w:style w:type="paragraph" w:customStyle="1" w:styleId="MarginEdition">
    <w:name w:val="Margin Edition"/>
    <w:basedOn w:val="MarginNote"/>
    <w:rsid w:val="00DE626F"/>
    <w:pPr>
      <w:spacing w:before="0" w:after="0"/>
    </w:pPr>
    <w:rPr>
      <w:rFonts w:ascii="Times New Roman" w:hAnsi="Times New Roman"/>
      <w:color w:val="999999"/>
    </w:rPr>
  </w:style>
  <w:style w:type="paragraph" w:customStyle="1" w:styleId="Spacer">
    <w:name w:val="Spacer"/>
    <w:basedOn w:val="Normal"/>
    <w:rsid w:val="00DE626F"/>
    <w:rPr>
      <w:sz w:val="2"/>
      <w:szCs w:val="2"/>
    </w:rPr>
  </w:style>
  <w:style w:type="character" w:customStyle="1" w:styleId="Small">
    <w:name w:val="Small"/>
    <w:rsid w:val="00DE626F"/>
    <w:rPr>
      <w:sz w:val="16"/>
    </w:rPr>
  </w:style>
  <w:style w:type="paragraph" w:customStyle="1" w:styleId="WideTable">
    <w:name w:val="Wide Table"/>
    <w:basedOn w:val="Normal"/>
    <w:rsid w:val="00DE626F"/>
    <w:pPr>
      <w:ind w:left="-1418"/>
    </w:pPr>
    <w:rPr>
      <w:sz w:val="2"/>
      <w:szCs w:val="2"/>
    </w:rPr>
  </w:style>
  <w:style w:type="character" w:styleId="PageNumber">
    <w:name w:val="page number"/>
    <w:rsid w:val="00DE626F"/>
  </w:style>
  <w:style w:type="paragraph" w:styleId="Quote">
    <w:name w:val="Quote"/>
    <w:basedOn w:val="Heading1"/>
    <w:link w:val="QuoteChar"/>
    <w:qFormat/>
    <w:rsid w:val="00DE626F"/>
    <w:rPr>
      <w:b w:val="0"/>
      <w:sz w:val="72"/>
      <w:szCs w:val="72"/>
      <w:lang w:val="en-NZ"/>
    </w:rPr>
  </w:style>
  <w:style w:type="character" w:customStyle="1" w:styleId="QuoteChar">
    <w:name w:val="Quote Char"/>
    <w:link w:val="Quote"/>
    <w:rsid w:val="00DE6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26F"/>
    <w:pPr>
      <w:pageBreakBefore/>
    </w:pPr>
  </w:style>
  <w:style w:type="paragraph" w:customStyle="1" w:styleId="Border">
    <w:name w:val="Border"/>
    <w:basedOn w:val="Normal"/>
    <w:qFormat/>
    <w:rsid w:val="00DE626F"/>
    <w:pPr>
      <w:pBdr>
        <w:top w:val="single" w:sz="18" w:space="1" w:color="auto"/>
      </w:pBdr>
    </w:pPr>
    <w:rPr>
      <w:rFonts w:ascii="Times New Roman" w:hAnsi="Times New Roman"/>
      <w:color w:val="FFFFFF"/>
      <w:sz w:val="2"/>
    </w:rPr>
  </w:style>
  <w:style w:type="character" w:styleId="IntenseEmphasis">
    <w:name w:val="Intense Emphasis"/>
    <w:uiPriority w:val="21"/>
    <w:qFormat/>
    <w:rsid w:val="00DE626F"/>
    <w:rPr>
      <w:b/>
      <w:bCs/>
      <w:i/>
      <w:iCs/>
      <w:color w:val="auto"/>
    </w:rPr>
  </w:style>
  <w:style w:type="paragraph" w:styleId="IntenseQuote">
    <w:name w:val="Intense Quote"/>
    <w:basedOn w:val="Normal"/>
    <w:next w:val="Normal"/>
    <w:link w:val="IntenseQuoteChar"/>
    <w:uiPriority w:val="30"/>
    <w:qFormat/>
    <w:rsid w:val="00DE626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626F"/>
    <w:rPr>
      <w:rFonts w:ascii="Courier New" w:eastAsia="Times New Roman" w:hAnsi="Courier New" w:cs="Times New Roman"/>
      <w:b/>
      <w:bCs/>
      <w:i/>
      <w:iCs/>
      <w:szCs w:val="20"/>
      <w:lang w:val="en-US" w:eastAsia="en-US"/>
    </w:rPr>
  </w:style>
  <w:style w:type="character" w:styleId="SubtleReference">
    <w:name w:val="Subtle Reference"/>
    <w:uiPriority w:val="31"/>
    <w:qFormat/>
    <w:rsid w:val="00DE626F"/>
    <w:rPr>
      <w:smallCaps/>
      <w:color w:val="auto"/>
      <w:u w:val="single"/>
    </w:rPr>
  </w:style>
  <w:style w:type="character" w:styleId="IntenseReference">
    <w:name w:val="Intense Reference"/>
    <w:uiPriority w:val="32"/>
    <w:qFormat/>
    <w:rsid w:val="00DE626F"/>
    <w:rPr>
      <w:b/>
      <w:bCs/>
      <w:smallCaps/>
      <w:color w:val="auto"/>
      <w:spacing w:val="5"/>
      <w:u w:val="single"/>
    </w:rPr>
  </w:style>
  <w:style w:type="paragraph" w:customStyle="1" w:styleId="2ColumnHeading">
    <w:name w:val="2Column Heading"/>
    <w:basedOn w:val="BodyText"/>
    <w:qFormat/>
    <w:rsid w:val="00DE626F"/>
    <w:pPr>
      <w:spacing w:after="60"/>
      <w:ind w:left="-2268"/>
    </w:pPr>
    <w:rPr>
      <w:b/>
    </w:rPr>
  </w:style>
  <w:style w:type="paragraph" w:customStyle="1" w:styleId="Heading1TOC">
    <w:name w:val="Heading1 TOC"/>
    <w:basedOn w:val="Normal"/>
    <w:qFormat/>
    <w:rsid w:val="00DE626F"/>
    <w:pPr>
      <w:spacing w:before="240" w:after="120"/>
    </w:pPr>
    <w:rPr>
      <w:rFonts w:ascii="Times New Roman" w:hAnsi="Times New Roman"/>
      <w:b/>
      <w:sz w:val="32"/>
    </w:rPr>
  </w:style>
  <w:style w:type="paragraph" w:customStyle="1" w:styleId="Heading2TOC">
    <w:name w:val="Heading2 TOC"/>
    <w:basedOn w:val="Normal"/>
    <w:qFormat/>
    <w:rsid w:val="00DE626F"/>
    <w:pPr>
      <w:spacing w:before="240" w:after="60"/>
    </w:pPr>
    <w:rPr>
      <w:rFonts w:ascii="Times New Roman" w:hAnsi="Times New Roman"/>
      <w:b/>
      <w:sz w:val="28"/>
    </w:rPr>
  </w:style>
  <w:style w:type="character" w:customStyle="1" w:styleId="Underline">
    <w:name w:val="Underline"/>
    <w:qFormat/>
    <w:rsid w:val="00DE626F"/>
    <w:rPr>
      <w:u w:val="single"/>
    </w:rPr>
  </w:style>
  <w:style w:type="character" w:customStyle="1" w:styleId="BoldandItalics">
    <w:name w:val="Bold and Italics"/>
    <w:qFormat/>
    <w:rsid w:val="00DE626F"/>
    <w:rPr>
      <w:b/>
      <w:i/>
      <w:u w:val="none"/>
    </w:rPr>
  </w:style>
  <w:style w:type="paragraph" w:styleId="BalloonText">
    <w:name w:val="Balloon Text"/>
    <w:basedOn w:val="Normal"/>
    <w:link w:val="BalloonTextChar"/>
    <w:rsid w:val="00DE626F"/>
    <w:rPr>
      <w:rFonts w:ascii="Tahoma" w:hAnsi="Tahoma" w:cs="Tahoma"/>
      <w:sz w:val="16"/>
      <w:szCs w:val="16"/>
    </w:rPr>
  </w:style>
  <w:style w:type="character" w:customStyle="1" w:styleId="BalloonTextChar">
    <w:name w:val="Balloon Text Char"/>
    <w:link w:val="BalloonText"/>
    <w:rsid w:val="00DE62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626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626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7026</Characters>
  <Application>Microsoft Office Word</Application>
  <DocSecurity>0</DocSecurity>
  <Lines>311</Lines>
  <Paragraphs>217</Paragraphs>
  <ScaleCrop>false</ScaleCrop>
  <Company>Author-it Software Corporation Ltd.</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MSATCM302A Monitor ferrous melting and casting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2012-05-26T18:29:00Z</dcterms:created>
  <dcterms:modified xsi:type="dcterms:W3CDTF">2012-05-26T18:29:00Z</dcterms:modified>
</cp:coreProperties>
</file>