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37A" w:rsidP="004C037A">
      <w:pPr>
        <w:pStyle w:val="Title"/>
      </w:pPr>
      <w:r>
        <w:fldChar w:fldCharType="begin"/>
      </w:r>
      <w:r>
        <w:instrText xml:space="preserve"> TITLE   \* MERGEFORMAT </w:instrText>
      </w:r>
      <w:r>
        <w:fldChar w:fldCharType="separate"/>
      </w:r>
      <w:r>
        <w:t>MSAPMSUP301A Apply HACCP to the workplace</w:t>
      </w:r>
      <w:r>
        <w:fldChar w:fldCharType="end"/>
      </w:r>
    </w:p>
    <w:p w:rsidR="004C037A" w:rsidP="004C037A">
      <w:pPr>
        <w:pStyle w:val="Version"/>
        <w:sectPr w:rsidSect="001C4D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4D39" w:rsidP="001C4D39">
      <w:pPr>
        <w:pStyle w:val="SuperHeading"/>
      </w:pPr>
      <w:r w:rsidRPr="001C4D39">
        <w:t>MSAPMSUP301A Apply HACCP to the workplace</w:t>
      </w:r>
    </w:p>
    <w:p w:rsidR="00000000" w:rsidRPr="001C4D39" w:rsidP="001C4D39">
      <w:pPr>
        <w:pStyle w:val="SuperHeading"/>
      </w:pPr>
    </w:p>
    <w:p w:rsidR="00000000" w:rsidRPr="001C4D39" w:rsidP="001C4D39">
      <w:pPr>
        <w:pStyle w:val="Heading1"/>
      </w:pPr>
      <w:bookmarkStart w:id="1" w:name="O_101787"/>
      <w:bookmarkEnd w:id="1"/>
      <w:r w:rsidRPr="001C4D39">
        <w:t>Modification History</w:t>
      </w:r>
    </w:p>
    <w:p w:rsidR="00000000" w:rsidRPr="001C4D39" w:rsidP="001C4D39">
      <w:pPr>
        <w:pStyle w:val="BodyText"/>
      </w:pPr>
      <w:r w:rsidRPr="001C4D39">
        <w:t>Not applicable.</w:t>
      </w:r>
    </w:p>
    <w:p w:rsidR="00000000" w:rsidRPr="001C4D39" w:rsidP="001C4D39">
      <w:pPr>
        <w:pStyle w:val="AllowPageBreak"/>
      </w:pPr>
    </w:p>
    <w:p w:rsidR="00000000" w:rsidRPr="001C4D39" w:rsidP="001C4D39">
      <w:pPr>
        <w:pStyle w:val="Heading1"/>
      </w:pPr>
      <w:bookmarkStart w:id="2" w:name="O_101788"/>
      <w:bookmarkEnd w:id="2"/>
      <w:r w:rsidRPr="001C4D39">
        <w:t>Unit Descriptor</w:t>
      </w:r>
    </w:p>
    <w:p w:rsidR="00000000" w:rsidRPr="001C4D39" w:rsidP="001C4D39">
      <w:pPr>
        <w:pStyle w:val="BodyText"/>
      </w:pPr>
      <w:r w:rsidRPr="001C4D39">
        <w:rPr>
          <w:rStyle w:val="SpecialBold"/>
        </w:rPr>
        <w:t>Unit descriptor</w:t>
      </w:r>
    </w:p>
    <w:p w:rsidR="00000000" w:rsidRPr="001C4D39" w:rsidP="001C4D39">
      <w:pPr>
        <w:pStyle w:val="BodyText"/>
      </w:pPr>
      <w:r w:rsidRPr="001C4D39">
        <w:t>This competency applies to senior operators working in sectors that make products which come in</w:t>
      </w:r>
      <w:r w:rsidRPr="001C4D39">
        <w:t xml:space="preserve">to contact with food and beverages </w:t>
      </w:r>
    </w:p>
    <w:p w:rsidR="00000000" w:rsidRPr="001C4D39" w:rsidP="001C4D39">
      <w:pPr>
        <w:pStyle w:val="BodyText"/>
      </w:pPr>
      <w:r w:rsidRPr="001C4D39">
        <w:t>This competency covers the application of a HACCP-based approach to food and beverage related products.</w:t>
      </w:r>
    </w:p>
    <w:p w:rsidR="00000000" w:rsidRPr="001C4D39" w:rsidP="001C4D39">
      <w:pPr>
        <w:pStyle w:val="BodyText"/>
      </w:pPr>
      <w:r w:rsidRPr="001C4D39">
        <w:t>Acronyms used in this competency:</w:t>
      </w:r>
    </w:p>
    <w:p w:rsidR="00000000" w:rsidRPr="001C4D39" w:rsidP="001C4D39">
      <w:pPr>
        <w:pStyle w:val="ListBullet"/>
      </w:pPr>
      <w:r w:rsidRPr="001C4D39">
        <w:t xml:space="preserve">CCP - critical control points </w:t>
      </w:r>
    </w:p>
    <w:p w:rsidR="00000000" w:rsidRPr="001C4D39" w:rsidP="001C4D39">
      <w:pPr>
        <w:pStyle w:val="ListBullet"/>
      </w:pPr>
      <w:r w:rsidRPr="001C4D39">
        <w:t>CCF - critical control factors</w:t>
      </w:r>
    </w:p>
    <w:p w:rsidR="00000000" w:rsidRPr="001C4D39" w:rsidP="001C4D39">
      <w:pPr>
        <w:pStyle w:val="ListBullet"/>
      </w:pPr>
      <w:r w:rsidRPr="001C4D39">
        <w:t>CCL - critical control limits</w:t>
      </w:r>
    </w:p>
    <w:p w:rsidR="00000000" w:rsidRPr="001C4D39" w:rsidP="001C4D39">
      <w:pPr>
        <w:pStyle w:val="ListBullet"/>
      </w:pPr>
      <w:r w:rsidRPr="001C4D39">
        <w:t>HACCP - hazard analysis critical control points</w:t>
      </w:r>
    </w:p>
    <w:p w:rsidR="004C037A" w:rsidP="001C4D39">
      <w:pPr>
        <w:pStyle w:val="ListBullet"/>
      </w:pPr>
      <w:r w:rsidRPr="001C4D39">
        <w:t>HAT - hazard analysis table.</w:t>
      </w:r>
    </w:p>
    <w:p w:rsidR="004C037A" w:rsidP="001C4D39">
      <w:pPr>
        <w:pStyle w:val="ListBullet"/>
      </w:pPr>
    </w:p>
    <w:p w:rsidR="00000000" w:rsidRPr="001C4D39" w:rsidP="001C4D39">
      <w:pPr>
        <w:pStyle w:val="Heading1"/>
      </w:pPr>
      <w:bookmarkStart w:id="3" w:name="O_101789"/>
      <w:bookmarkEnd w:id="3"/>
      <w:r w:rsidRPr="001C4D39">
        <w:t>Application of the Unit</w:t>
      </w:r>
    </w:p>
    <w:p w:rsidR="00000000" w:rsidRPr="001C4D39" w:rsidP="001C4D39">
      <w:pPr>
        <w:pStyle w:val="BodyText"/>
      </w:pPr>
      <w:r w:rsidRPr="001C4D39">
        <w:rPr>
          <w:rStyle w:val="SpecialBold"/>
        </w:rPr>
        <w:t>Application of this unit</w:t>
      </w:r>
    </w:p>
    <w:p w:rsidR="00000000" w:rsidRPr="001C4D39" w:rsidP="001C4D39">
      <w:pPr>
        <w:pStyle w:val="BodyText"/>
      </w:pPr>
      <w:r w:rsidRPr="001C4D39">
        <w:t>This competency unit covers the development/modification of a HACCP/HAT to the man</w:t>
      </w:r>
      <w:r w:rsidRPr="001C4D39">
        <w:t>ufacture of products to be used in contact with food, beverages or pharmaceuticals. It assumes an understanding of the operation of all relevant equipment and processes but does not necessarily require them to be used personally.</w:t>
      </w:r>
    </w:p>
    <w:p w:rsidR="00000000" w:rsidRPr="001C4D39" w:rsidP="001C4D39">
      <w:pPr>
        <w:pStyle w:val="BodyText"/>
      </w:pPr>
      <w:r w:rsidRPr="001C4D39">
        <w:t>This competency applies to</w:t>
      </w:r>
      <w:r w:rsidRPr="001C4D39">
        <w:t xml:space="preserve"> all work environments and sectors within the industry where the product comes into contact with food, beverages or pharmaceuticals or otherwise requires 'food standard' to be maintained. Standard procedures means all relevant workplace procedures, work in</w:t>
      </w:r>
      <w:r w:rsidRPr="001C4D39">
        <w:t>structions, temporary instructions and relevant industry and government codes and standards.</w:t>
      </w:r>
    </w:p>
    <w:p w:rsidR="00000000" w:rsidRPr="001C4D39" w:rsidP="001C4D39">
      <w:pPr>
        <w:pStyle w:val="BodyText"/>
      </w:pPr>
      <w:r w:rsidRPr="001C4D39">
        <w:t>It includes:</w:t>
      </w:r>
    </w:p>
    <w:p w:rsidR="00000000" w:rsidRPr="001C4D39" w:rsidP="001C4D39">
      <w:pPr>
        <w:pStyle w:val="ListBullet"/>
      </w:pPr>
      <w:r w:rsidRPr="001C4D39">
        <w:t>applying the 'seven principles' of HACCP</w:t>
      </w:r>
    </w:p>
    <w:p w:rsidR="00000000" w:rsidRPr="001C4D39" w:rsidP="001C4D39">
      <w:pPr>
        <w:pStyle w:val="ListBullet"/>
      </w:pPr>
      <w:r w:rsidRPr="001C4D39">
        <w:t>developing a HAT from a HACCP</w:t>
      </w:r>
    </w:p>
    <w:p w:rsidR="00000000" w:rsidRPr="001C4D39" w:rsidP="001C4D39">
      <w:pPr>
        <w:pStyle w:val="ListBullet"/>
      </w:pPr>
      <w:r w:rsidRPr="001C4D39">
        <w:t>developing a new HACCP as part of a HACCP team</w:t>
      </w:r>
    </w:p>
    <w:p w:rsidR="00000000" w:rsidRPr="001C4D39" w:rsidP="001C4D39">
      <w:pPr>
        <w:pStyle w:val="ListBullet"/>
      </w:pPr>
      <w:r w:rsidRPr="001C4D39">
        <w:t>making changes to existing HACC</w:t>
      </w:r>
      <w:r w:rsidRPr="001C4D39">
        <w:t>Ps/HATs, resulting from process/material changes (provided such changes are not major requiring a complete new analysis)</w:t>
      </w:r>
    </w:p>
    <w:p w:rsidR="004C037A" w:rsidP="001C4D39">
      <w:pPr>
        <w:pStyle w:val="ListBullet"/>
      </w:pPr>
      <w:r w:rsidRPr="001C4D39">
        <w:t>helping operators to apply and use the HACCP/HAT in their routine work.</w:t>
      </w:r>
    </w:p>
    <w:p w:rsidR="004C037A" w:rsidP="001C4D39">
      <w:pPr>
        <w:pStyle w:val="ListBullet"/>
      </w:pPr>
    </w:p>
    <w:p w:rsidR="00000000" w:rsidRPr="001C4D39" w:rsidP="001C4D39">
      <w:pPr>
        <w:pStyle w:val="Heading1"/>
      </w:pPr>
      <w:bookmarkStart w:id="4" w:name="O_101790"/>
      <w:bookmarkEnd w:id="4"/>
      <w:r w:rsidRPr="001C4D39">
        <w:t>Licensing/Regulatory Information</w:t>
      </w:r>
    </w:p>
    <w:p w:rsidR="00000000" w:rsidRPr="001C4D39" w:rsidP="001C4D39">
      <w:pPr>
        <w:pStyle w:val="BodyText"/>
      </w:pPr>
      <w:r w:rsidRPr="001C4D39">
        <w:t>Not applicab</w:t>
      </w:r>
      <w:r w:rsidRPr="001C4D39">
        <w:t>le.</w:t>
      </w:r>
    </w:p>
    <w:p w:rsidR="00000000" w:rsidRPr="001C4D39" w:rsidP="001C4D39">
      <w:pPr>
        <w:pStyle w:val="AllowPageBreak"/>
      </w:pPr>
    </w:p>
    <w:p w:rsidR="00000000" w:rsidRPr="001C4D39" w:rsidP="001C4D39">
      <w:pPr>
        <w:pStyle w:val="Heading1"/>
      </w:pPr>
      <w:bookmarkStart w:id="5" w:name="O_101792"/>
      <w:bookmarkEnd w:id="5"/>
      <w:r w:rsidRPr="001C4D39">
        <w:t>Pre-Requisites</w:t>
      </w:r>
    </w:p>
    <w:p w:rsidR="00000000" w:rsidRPr="001C4D39" w:rsidP="001C4D39">
      <w:pPr>
        <w:pStyle w:val="BodyText"/>
      </w:pPr>
      <w:r w:rsidRPr="001C4D39">
        <w:rPr>
          <w:rStyle w:val="SpecialBold"/>
        </w:rPr>
        <w:t>Prerequisites</w:t>
      </w:r>
    </w:p>
    <w:p w:rsidR="004C037A" w:rsidP="001C4D39">
      <w:pPr>
        <w:pStyle w:val="BodyText"/>
      </w:pPr>
      <w:r w:rsidRPr="001C4D39">
        <w:t xml:space="preserve">This unit has </w:t>
      </w:r>
      <w:r w:rsidRPr="001C4D39">
        <w:rPr>
          <w:rStyle w:val="SpecialBold"/>
        </w:rPr>
        <w:t>no</w:t>
      </w:r>
      <w:r w:rsidRPr="001C4D39">
        <w:t xml:space="preserve"> prerequisites.</w:t>
      </w:r>
    </w:p>
    <w:p w:rsidR="004C037A" w:rsidP="001C4D39">
      <w:pPr>
        <w:pStyle w:val="BodyText"/>
      </w:pPr>
    </w:p>
    <w:p w:rsidR="00000000" w:rsidRPr="001C4D39" w:rsidP="001C4D39">
      <w:pPr>
        <w:pStyle w:val="Heading1"/>
      </w:pPr>
      <w:bookmarkStart w:id="6" w:name="O_101791"/>
      <w:bookmarkEnd w:id="6"/>
      <w:r w:rsidRPr="001C4D39">
        <w:t>Employability Skills Information</w:t>
      </w:r>
    </w:p>
    <w:p w:rsidR="00000000" w:rsidRPr="001C4D39" w:rsidP="001C4D39">
      <w:pPr>
        <w:pStyle w:val="BodyText"/>
      </w:pPr>
      <w:r w:rsidRPr="001C4D39">
        <w:rPr>
          <w:rStyle w:val="SpecialBold"/>
        </w:rPr>
        <w:t>Employability Skills</w:t>
      </w:r>
    </w:p>
    <w:p w:rsidR="004C037A" w:rsidP="001C4D39">
      <w:pPr>
        <w:pStyle w:val="BodyText"/>
      </w:pPr>
      <w:r w:rsidRPr="001C4D39">
        <w:t>This unit contains employability skills.</w:t>
      </w:r>
    </w:p>
    <w:p w:rsidR="004C037A" w:rsidP="001C4D39">
      <w:pPr>
        <w:pStyle w:val="BodyText"/>
      </w:pPr>
    </w:p>
    <w:p w:rsidR="00000000" w:rsidRPr="001C4D39" w:rsidP="001C4D39">
      <w:pPr>
        <w:pStyle w:val="Heading1"/>
      </w:pPr>
      <w:bookmarkStart w:id="7" w:name="O_101793"/>
      <w:bookmarkEnd w:id="7"/>
      <w:r w:rsidRPr="001C4D39">
        <w:t>Elements and Performance Criteria Pre-Content</w:t>
      </w:r>
    </w:p>
    <w:tbl>
      <w:tblPr>
        <w:tblW w:w="0" w:type="auto"/>
        <w:tblLayout w:type="fixed"/>
        <w:tblCellMar>
          <w:left w:w="62" w:type="dxa"/>
          <w:right w:w="62" w:type="dxa"/>
        </w:tblCellMar>
        <w:tblLook w:val="0000"/>
      </w:tblPr>
      <w:tblGrid>
        <w:gridCol w:w="2877"/>
        <w:gridCol w:w="5627"/>
      </w:tblGrid>
      <w:tr w:rsidTr="004C037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D39" w:rsidP="001C4D39">
            <w:pPr>
              <w:pStyle w:val="BodyText"/>
            </w:pPr>
            <w:r w:rsidRPr="001C4D39">
              <w:rPr>
                <w:rStyle w:val="SpecialBold"/>
              </w:rPr>
              <w:t>ELEMENT</w:t>
            </w:r>
          </w:p>
          <w:p w:rsidR="00000000" w:rsidRPr="001C4D39" w:rsidP="001C4D39">
            <w:pPr>
              <w:pStyle w:val="BodyText"/>
            </w:pPr>
            <w:r w:rsidRPr="001C4D3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D39" w:rsidP="001C4D39">
            <w:pPr>
              <w:pStyle w:val="BodyText"/>
            </w:pPr>
            <w:r w:rsidRPr="001C4D39">
              <w:rPr>
                <w:rStyle w:val="SpecialBold"/>
              </w:rPr>
              <w:t>PERFORMANCE CRITERIA</w:t>
            </w:r>
          </w:p>
          <w:p w:rsidR="00000000" w:rsidRPr="001C4D39" w:rsidP="001C4D39">
            <w:pPr>
              <w:pStyle w:val="BodyText"/>
            </w:pPr>
            <w:r w:rsidRPr="001C4D39">
              <w:t xml:space="preserve">Performance Criteria describe the required performance needed to demonstrate achievement of the Element. Assessment </w:t>
            </w:r>
            <w:r w:rsidRPr="001C4D39">
              <w:t>of performance is to be consistent with the Evidence Guide.</w:t>
            </w:r>
          </w:p>
        </w:tc>
      </w:tr>
    </w:tbl>
    <w:p w:rsidR="00000000" w:rsidRPr="001C4D39" w:rsidP="001C4D39">
      <w:pPr>
        <w:pStyle w:val="BodyText"/>
      </w:pPr>
    </w:p>
    <w:p w:rsidR="00000000" w:rsidRPr="001C4D39" w:rsidP="001C4D39">
      <w:pPr>
        <w:pStyle w:val="AllowPageBreak"/>
      </w:pPr>
    </w:p>
    <w:p w:rsidR="00000000" w:rsidRPr="001C4D39" w:rsidP="001C4D39">
      <w:pPr>
        <w:pStyle w:val="Heading1"/>
      </w:pPr>
      <w:bookmarkStart w:id="8" w:name="O_101794"/>
      <w:bookmarkEnd w:id="8"/>
      <w:r w:rsidRPr="001C4D39">
        <w:t>Elements and Performance Criteria</w:t>
      </w:r>
    </w:p>
    <w:tbl>
      <w:tblPr>
        <w:tblW w:w="0" w:type="auto"/>
        <w:tblLayout w:type="fixed"/>
        <w:tblCellMar>
          <w:left w:w="62" w:type="dxa"/>
          <w:right w:w="62" w:type="dxa"/>
        </w:tblCellMar>
        <w:tblLook w:val="0000"/>
      </w:tblPr>
      <w:tblGrid>
        <w:gridCol w:w="2877"/>
        <w:gridCol w:w="5627"/>
      </w:tblGrid>
      <w:tr w:rsidTr="004C037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D39" w:rsidP="001C4D39">
            <w:pPr>
              <w:pStyle w:val="BodyText"/>
            </w:pPr>
            <w:r w:rsidRPr="001C4D39">
              <w:rPr>
                <w:rStyle w:val="SpecialBold"/>
              </w:rPr>
              <w:t>ELEMENT</w:t>
            </w:r>
          </w:p>
          <w:p w:rsidR="00000000" w:rsidRPr="001C4D39" w:rsidP="001C4D39">
            <w:pPr>
              <w:pStyle w:val="BodyText"/>
            </w:pPr>
            <w:r w:rsidRPr="001C4D3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D39" w:rsidP="001C4D39">
            <w:pPr>
              <w:pStyle w:val="BodyText"/>
            </w:pPr>
            <w:r w:rsidRPr="001C4D39">
              <w:rPr>
                <w:rStyle w:val="SpecialBold"/>
              </w:rPr>
              <w:t>PERFORMANCE CRITERIA</w:t>
            </w:r>
          </w:p>
          <w:p w:rsidR="00000000" w:rsidP="001C4D39">
            <w:pPr>
              <w:pStyle w:val="BodyText"/>
              <w:rPr>
                <w:lang w:val="en-NZ"/>
              </w:rPr>
            </w:pPr>
            <w:r w:rsidRPr="001C4D39">
              <w:t>Performance Criteria describe the required performance needed to demonstrate achievement of the Element. Assessment of performance is to be consistent with the Evidence Guide.</w:t>
            </w:r>
          </w:p>
        </w:tc>
      </w:tr>
      <w:tr w:rsidTr="004C037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D39">
            <w:pPr>
              <w:pStyle w:val="List"/>
              <w:rPr>
                <w:lang w:val="en-NZ"/>
              </w:rPr>
            </w:pPr>
            <w:r w:rsidRPr="001C4D39">
              <w:t>1.</w:t>
            </w:r>
            <w:r w:rsidRPr="001C4D39">
              <w:tab/>
              <w:t>Apply a HAT to an existing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D39" w:rsidP="001C4D39">
            <w:pPr>
              <w:pStyle w:val="List"/>
            </w:pPr>
            <w:r w:rsidRPr="001C4D39">
              <w:t>1.1</w:t>
            </w:r>
            <w:r w:rsidRPr="001C4D39">
              <w:tab/>
              <w:t>Identify CCPs.</w:t>
            </w:r>
          </w:p>
          <w:p w:rsidR="00000000" w:rsidRPr="001C4D39" w:rsidP="001C4D39">
            <w:pPr>
              <w:pStyle w:val="List"/>
            </w:pPr>
            <w:r w:rsidRPr="001C4D39">
              <w:t>1.2</w:t>
            </w:r>
            <w:r w:rsidRPr="001C4D39">
              <w:tab/>
              <w:t>Recognise CCFs wh</w:t>
            </w:r>
            <w:r w:rsidRPr="001C4D39">
              <w:t>ich are outside of or approaching CCLs.</w:t>
            </w:r>
          </w:p>
          <w:p w:rsidR="00000000" w:rsidRPr="001C4D39" w:rsidP="001C4D39">
            <w:pPr>
              <w:pStyle w:val="List"/>
            </w:pPr>
            <w:r w:rsidRPr="001C4D39">
              <w:t>1.3</w:t>
            </w:r>
            <w:r w:rsidRPr="001C4D39">
              <w:tab/>
              <w:t>Describe hazard related to CCFs and CCLs.</w:t>
            </w:r>
          </w:p>
          <w:p w:rsidR="00000000" w:rsidP="001C4D39">
            <w:pPr>
              <w:pStyle w:val="List"/>
              <w:rPr>
                <w:lang w:val="en-NZ"/>
              </w:rPr>
            </w:pPr>
            <w:r w:rsidRPr="001C4D39">
              <w:t>1.4</w:t>
            </w:r>
            <w:r w:rsidRPr="001C4D39">
              <w:tab/>
              <w:t>Implement corrective action as per HAT.</w:t>
            </w:r>
          </w:p>
        </w:tc>
      </w:tr>
      <w:tr w:rsidTr="004C037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D39">
            <w:pPr>
              <w:pStyle w:val="List"/>
              <w:rPr>
                <w:lang w:val="en-NZ"/>
              </w:rPr>
            </w:pPr>
            <w:r w:rsidRPr="001C4D39">
              <w:t>2.</w:t>
            </w:r>
            <w:r w:rsidRPr="001C4D39">
              <w:tab/>
              <w:t>Develop/modify a HACCP.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D39" w:rsidP="001C4D39">
            <w:pPr>
              <w:pStyle w:val="List"/>
            </w:pPr>
            <w:r w:rsidRPr="001C4D39">
              <w:t>2.1</w:t>
            </w:r>
            <w:r w:rsidRPr="001C4D39">
              <w:tab/>
              <w:t>Conduct a hazard analysis.</w:t>
            </w:r>
          </w:p>
          <w:p w:rsidR="00000000" w:rsidRPr="001C4D39" w:rsidP="001C4D39">
            <w:pPr>
              <w:pStyle w:val="List"/>
            </w:pPr>
            <w:r w:rsidRPr="001C4D39">
              <w:t>2.2</w:t>
            </w:r>
            <w:r w:rsidRPr="001C4D39">
              <w:tab/>
              <w:t>Determine the CCPs.</w:t>
            </w:r>
          </w:p>
          <w:p w:rsidR="00000000" w:rsidRPr="001C4D39" w:rsidP="001C4D39">
            <w:pPr>
              <w:pStyle w:val="List"/>
            </w:pPr>
            <w:r w:rsidRPr="001C4D39">
              <w:t>2.3</w:t>
            </w:r>
            <w:r w:rsidRPr="001C4D39">
              <w:tab/>
              <w:t>Establish critical limits.</w:t>
            </w:r>
          </w:p>
          <w:p w:rsidR="00000000" w:rsidRPr="001C4D39" w:rsidP="001C4D39">
            <w:pPr>
              <w:pStyle w:val="List"/>
            </w:pPr>
            <w:r w:rsidRPr="001C4D39">
              <w:t>2.4</w:t>
            </w:r>
            <w:r w:rsidRPr="001C4D39">
              <w:tab/>
              <w:t>Establis</w:t>
            </w:r>
            <w:r w:rsidRPr="001C4D39">
              <w:t>h/modify a system to monitor control of the CCPs.</w:t>
            </w:r>
          </w:p>
          <w:p w:rsidR="00000000" w:rsidRPr="001C4D39" w:rsidP="001C4D39">
            <w:pPr>
              <w:pStyle w:val="List"/>
            </w:pPr>
            <w:r w:rsidRPr="001C4D39">
              <w:t>2.5</w:t>
            </w:r>
            <w:r w:rsidRPr="001C4D39">
              <w:tab/>
              <w:t>Establish the corrective action to be taken when monitoring indicates that a particular CCP is not under control.</w:t>
            </w:r>
          </w:p>
          <w:p w:rsidR="00000000" w:rsidRPr="001C4D39" w:rsidP="001C4D39">
            <w:pPr>
              <w:pStyle w:val="List"/>
            </w:pPr>
            <w:r w:rsidRPr="001C4D39">
              <w:t>2.6</w:t>
            </w:r>
            <w:r w:rsidRPr="001C4D39">
              <w:tab/>
            </w:r>
            <w:r w:rsidRPr="001C4D39">
              <w:t>Establish procedures for verification to confirm that the HACCPsystem is working effectively.</w:t>
            </w:r>
          </w:p>
          <w:p w:rsidR="00000000" w:rsidP="001C4D39">
            <w:pPr>
              <w:pStyle w:val="BodyText"/>
              <w:rPr>
                <w:lang w:val="en-NZ"/>
              </w:rPr>
            </w:pPr>
            <w:r w:rsidRPr="001C4D39">
              <w:t>2.7   Establish/modify documentation concerning all procedures and records appropriate to these principles and their application.</w:t>
            </w:r>
          </w:p>
        </w:tc>
      </w:tr>
      <w:tr w:rsidTr="004C037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D39">
            <w:pPr>
              <w:pStyle w:val="List"/>
              <w:rPr>
                <w:lang w:val="en-NZ"/>
              </w:rPr>
            </w:pPr>
            <w:r w:rsidRPr="001C4D39">
              <w:t>3.</w:t>
            </w:r>
            <w:r w:rsidRPr="001C4D39">
              <w:tab/>
              <w:t>Interpret HACCP/HAT to anoth</w:t>
            </w:r>
            <w:r w:rsidRPr="001C4D39">
              <w:t>er worker.</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D39" w:rsidP="001C4D39">
            <w:pPr>
              <w:pStyle w:val="List"/>
            </w:pPr>
            <w:r w:rsidRPr="001C4D39">
              <w:t>3.1</w:t>
            </w:r>
            <w:r w:rsidRPr="001C4D39">
              <w:tab/>
              <w:t>Explain the purpose and rationale of HACCP.</w:t>
            </w:r>
          </w:p>
          <w:p w:rsidR="00000000" w:rsidRPr="001C4D39" w:rsidP="001C4D39">
            <w:pPr>
              <w:pStyle w:val="List"/>
            </w:pPr>
            <w:r w:rsidRPr="001C4D39">
              <w:t>3.2</w:t>
            </w:r>
            <w:r w:rsidRPr="001C4D39">
              <w:tab/>
              <w:t>Identify CCPs, CCFs and CCLs.</w:t>
            </w:r>
          </w:p>
          <w:p w:rsidR="00000000" w:rsidRPr="001C4D39" w:rsidP="001C4D39">
            <w:pPr>
              <w:pStyle w:val="List"/>
            </w:pPr>
            <w:r w:rsidRPr="001C4D39">
              <w:t>3.3</w:t>
            </w:r>
            <w:r w:rsidRPr="001C4D39">
              <w:tab/>
              <w:t>Describe indicators of CCFs not within their CCLs.</w:t>
            </w:r>
          </w:p>
          <w:p w:rsidR="00000000" w:rsidRPr="001C4D39" w:rsidP="001C4D39">
            <w:pPr>
              <w:pStyle w:val="List"/>
            </w:pPr>
            <w:r w:rsidRPr="001C4D39">
              <w:t>3.4</w:t>
            </w:r>
            <w:r w:rsidRPr="001C4D39">
              <w:tab/>
              <w:t>Describe impact of non-conformances.</w:t>
            </w:r>
          </w:p>
          <w:p w:rsidR="00000000" w:rsidRPr="001C4D39" w:rsidP="001C4D39">
            <w:pPr>
              <w:pStyle w:val="List"/>
            </w:pPr>
            <w:r w:rsidRPr="001C4D39">
              <w:t>3.5</w:t>
            </w:r>
            <w:r w:rsidRPr="001C4D39">
              <w:tab/>
              <w:t>Demonstrate corrective action.</w:t>
            </w:r>
          </w:p>
          <w:p w:rsidR="00000000" w:rsidRPr="001C4D39" w:rsidP="001C4D39">
            <w:pPr>
              <w:pStyle w:val="List"/>
            </w:pPr>
            <w:r w:rsidRPr="001C4D39">
              <w:t>3.6</w:t>
            </w:r>
            <w:r w:rsidRPr="001C4D39">
              <w:tab/>
              <w:t>Monitor worker implement.</w:t>
            </w:r>
          </w:p>
        </w:tc>
      </w:tr>
    </w:tbl>
    <w:p w:rsidR="00000000" w:rsidRPr="001C4D39" w:rsidP="001C4D39">
      <w:pPr>
        <w:pStyle w:val="BodyText"/>
      </w:pPr>
    </w:p>
    <w:p w:rsidR="00000000" w:rsidRPr="001C4D39" w:rsidP="001C4D39">
      <w:pPr>
        <w:pStyle w:val="AllowPageBreak"/>
      </w:pPr>
    </w:p>
    <w:p w:rsidR="00000000" w:rsidRPr="001C4D39" w:rsidP="001C4D39">
      <w:pPr>
        <w:pStyle w:val="Heading1"/>
      </w:pPr>
      <w:bookmarkStart w:id="9" w:name="O_101795"/>
      <w:bookmarkEnd w:id="9"/>
      <w:r w:rsidRPr="001C4D39">
        <w:t>Required Skills and Knowledge</w:t>
      </w:r>
    </w:p>
    <w:p w:rsidR="00000000" w:rsidRPr="001C4D39" w:rsidP="001C4D39">
      <w:pPr>
        <w:pStyle w:val="BodyText"/>
        <w:rPr>
          <w:rStyle w:val="SpecialBold"/>
        </w:rPr>
      </w:pPr>
    </w:p>
    <w:p w:rsidR="00000000" w:rsidRPr="001C4D39" w:rsidP="001C4D39">
      <w:pPr>
        <w:pStyle w:val="BodyText"/>
      </w:pPr>
      <w:r w:rsidRPr="001C4D39">
        <w:t>This describes the essential skills and knowledge and their level required for this unit.</w:t>
      </w:r>
    </w:p>
    <w:p w:rsidR="00000000" w:rsidRPr="001C4D39" w:rsidP="001C4D39">
      <w:pPr>
        <w:pStyle w:val="BodyText"/>
      </w:pPr>
      <w:r w:rsidRPr="001C4D39">
        <w:t xml:space="preserve">Knowledge and understanding of the materials, equipment and process sufficient to recognise HACCP/HAT issues and take </w:t>
      </w:r>
      <w:r w:rsidRPr="001C4D39">
        <w:t>appropriate corrective action.</w:t>
      </w:r>
    </w:p>
    <w:p w:rsidR="00000000" w:rsidRPr="001C4D39" w:rsidP="001C4D39">
      <w:pPr>
        <w:pStyle w:val="BodyText"/>
      </w:pPr>
      <w:r w:rsidRPr="001C4D39">
        <w:t>Knowledge of organisation standard procedures, HACCPs and HATs and relevant regulatory requirements along with the ability to implement them within appropriate time constraints and in a manner relevant to the job.</w:t>
      </w:r>
    </w:p>
    <w:p w:rsidR="00000000" w:rsidRPr="001C4D39" w:rsidP="001C4D39">
      <w:pPr>
        <w:pStyle w:val="BodyText"/>
      </w:pPr>
      <w:r w:rsidRPr="001C4D39">
        <w:t>Competence includes knowledge of:</w:t>
      </w:r>
    </w:p>
    <w:p w:rsidR="00000000" w:rsidRPr="001C4D39" w:rsidP="001C4D39">
      <w:pPr>
        <w:pStyle w:val="ListBullet"/>
      </w:pPr>
      <w:r w:rsidRPr="001C4D39">
        <w:t>the HACCP approach</w:t>
      </w:r>
    </w:p>
    <w:p w:rsidR="00000000" w:rsidRPr="001C4D39" w:rsidP="001C4D39">
      <w:pPr>
        <w:pStyle w:val="ListBullet"/>
      </w:pPr>
      <w:r w:rsidRPr="001C4D39">
        <w:t>HAT relevance to routine production</w:t>
      </w:r>
    </w:p>
    <w:p w:rsidR="00000000" w:rsidRPr="001C4D39" w:rsidP="001C4D39">
      <w:pPr>
        <w:pStyle w:val="ListBullet"/>
      </w:pPr>
      <w:r w:rsidRPr="001C4D39">
        <w:t>impacts of variations in materials, process and product on HACCP</w:t>
      </w:r>
    </w:p>
    <w:p w:rsidR="00000000" w:rsidRPr="001C4D39" w:rsidP="001C4D39">
      <w:pPr>
        <w:pStyle w:val="ListBullet"/>
      </w:pPr>
      <w:r w:rsidRPr="001C4D39">
        <w:t>the relevance of the Codex Alimentarius to food/beverage/pharmaceutical packaging</w:t>
      </w:r>
    </w:p>
    <w:p w:rsidR="00000000" w:rsidRPr="001C4D39" w:rsidP="001C4D39">
      <w:pPr>
        <w:pStyle w:val="BodyText"/>
      </w:pPr>
      <w:r w:rsidRPr="001C4D39">
        <w:t>and the ability to:</w:t>
      </w:r>
    </w:p>
    <w:p w:rsidR="00000000" w:rsidRPr="001C4D39" w:rsidP="001C4D39">
      <w:pPr>
        <w:pStyle w:val="ListBullet"/>
      </w:pPr>
      <w:r w:rsidRPr="001C4D39">
        <w:t xml:space="preserve">apply the Codex Alimentarius to the food industry </w:t>
      </w:r>
    </w:p>
    <w:p w:rsidR="00000000" w:rsidRPr="001C4D39" w:rsidP="001C4D39">
      <w:pPr>
        <w:pStyle w:val="ListBullet"/>
      </w:pPr>
      <w:r w:rsidRPr="001C4D39">
        <w:t>analyse process and material variations in terms of the HACCPand determine appropriate action(s)</w:t>
      </w:r>
    </w:p>
    <w:p w:rsidR="00000000" w:rsidRPr="001C4D39" w:rsidP="001C4D39">
      <w:pPr>
        <w:pStyle w:val="ListBullet"/>
      </w:pPr>
      <w:r w:rsidRPr="001C4D39">
        <w:t>develop a new HACCP as part of a team</w:t>
      </w:r>
    </w:p>
    <w:p w:rsidR="00000000" w:rsidRPr="001C4D39" w:rsidP="001C4D39">
      <w:pPr>
        <w:pStyle w:val="ListBullet"/>
      </w:pPr>
      <w:r w:rsidRPr="001C4D39">
        <w:t>recognise the need to modify an existing HACCP/HAT and make minor mo</w:t>
      </w:r>
      <w:r w:rsidRPr="001C4D39">
        <w:t>difications.</w:t>
      </w:r>
    </w:p>
    <w:p w:rsidR="00000000" w:rsidRPr="001C4D39" w:rsidP="001C4D39">
      <w:pPr>
        <w:pStyle w:val="BodyText"/>
      </w:pPr>
      <w:r w:rsidRPr="001C4D39">
        <w:rPr>
          <w:rStyle w:val="SpecialBold"/>
        </w:rPr>
        <w:t>Language</w:t>
      </w:r>
      <w:r w:rsidRPr="001C4D39">
        <w:t xml:space="preserve">, </w:t>
      </w:r>
      <w:r w:rsidRPr="001C4D39">
        <w:rPr>
          <w:rStyle w:val="SpecialBold"/>
        </w:rPr>
        <w:t>literacy and numeracy requirements</w:t>
      </w:r>
    </w:p>
    <w:p w:rsidR="00000000" w:rsidRPr="001C4D39" w:rsidP="001C4D39">
      <w:pPr>
        <w:pStyle w:val="BodyText"/>
      </w:pPr>
      <w:r w:rsidRPr="001C4D39">
        <w:t>This unit requires the ability to read, interpret and write technical information and explain it to operators.</w:t>
      </w:r>
    </w:p>
    <w:p w:rsidR="00000000" w:rsidRPr="001C4D39" w:rsidP="001C4D39">
      <w:pPr>
        <w:pStyle w:val="BodyText"/>
      </w:pPr>
      <w:r w:rsidRPr="001C4D39">
        <w:t>Writing is required to the level of writing technical reports and HACCP/HAT tables.</w:t>
      </w:r>
    </w:p>
    <w:p w:rsidR="004C037A" w:rsidP="001C4D39">
      <w:pPr>
        <w:pStyle w:val="BodyText"/>
      </w:pPr>
      <w:r w:rsidRPr="001C4D39">
        <w:t>Num</w:t>
      </w:r>
      <w:r w:rsidRPr="001C4D39">
        <w:t>eracy is also required, eg to interpret quantitative data, make comparisons and interpretations.</w:t>
      </w:r>
    </w:p>
    <w:p w:rsidR="004C037A" w:rsidP="001C4D39">
      <w:pPr>
        <w:pStyle w:val="BodyText"/>
      </w:pPr>
    </w:p>
    <w:p w:rsidR="00000000" w:rsidRPr="001C4D39" w:rsidP="001C4D39">
      <w:pPr>
        <w:pStyle w:val="Heading1"/>
      </w:pPr>
      <w:bookmarkStart w:id="10" w:name="O_101796"/>
      <w:bookmarkEnd w:id="10"/>
      <w:r w:rsidRPr="001C4D39">
        <w:t>Evidence Guide</w:t>
      </w:r>
    </w:p>
    <w:p w:rsidR="00000000" w:rsidRPr="001C4D39" w:rsidP="001C4D39">
      <w:pPr>
        <w:pStyle w:val="BodyText"/>
        <w:rPr>
          <w:rStyle w:val="SpecialBold"/>
        </w:rPr>
      </w:pPr>
    </w:p>
    <w:p w:rsidR="00000000" w:rsidRPr="001C4D39" w:rsidP="001C4D39">
      <w:pPr>
        <w:pStyle w:val="BodyText"/>
      </w:pPr>
      <w:r w:rsidRPr="001C4D39">
        <w:t>The Evidence Guide provides advice on assessment and must be read in conjunction with the Performance Criteria, required skil</w:t>
      </w:r>
      <w:r w:rsidRPr="001C4D39">
        <w:t>ls and knowledge, the Range Statement and the Assessment Guidelines for this Training Package.</w:t>
      </w:r>
    </w:p>
    <w:p w:rsidR="00000000" w:rsidRPr="001C4D39" w:rsidP="001C4D39">
      <w:pPr>
        <w:pStyle w:val="BodyText"/>
      </w:pPr>
      <w:r w:rsidRPr="001C4D39">
        <w:rPr>
          <w:rStyle w:val="SpecialBold"/>
        </w:rPr>
        <w:t>Overview of assessment</w:t>
      </w:r>
    </w:p>
    <w:p w:rsidR="00000000" w:rsidRPr="001C4D39" w:rsidP="001C4D39">
      <w:pPr>
        <w:pStyle w:val="BodyText"/>
      </w:pPr>
      <w:r w:rsidRPr="001C4D39">
        <w:t>A holistic approach should be taken to the assessment.</w:t>
      </w:r>
    </w:p>
    <w:p w:rsidR="00000000" w:rsidRPr="001C4D39" w:rsidP="001C4D39">
      <w:pPr>
        <w:pStyle w:val="BodyText"/>
      </w:pPr>
      <w:r w:rsidRPr="001C4D39">
        <w:t xml:space="preserve">Assessors must be satisfied that the person can consistently perform the unit as a whole, as defined by the Elements, Performance Criteria and skills and knowledge. </w:t>
      </w:r>
    </w:p>
    <w:p w:rsidR="00000000" w:rsidRPr="001C4D39" w:rsidP="001C4D39">
      <w:pPr>
        <w:pStyle w:val="BodyText"/>
      </w:pPr>
      <w:r w:rsidRPr="001C4D39">
        <w:rPr>
          <w:rStyle w:val="SpecialBold"/>
        </w:rPr>
        <w:t>Critical aspects for assessment and evidence required to demonstrate competency in this un</w:t>
      </w:r>
      <w:r w:rsidRPr="001C4D39">
        <w:rPr>
          <w:rStyle w:val="SpecialBold"/>
        </w:rPr>
        <w:t>it</w:t>
      </w:r>
    </w:p>
    <w:p w:rsidR="00000000" w:rsidRPr="001C4D39" w:rsidP="001C4D39">
      <w:pPr>
        <w:pStyle w:val="BodyText"/>
      </w:pPr>
      <w:r w:rsidRPr="001C4D39">
        <w:t>It is essential that competence is demonstrated in the knowledge and skills defined in this unit. These may include the ability to:</w:t>
      </w:r>
    </w:p>
    <w:p w:rsidR="00000000" w:rsidRPr="001C4D39" w:rsidP="001C4D39">
      <w:pPr>
        <w:pStyle w:val="ListBullet"/>
      </w:pPr>
      <w:r w:rsidRPr="001C4D39">
        <w:t xml:space="preserve">recognise potential situations requiring action </w:t>
      </w:r>
    </w:p>
    <w:p w:rsidR="00000000" w:rsidRPr="001C4D39" w:rsidP="001C4D39">
      <w:pPr>
        <w:pStyle w:val="ListBullet"/>
      </w:pPr>
      <w:r w:rsidRPr="001C4D39">
        <w:t>implement appropriate action</w:t>
      </w:r>
    </w:p>
    <w:p w:rsidR="00000000" w:rsidRPr="001C4D39" w:rsidP="001C4D39">
      <w:pPr>
        <w:pStyle w:val="ListBullet"/>
      </w:pPr>
      <w:r w:rsidRPr="001C4D39">
        <w:t xml:space="preserve">understand the procedures </w:t>
      </w:r>
    </w:p>
    <w:p w:rsidR="00000000" w:rsidRPr="001C4D39" w:rsidP="001C4D39">
      <w:pPr>
        <w:pStyle w:val="ListBullet"/>
      </w:pPr>
      <w:r w:rsidRPr="001C4D39">
        <w:t>explain the imp</w:t>
      </w:r>
      <w:r w:rsidRPr="001C4D39">
        <w:t>ortance of CCPs, CCFs and CCLs.</w:t>
      </w:r>
    </w:p>
    <w:p w:rsidR="00000000" w:rsidRPr="001C4D39" w:rsidP="001C4D39">
      <w:pPr>
        <w:pStyle w:val="BodyText"/>
      </w:pPr>
      <w:r w:rsidRPr="001C4D39">
        <w:t>Consistent performance should be demonstrated. For example, look to see that HACCP standards are met consistently.</w:t>
      </w:r>
    </w:p>
    <w:p w:rsidR="00000000" w:rsidRPr="001C4D39" w:rsidP="001C4D39">
      <w:pPr>
        <w:pStyle w:val="BodyText"/>
      </w:pPr>
      <w:r w:rsidRPr="001C4D39">
        <w:rPr>
          <w:rStyle w:val="SpecialBold"/>
        </w:rPr>
        <w:t>Assessment method and context</w:t>
      </w:r>
    </w:p>
    <w:p w:rsidR="00000000" w:rsidRPr="001C4D39" w:rsidP="001C4D39">
      <w:pPr>
        <w:pStyle w:val="BodyText"/>
      </w:pPr>
      <w:r w:rsidRPr="001C4D39">
        <w:t>Assessment will occur on a processing plant or in a manufacturing environment a</w:t>
      </w:r>
      <w:r w:rsidRPr="001C4D39">
        <w:t>nd will be undertaken in a work-like manner.</w:t>
      </w:r>
    </w:p>
    <w:p w:rsidR="00000000" w:rsidRPr="001C4D39" w:rsidP="001C4D39">
      <w:pPr>
        <w:pStyle w:val="BodyText"/>
      </w:pPr>
      <w:r w:rsidRPr="001C4D39">
        <w:t>Competence in this unit may be assessed:</w:t>
      </w:r>
    </w:p>
    <w:p w:rsidR="00000000" w:rsidRPr="001C4D39" w:rsidP="001C4D39">
      <w:pPr>
        <w:pStyle w:val="ListBullet"/>
      </w:pPr>
      <w:r w:rsidRPr="001C4D39">
        <w:t>by using an appropriate, industrial plant/process</w:t>
      </w:r>
    </w:p>
    <w:p w:rsidR="00000000" w:rsidRPr="001C4D39" w:rsidP="001C4D39">
      <w:pPr>
        <w:pStyle w:val="ListBullet"/>
      </w:pPr>
      <w:r w:rsidRPr="001C4D39">
        <w:t>in a situation allowing for the generation of evidence of the ability to recognise, anticipate and solve problems</w:t>
      </w:r>
    </w:p>
    <w:p w:rsidR="00000000" w:rsidRPr="001C4D39" w:rsidP="001C4D39">
      <w:pPr>
        <w:pStyle w:val="ListBullet"/>
      </w:pPr>
      <w:r w:rsidRPr="001C4D39">
        <w:t>by us</w:t>
      </w:r>
      <w:r w:rsidRPr="001C4D39">
        <w:t>ing a suitable simulation and/or a range of case studies/scenarios</w:t>
      </w:r>
    </w:p>
    <w:p w:rsidR="00000000" w:rsidRPr="001C4D39" w:rsidP="001C4D39">
      <w:pPr>
        <w:pStyle w:val="ListBullet"/>
      </w:pPr>
      <w:r w:rsidRPr="001C4D39">
        <w:t>through a combination of these techniques.</w:t>
      </w:r>
    </w:p>
    <w:p w:rsidR="00000000" w:rsidRPr="001C4D39" w:rsidP="001C4D39">
      <w:pPr>
        <w:pStyle w:val="BodyText"/>
      </w:pPr>
      <w:r w:rsidRPr="001C4D39">
        <w:t>In all cases it is expected that practical assessment will be combined with targeted questioning to assess the underpinning knowledge and theoreti</w:t>
      </w:r>
      <w:r w:rsidRPr="001C4D39">
        <w:t>cal assessment will be combined with appropriate practical/simulation or similar assessment. Assessors need to be aware of any cultural issues that may affect responses to questions.</w:t>
      </w:r>
    </w:p>
    <w:p w:rsidR="00000000" w:rsidRPr="001C4D39" w:rsidP="001C4D39">
      <w:pPr>
        <w:pStyle w:val="BodyText"/>
      </w:pPr>
      <w:r w:rsidRPr="001C4D39">
        <w:t>Assessment processes and techniques must be culturally appropriate and ap</w:t>
      </w:r>
      <w:r w:rsidRPr="001C4D39">
        <w:t>propriate to the oracy, language and literacy capacity of the assessee and the work being performed.</w:t>
      </w:r>
    </w:p>
    <w:p w:rsidR="00000000" w:rsidRPr="001C4D39" w:rsidP="001C4D39">
      <w:pPr>
        <w:pStyle w:val="BodyText"/>
      </w:pPr>
      <w:r w:rsidRPr="001C4D39">
        <w:rPr>
          <w:rStyle w:val="SpecialBold"/>
        </w:rPr>
        <w:t>Specific resources for assessment</w:t>
      </w:r>
    </w:p>
    <w:p w:rsidR="00000000" w:rsidRPr="001C4D39" w:rsidP="001C4D39">
      <w:pPr>
        <w:pStyle w:val="BodyText"/>
      </w:pPr>
      <w:r w:rsidRPr="001C4D39">
        <w:t>This section should be read in conjunction with the Range Statement for this unit of competency. Resources required inclu</w:t>
      </w:r>
      <w:r w:rsidRPr="001C4D39">
        <w:t>de suitable access to an operating plant or equipment that allows for appropriate and realistic simulation. A bank of case studies/scenarios and questions will also be required to the extent that they form part of the assessment method. Questioning may tak</w:t>
      </w:r>
      <w:r w:rsidRPr="001C4D39">
        <w:t>e place either in the workplace, or in an adjacent, quiet facility such as an office or lunchroom. No other special resources are required.</w:t>
      </w:r>
    </w:p>
    <w:p w:rsidR="004C037A" w:rsidP="001C4D39">
      <w:pPr>
        <w:pStyle w:val="BodyText"/>
      </w:pPr>
      <w:r w:rsidRPr="001C4D39">
        <w:t xml:space="preserve">Access must be provided to appropriate learning and/or assessment support when required. Where applicable, physical </w:t>
      </w:r>
      <w:r w:rsidRPr="001C4D39">
        <w:t>resources should include equipment modified for people with disabilities.</w:t>
      </w:r>
    </w:p>
    <w:p w:rsidR="004C037A" w:rsidP="001C4D39">
      <w:pPr>
        <w:pStyle w:val="BodyText"/>
      </w:pPr>
    </w:p>
    <w:p w:rsidR="00000000" w:rsidRPr="001C4D39" w:rsidP="001C4D39">
      <w:pPr>
        <w:pStyle w:val="Heading1"/>
      </w:pPr>
      <w:bookmarkStart w:id="11" w:name="O_101797"/>
      <w:bookmarkEnd w:id="11"/>
      <w:r w:rsidRPr="001C4D39">
        <w:t>Range Statement</w:t>
      </w:r>
    </w:p>
    <w:p w:rsidR="00000000" w:rsidRPr="001C4D39" w:rsidP="001C4D39">
      <w:pPr>
        <w:pStyle w:val="BodyText"/>
      </w:pPr>
      <w:r w:rsidRPr="001C4D39">
        <w:rPr>
          <w:rStyle w:val="SpecialBold"/>
        </w:rPr>
        <w:t>RANGE STATEMENT</w:t>
      </w:r>
    </w:p>
    <w:p w:rsidR="00000000" w:rsidRPr="001C4D39" w:rsidP="001C4D39">
      <w:pPr>
        <w:pStyle w:val="BodyText"/>
      </w:pPr>
      <w:r w:rsidRPr="001C4D39">
        <w:t>The Range Statement relates to the unit of competency as a whole. It allows for different work environments and situations that may affect performance. Add any essential operating conditions that may be present with training and assessment depending on the</w:t>
      </w:r>
      <w:r w:rsidRPr="001C4D39">
        <w:t xml:space="preserve"> work situation, needs of the candidate, accessibility of the item, and local industry and regional contexts.</w:t>
      </w:r>
    </w:p>
    <w:p w:rsidR="00000000" w:rsidRPr="001C4D39" w:rsidP="001C4D39">
      <w:pPr>
        <w:pStyle w:val="BodyText"/>
      </w:pPr>
      <w:r w:rsidRPr="001C4D39">
        <w:t>Where reference is made to industry codes of practice, and/or Australian/international standards, the latest version must be used.</w:t>
      </w:r>
    </w:p>
    <w:p w:rsidR="00000000" w:rsidRPr="001C4D39" w:rsidP="001C4D39">
      <w:pPr>
        <w:pStyle w:val="BodyText"/>
      </w:pPr>
      <w:r w:rsidRPr="001C4D39">
        <w:rPr>
          <w:rStyle w:val="SpecialBold"/>
        </w:rPr>
        <w:t>Context</w:t>
      </w:r>
    </w:p>
    <w:p w:rsidR="00000000" w:rsidRPr="001C4D39" w:rsidP="001C4D39">
      <w:pPr>
        <w:pStyle w:val="BodyText"/>
      </w:pPr>
      <w:r w:rsidRPr="001C4D39">
        <w:t>This co</w:t>
      </w:r>
      <w:r w:rsidRPr="001C4D39">
        <w:t>mpetency covers the development/modification of a HACCP/HAT to the manufacture of products to be used in contact with food, beverages or pharmaceuticals. It assumes an understanding of the operation of all relevant equipment and processes but does not nece</w:t>
      </w:r>
      <w:r w:rsidRPr="001C4D39">
        <w:t>ssarily require them to be used personally.</w:t>
      </w:r>
    </w:p>
    <w:p w:rsidR="00000000" w:rsidRPr="001C4D39" w:rsidP="001C4D39">
      <w:pPr>
        <w:pStyle w:val="BodyText"/>
      </w:pPr>
      <w:r w:rsidRPr="001C4D39">
        <w:t>This competency applies to all work environments and sectors within the process manufacturing industries where the product comes into contact with food, beverages or pharmaceuticals. Standard procedures means all</w:t>
      </w:r>
      <w:r w:rsidRPr="001C4D39">
        <w:t xml:space="preserve"> relevant workplace procedures, work instructions, temporary instructions and relevant industry and government codes and standards.</w:t>
      </w:r>
    </w:p>
    <w:p w:rsidR="00000000" w:rsidRPr="001C4D39" w:rsidP="001C4D39">
      <w:pPr>
        <w:pStyle w:val="BodyText"/>
      </w:pPr>
      <w:r w:rsidRPr="001C4D39">
        <w:rPr>
          <w:rStyle w:val="SpecialBold"/>
        </w:rPr>
        <w:t>Procedures</w:t>
      </w:r>
    </w:p>
    <w:p w:rsidR="00000000" w:rsidRPr="001C4D39" w:rsidP="001C4D39">
      <w:pPr>
        <w:pStyle w:val="BodyText"/>
      </w:pPr>
      <w:r w:rsidRPr="001C4D39">
        <w:t>All operations are performed in accordance with procedures.</w:t>
      </w:r>
    </w:p>
    <w:p w:rsidR="00000000" w:rsidRPr="001C4D39" w:rsidP="001C4D39">
      <w:pPr>
        <w:pStyle w:val="BodyText"/>
      </w:pPr>
      <w:r w:rsidRPr="001C4D39">
        <w:t>Procedures include all relevant workplace procedures,</w:t>
      </w:r>
      <w:r w:rsidRPr="001C4D39">
        <w:t xml:space="preserve"> work instructions, temporary instructions and relevant industry and government codes and standards.</w:t>
      </w:r>
    </w:p>
    <w:p w:rsidR="00000000" w:rsidRPr="001C4D39" w:rsidP="001C4D39">
      <w:pPr>
        <w:pStyle w:val="BodyText"/>
      </w:pPr>
      <w:r w:rsidRPr="001C4D39">
        <w:rPr>
          <w:rStyle w:val="SpecialBold"/>
        </w:rPr>
        <w:t>Hazards</w:t>
      </w:r>
    </w:p>
    <w:p w:rsidR="00000000" w:rsidRPr="001C4D39" w:rsidP="001C4D39">
      <w:pPr>
        <w:pStyle w:val="BodyText"/>
      </w:pPr>
      <w:r w:rsidRPr="001C4D39">
        <w:t>Typical hazards are:</w:t>
      </w:r>
    </w:p>
    <w:p w:rsidR="00000000" w:rsidRPr="001C4D39" w:rsidP="001C4D39">
      <w:pPr>
        <w:pStyle w:val="ListBullet"/>
      </w:pPr>
      <w:r w:rsidRPr="001C4D39">
        <w:t xml:space="preserve">biological </w:t>
      </w:r>
    </w:p>
    <w:p w:rsidR="00000000" w:rsidRPr="001C4D39" w:rsidP="001C4D39">
      <w:pPr>
        <w:pStyle w:val="ListBullet"/>
      </w:pPr>
      <w:r w:rsidRPr="001C4D39">
        <w:t xml:space="preserve">chemical </w:t>
      </w:r>
    </w:p>
    <w:p w:rsidR="00000000" w:rsidRPr="001C4D39" w:rsidP="001C4D39">
      <w:pPr>
        <w:pStyle w:val="ListBullet"/>
      </w:pPr>
      <w:r w:rsidRPr="001C4D39">
        <w:t xml:space="preserve">physical </w:t>
      </w:r>
    </w:p>
    <w:p w:rsidR="00000000" w:rsidRPr="001C4D39" w:rsidP="001C4D39">
      <w:pPr>
        <w:pStyle w:val="ListBullet"/>
      </w:pPr>
      <w:r w:rsidRPr="001C4D39">
        <w:t xml:space="preserve">product contamination </w:t>
      </w:r>
    </w:p>
    <w:p w:rsidR="00000000" w:rsidRPr="001C4D39" w:rsidP="001C4D39">
      <w:pPr>
        <w:pStyle w:val="ListBullet"/>
      </w:pPr>
      <w:r w:rsidRPr="001C4D39">
        <w:t xml:space="preserve">material contamination. </w:t>
      </w:r>
    </w:p>
    <w:p w:rsidR="00000000" w:rsidRPr="001C4D39" w:rsidP="001C4D39">
      <w:pPr>
        <w:pStyle w:val="BodyText"/>
      </w:pPr>
      <w:r w:rsidRPr="001C4D39">
        <w:rPr>
          <w:rStyle w:val="SpecialBold"/>
        </w:rPr>
        <w:t>Problems</w:t>
      </w:r>
    </w:p>
    <w:p w:rsidR="00000000" w:rsidRPr="001C4D39" w:rsidP="001C4D39">
      <w:pPr>
        <w:pStyle w:val="BodyText"/>
      </w:pPr>
      <w:r w:rsidRPr="001C4D39">
        <w:t>'Anticipate and solve problems' mean</w:t>
      </w:r>
      <w:r w:rsidRPr="001C4D39">
        <w:t>s resolve a wide range of routine and non-routine problems, using product and process knowledge to develop solutions to problems which do not have a known solution/a solution recorded in the procedures.</w:t>
      </w:r>
    </w:p>
    <w:p w:rsidR="00000000" w:rsidRPr="001C4D39" w:rsidP="001C4D39">
      <w:pPr>
        <w:pStyle w:val="BodyText"/>
      </w:pPr>
      <w:r w:rsidRPr="001C4D39">
        <w:t>Typical process and product problems may include:</w:t>
      </w:r>
    </w:p>
    <w:p w:rsidR="00000000" w:rsidRPr="001C4D39" w:rsidP="001C4D39">
      <w:pPr>
        <w:pStyle w:val="ListBullet"/>
      </w:pPr>
      <w:r w:rsidRPr="001C4D39">
        <w:t>recognising CCFs approaching the CCLs.</w:t>
      </w:r>
    </w:p>
    <w:p w:rsidR="00000000" w:rsidRPr="001C4D39" w:rsidP="001C4D39">
      <w:pPr>
        <w:pStyle w:val="ListBullet"/>
      </w:pPr>
      <w:r w:rsidRPr="001C4D39">
        <w:t>determining corrective action from HAT</w:t>
      </w:r>
    </w:p>
    <w:p w:rsidR="00000000" w:rsidRPr="001C4D39" w:rsidP="001C4D39">
      <w:pPr>
        <w:pStyle w:val="ListBullet"/>
      </w:pPr>
      <w:r w:rsidRPr="001C4D39">
        <w:t>applying HACCP principles to situations not directly covered by HAT</w:t>
      </w:r>
    </w:p>
    <w:p w:rsidR="00000000" w:rsidRPr="001C4D39" w:rsidP="001C4D39">
      <w:pPr>
        <w:pStyle w:val="ListBullet"/>
      </w:pPr>
      <w:r w:rsidRPr="001C4D39">
        <w:t>recognising the need for a new/modified HACCP/HAT</w:t>
      </w:r>
    </w:p>
    <w:p w:rsidR="004C037A" w:rsidP="001C4D39">
      <w:pPr>
        <w:pStyle w:val="ListBullet"/>
      </w:pPr>
      <w:r w:rsidRPr="001C4D39">
        <w:t>modifying HACCP/HAT to meet changes circumstances.</w:t>
      </w:r>
    </w:p>
    <w:p w:rsidR="004C037A" w:rsidP="001C4D39">
      <w:pPr>
        <w:pStyle w:val="ListBullet"/>
      </w:pPr>
    </w:p>
    <w:p w:rsidR="00000000" w:rsidRPr="001C4D39" w:rsidP="001C4D39">
      <w:pPr>
        <w:pStyle w:val="Heading1"/>
      </w:pPr>
      <w:bookmarkStart w:id="12" w:name="O_101798"/>
      <w:bookmarkEnd w:id="12"/>
      <w:r w:rsidRPr="001C4D39">
        <w:t>Unit Sector(s)</w:t>
      </w:r>
    </w:p>
    <w:p w:rsidR="00000000" w:rsidRPr="001C4D39" w:rsidP="001C4D39">
      <w:pPr>
        <w:pStyle w:val="BodyText"/>
      </w:pPr>
      <w:r w:rsidRPr="001C4D39">
        <w:t>Not applicable.</w:t>
      </w:r>
    </w:p>
    <w:p w:rsidR="00000000" w:rsidRPr="001C4D39" w:rsidP="001C4D39"/>
    <w:sectPr w:rsidSect="001C4D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37A" w:rsidP="004C0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7A" w:rsidP="001C4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037A" w:rsidP="001C4D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037A" w:rsidP="001C4D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037A" w:rsidP="004C03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37A" w:rsidP="001C4D39">
    <w:pPr>
      <w:pStyle w:val="Header"/>
      <w:framePr w:wrap="around"/>
    </w:pPr>
    <w:r>
      <w:fldChar w:fldCharType="begin"/>
    </w:r>
    <w:r>
      <w:instrText xml:space="preserve"> TITLE   \* MERGEFORMAT </w:instrText>
    </w:r>
    <w:r>
      <w:fldChar w:fldCharType="separate"/>
    </w:r>
    <w:r>
      <w:t>MSAPMSUP301A Apply HACCP to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037A" w:rsidP="001C4D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A6B4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14DD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D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4D39"/>
    <w:pPr>
      <w:spacing w:before="360" w:after="60"/>
      <w:outlineLvl w:val="0"/>
    </w:pPr>
    <w:rPr>
      <w:sz w:val="32"/>
    </w:rPr>
  </w:style>
  <w:style w:type="paragraph" w:styleId="Heading2">
    <w:name w:val="heading 2"/>
    <w:basedOn w:val="HeadingBase"/>
    <w:next w:val="BodyText"/>
    <w:link w:val="Heading2Char"/>
    <w:qFormat/>
    <w:rsid w:val="001C4D39"/>
    <w:pPr>
      <w:keepLines/>
      <w:spacing w:before="240" w:after="120"/>
      <w:outlineLvl w:val="1"/>
    </w:pPr>
    <w:rPr>
      <w:sz w:val="28"/>
      <w:szCs w:val="40"/>
    </w:rPr>
  </w:style>
  <w:style w:type="paragraph" w:styleId="Heading3">
    <w:name w:val="heading 3"/>
    <w:basedOn w:val="HeadingBase"/>
    <w:next w:val="BodyText"/>
    <w:link w:val="Heading3Char"/>
    <w:qFormat/>
    <w:rsid w:val="001C4D39"/>
    <w:pPr>
      <w:spacing w:before="180" w:after="120"/>
      <w:outlineLvl w:val="2"/>
    </w:pPr>
    <w:rPr>
      <w:spacing w:val="-10"/>
      <w:kern w:val="32"/>
    </w:rPr>
  </w:style>
  <w:style w:type="paragraph" w:styleId="Heading4">
    <w:name w:val="heading 4"/>
    <w:basedOn w:val="HeadingBase"/>
    <w:next w:val="BodyText"/>
    <w:link w:val="Heading4Char"/>
    <w:qFormat/>
    <w:rsid w:val="001C4D39"/>
    <w:pPr>
      <w:spacing w:before="160" w:after="120"/>
      <w:outlineLvl w:val="3"/>
    </w:pPr>
    <w:rPr>
      <w:sz w:val="22"/>
    </w:rPr>
  </w:style>
  <w:style w:type="paragraph" w:styleId="Heading5">
    <w:name w:val="heading 5"/>
    <w:basedOn w:val="HeadingBase"/>
    <w:next w:val="Normal"/>
    <w:link w:val="Heading5Char"/>
    <w:qFormat/>
    <w:rsid w:val="001C4D39"/>
    <w:pPr>
      <w:spacing w:before="80"/>
      <w:outlineLvl w:val="4"/>
    </w:pPr>
    <w:rPr>
      <w:color w:val="918585"/>
      <w:sz w:val="20"/>
    </w:rPr>
  </w:style>
  <w:style w:type="paragraph" w:styleId="Heading6">
    <w:name w:val="heading 6"/>
    <w:basedOn w:val="HeadingBase"/>
    <w:next w:val="Normal"/>
    <w:link w:val="Heading6Char"/>
    <w:qFormat/>
    <w:rsid w:val="001C4D39"/>
    <w:pPr>
      <w:spacing w:before="60"/>
      <w:outlineLvl w:val="5"/>
    </w:pPr>
    <w:rPr>
      <w:color w:val="918585"/>
      <w:sz w:val="20"/>
    </w:rPr>
  </w:style>
  <w:style w:type="paragraph" w:styleId="Heading7">
    <w:name w:val="heading 7"/>
    <w:basedOn w:val="Normal"/>
    <w:next w:val="Normal"/>
    <w:link w:val="Heading7Char"/>
    <w:qFormat/>
    <w:rsid w:val="001C4D39"/>
    <w:pPr>
      <w:ind w:left="720"/>
      <w:outlineLvl w:val="6"/>
    </w:pPr>
    <w:rPr>
      <w:i/>
    </w:rPr>
  </w:style>
  <w:style w:type="paragraph" w:styleId="Heading8">
    <w:name w:val="heading 8"/>
    <w:basedOn w:val="Normal"/>
    <w:next w:val="Normal"/>
    <w:link w:val="Heading8Char"/>
    <w:qFormat/>
    <w:rsid w:val="001C4D39"/>
    <w:pPr>
      <w:ind w:left="720"/>
      <w:outlineLvl w:val="7"/>
    </w:pPr>
    <w:rPr>
      <w:i/>
    </w:rPr>
  </w:style>
  <w:style w:type="paragraph" w:styleId="Heading9">
    <w:name w:val="heading 9"/>
    <w:basedOn w:val="Normal"/>
    <w:next w:val="Normal"/>
    <w:link w:val="Heading9Char"/>
    <w:qFormat/>
    <w:rsid w:val="001C4D39"/>
    <w:pPr>
      <w:ind w:left="720"/>
      <w:outlineLvl w:val="8"/>
    </w:pPr>
    <w:rPr>
      <w:i/>
    </w:rPr>
  </w:style>
  <w:style w:type="character" w:default="1" w:styleId="DefaultParagraphFont">
    <w:name w:val="Default Paragraph Font"/>
    <w:uiPriority w:val="1"/>
    <w:unhideWhenUsed/>
    <w:rsid w:val="001C4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D39"/>
  </w:style>
  <w:style w:type="character" w:customStyle="1" w:styleId="Heading1Char">
    <w:name w:val="Heading 1 Char"/>
    <w:link w:val="Heading1"/>
    <w:rsid w:val="001C4D39"/>
    <w:rPr>
      <w:rFonts w:ascii="Times New Roman" w:eastAsia="Times New Roman" w:hAnsi="Times New Roman" w:cs="Times New Roman"/>
      <w:b/>
      <w:sz w:val="32"/>
      <w:szCs w:val="20"/>
      <w:lang w:eastAsia="en-US"/>
    </w:rPr>
  </w:style>
  <w:style w:type="paragraph" w:styleId="BodyText">
    <w:name w:val="Body Text"/>
    <w:basedOn w:val="Normal"/>
    <w:link w:val="BodyTextChar"/>
    <w:rsid w:val="001C4D39"/>
    <w:pPr>
      <w:spacing w:before="120" w:after="120"/>
      <w:contextualSpacing/>
    </w:pPr>
    <w:rPr>
      <w:rFonts w:ascii="Times New Roman" w:hAnsi="Times New Roman"/>
      <w:sz w:val="24"/>
      <w:szCs w:val="22"/>
    </w:rPr>
  </w:style>
  <w:style w:type="character" w:customStyle="1" w:styleId="BodyTextChar">
    <w:name w:val="Body Text Char"/>
    <w:link w:val="BodyText"/>
    <w:rsid w:val="001C4D39"/>
    <w:rPr>
      <w:rFonts w:ascii="Times New Roman" w:eastAsia="Times New Roman" w:hAnsi="Times New Roman" w:cs="Times New Roman"/>
      <w:sz w:val="24"/>
      <w:lang w:val="en-US" w:eastAsia="en-US"/>
    </w:rPr>
  </w:style>
  <w:style w:type="paragraph" w:styleId="Footer">
    <w:name w:val="footer"/>
    <w:basedOn w:val="Normal"/>
    <w:link w:val="FooterChar"/>
    <w:rsid w:val="001C4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C4D39"/>
    <w:rPr>
      <w:rFonts w:ascii="Times New Roman" w:eastAsia="Times New Roman" w:hAnsi="Times New Roman" w:cs="Times New Roman"/>
      <w:sz w:val="16"/>
      <w:lang w:val="en-US" w:eastAsia="en-US"/>
    </w:rPr>
  </w:style>
  <w:style w:type="paragraph" w:styleId="List">
    <w:name w:val="List"/>
    <w:basedOn w:val="BodyText"/>
    <w:next w:val="BodyText"/>
    <w:rsid w:val="001C4D39"/>
    <w:pPr>
      <w:tabs>
        <w:tab w:val="left" w:pos="340"/>
      </w:tabs>
      <w:spacing w:before="60" w:after="60"/>
      <w:ind w:left="340" w:hanging="340"/>
    </w:pPr>
  </w:style>
  <w:style w:type="paragraph" w:styleId="ListBullet">
    <w:name w:val="List Bullet"/>
    <w:basedOn w:val="List"/>
    <w:rsid w:val="001C4D39"/>
    <w:pPr>
      <w:numPr>
        <w:numId w:val="12"/>
      </w:numPr>
      <w:tabs>
        <w:tab w:val="clear" w:pos="340"/>
      </w:tabs>
      <w:spacing w:before="40" w:after="40"/>
    </w:pPr>
  </w:style>
  <w:style w:type="character" w:customStyle="1" w:styleId="SpecialBold">
    <w:name w:val="Special Bold"/>
    <w:rsid w:val="001C4D39"/>
    <w:rPr>
      <w:b/>
      <w:spacing w:val="0"/>
    </w:rPr>
  </w:style>
  <w:style w:type="paragraph" w:styleId="Header">
    <w:name w:val="header"/>
    <w:basedOn w:val="Normal"/>
    <w:link w:val="HeaderChar"/>
    <w:rsid w:val="001C4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C4D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4D39"/>
    <w:pPr>
      <w:spacing w:before="240" w:after="120"/>
      <w:outlineLvl w:val="0"/>
    </w:pPr>
    <w:rPr>
      <w:rFonts w:ascii="Times New Roman" w:hAnsi="Times New Roman"/>
      <w:b/>
      <w:sz w:val="28"/>
    </w:rPr>
  </w:style>
  <w:style w:type="paragraph" w:customStyle="1" w:styleId="AllowPageBreak">
    <w:name w:val="AllowPageBreak"/>
    <w:rsid w:val="001C4D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C4D39"/>
    <w:rPr>
      <w:rFonts w:ascii="Times New Roman" w:eastAsia="Times New Roman" w:hAnsi="Times New Roman" w:cs="Times New Roman"/>
      <w:b/>
      <w:sz w:val="28"/>
      <w:szCs w:val="40"/>
      <w:lang w:eastAsia="en-US"/>
    </w:rPr>
  </w:style>
  <w:style w:type="character" w:customStyle="1" w:styleId="Heading3Char">
    <w:name w:val="Heading 3 Char"/>
    <w:link w:val="Heading3"/>
    <w:rsid w:val="001C4D3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C4D39"/>
    <w:rPr>
      <w:rFonts w:ascii="Times New Roman" w:eastAsia="Times New Roman" w:hAnsi="Times New Roman" w:cs="Times New Roman"/>
      <w:b/>
      <w:szCs w:val="20"/>
      <w:lang w:eastAsia="en-US"/>
    </w:rPr>
  </w:style>
  <w:style w:type="character" w:customStyle="1" w:styleId="Heading5Char">
    <w:name w:val="Heading 5 Char"/>
    <w:link w:val="Heading5"/>
    <w:rsid w:val="001C4D3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C4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D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4D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4D39"/>
    <w:rPr>
      <w:rFonts w:ascii="Courier New" w:eastAsia="Times New Roman" w:hAnsi="Courier New" w:cs="Times New Roman"/>
      <w:i/>
      <w:szCs w:val="20"/>
      <w:lang w:val="en-US" w:eastAsia="en-US"/>
    </w:rPr>
  </w:style>
  <w:style w:type="paragraph" w:customStyle="1" w:styleId="HeadingBase">
    <w:name w:val="Heading Base"/>
    <w:rsid w:val="001C4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D39"/>
    <w:pPr>
      <w:tabs>
        <w:tab w:val="right" w:leader="dot" w:pos="9072"/>
      </w:tabs>
      <w:ind w:left="567"/>
    </w:pPr>
    <w:rPr>
      <w:szCs w:val="22"/>
    </w:rPr>
  </w:style>
  <w:style w:type="paragraph" w:customStyle="1" w:styleId="TOCBase">
    <w:name w:val="TOC Base"/>
    <w:rsid w:val="001C4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D39"/>
    <w:pPr>
      <w:tabs>
        <w:tab w:val="right" w:leader="dot" w:pos="9072"/>
      </w:tabs>
      <w:spacing w:before="40" w:after="40"/>
      <w:ind w:left="284"/>
    </w:pPr>
    <w:rPr>
      <w:rFonts w:ascii="Times New Roman" w:hAnsi="Times New Roman"/>
    </w:rPr>
  </w:style>
  <w:style w:type="paragraph" w:styleId="TOC1">
    <w:name w:val="toc 1"/>
    <w:basedOn w:val="TOCBase"/>
    <w:next w:val="Normal"/>
    <w:rsid w:val="001C4D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4D39"/>
    <w:pPr>
      <w:spacing w:before="5040"/>
      <w:jc w:val="center"/>
    </w:pPr>
    <w:rPr>
      <w:sz w:val="48"/>
      <w:szCs w:val="72"/>
      <w:lang w:val="en-US"/>
    </w:rPr>
  </w:style>
  <w:style w:type="character" w:customStyle="1" w:styleId="TitleChar">
    <w:name w:val="Title Char"/>
    <w:link w:val="Title"/>
    <w:rsid w:val="001C4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D39"/>
    <w:pPr>
      <w:tabs>
        <w:tab w:val="left" w:pos="3600"/>
        <w:tab w:val="left" w:pos="3958"/>
      </w:tabs>
    </w:pPr>
  </w:style>
  <w:style w:type="paragraph" w:customStyle="1" w:styleId="Note">
    <w:name w:val="Note"/>
    <w:basedOn w:val="BodyText"/>
    <w:rsid w:val="001C4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D39"/>
    <w:pPr>
      <w:framePr w:wrap="auto" w:hAnchor="text" w:y="6049"/>
    </w:pPr>
    <w:rPr>
      <w:color w:val="000000"/>
      <w:sz w:val="40"/>
    </w:rPr>
  </w:style>
  <w:style w:type="paragraph" w:customStyle="1" w:styleId="TOCTitle">
    <w:name w:val="TOCTitle"/>
    <w:basedOn w:val="Heading1"/>
    <w:rsid w:val="001C4D39"/>
    <w:pPr>
      <w:spacing w:after="240"/>
      <w:jc w:val="center"/>
      <w:outlineLvl w:val="9"/>
    </w:pPr>
    <w:rPr>
      <w:caps/>
    </w:rPr>
  </w:style>
  <w:style w:type="paragraph" w:customStyle="1" w:styleId="Version">
    <w:name w:val="Version"/>
    <w:rsid w:val="001C4D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D39"/>
    <w:pPr>
      <w:numPr>
        <w:numId w:val="13"/>
      </w:numPr>
      <w:tabs>
        <w:tab w:val="clear" w:pos="680"/>
      </w:tabs>
    </w:pPr>
  </w:style>
  <w:style w:type="paragraph" w:styleId="Index1">
    <w:name w:val="index 1"/>
    <w:basedOn w:val="Normal"/>
    <w:next w:val="Normal"/>
    <w:semiHidden/>
    <w:rsid w:val="001C4D39"/>
    <w:pPr>
      <w:keepNext w:val="0"/>
      <w:tabs>
        <w:tab w:val="right" w:pos="4176"/>
      </w:tabs>
      <w:ind w:left="198" w:hanging="198"/>
    </w:pPr>
    <w:rPr>
      <w:rFonts w:ascii="Garamond" w:hAnsi="Garamond"/>
    </w:rPr>
  </w:style>
  <w:style w:type="paragraph" w:styleId="IndexHeading">
    <w:name w:val="index heading"/>
    <w:basedOn w:val="Normal"/>
    <w:next w:val="Index1"/>
    <w:semiHidden/>
    <w:rsid w:val="001C4D39"/>
    <w:pPr>
      <w:spacing w:before="120" w:after="120"/>
    </w:pPr>
    <w:rPr>
      <w:rFonts w:ascii="Arial" w:hAnsi="Arial"/>
      <w:b/>
      <w:color w:val="918585"/>
      <w:sz w:val="24"/>
    </w:rPr>
  </w:style>
  <w:style w:type="paragraph" w:customStyle="1" w:styleId="Chapter">
    <w:name w:val="Chapter"/>
    <w:basedOn w:val="Normal"/>
    <w:rsid w:val="001C4D39"/>
    <w:pPr>
      <w:spacing w:before="240"/>
    </w:pPr>
    <w:rPr>
      <w:rFonts w:ascii="Times New Roman" w:hAnsi="Times New Roman"/>
      <w:smallCaps/>
      <w:spacing w:val="80"/>
      <w:sz w:val="28"/>
    </w:rPr>
  </w:style>
  <w:style w:type="paragraph" w:customStyle="1" w:styleId="InChapter">
    <w:name w:val="InChapter"/>
    <w:basedOn w:val="Heading3"/>
    <w:rsid w:val="001C4D39"/>
    <w:pPr>
      <w:spacing w:after="240"/>
      <w:outlineLvl w:val="9"/>
    </w:pPr>
    <w:rPr>
      <w:noProof/>
    </w:rPr>
  </w:style>
  <w:style w:type="paragraph" w:styleId="Index2">
    <w:name w:val="index 2"/>
    <w:basedOn w:val="Normal"/>
    <w:next w:val="Normal"/>
    <w:semiHidden/>
    <w:rsid w:val="001C4D39"/>
    <w:pPr>
      <w:tabs>
        <w:tab w:val="right" w:pos="4176"/>
      </w:tabs>
      <w:ind w:left="568" w:hanging="284"/>
    </w:pPr>
    <w:rPr>
      <w:rFonts w:ascii="Garamond" w:hAnsi="Garamond"/>
    </w:rPr>
  </w:style>
  <w:style w:type="paragraph" w:customStyle="1" w:styleId="Byline">
    <w:name w:val="Byline"/>
    <w:rsid w:val="001C4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D39"/>
    <w:pPr>
      <w:tabs>
        <w:tab w:val="clear" w:pos="3600"/>
        <w:tab w:val="clear" w:pos="3958"/>
      </w:tabs>
      <w:jc w:val="right"/>
    </w:pPr>
  </w:style>
  <w:style w:type="character" w:styleId="Emphasis">
    <w:name w:val="Emphasis"/>
    <w:qFormat/>
    <w:rsid w:val="001C4D39"/>
    <w:rPr>
      <w:i/>
    </w:rPr>
  </w:style>
  <w:style w:type="paragraph" w:styleId="Caption">
    <w:name w:val="caption"/>
    <w:basedOn w:val="BodyText"/>
    <w:next w:val="Normal"/>
    <w:qFormat/>
    <w:rsid w:val="001C4D39"/>
    <w:pPr>
      <w:framePr w:w="2268" w:hSpace="181" w:vSpace="181" w:wrap="around" w:vAnchor="text" w:hAnchor="page" w:x="1135" w:y="285" w:anchorLock="1"/>
    </w:pPr>
    <w:rPr>
      <w:i/>
    </w:rPr>
  </w:style>
  <w:style w:type="paragraph" w:customStyle="1" w:styleId="MiniTOCTitle">
    <w:name w:val="MiniTOCTitle"/>
    <w:basedOn w:val="Heading4"/>
    <w:rsid w:val="001C4D39"/>
    <w:pPr>
      <w:spacing w:before="240"/>
      <w:outlineLvl w:val="9"/>
    </w:pPr>
    <w:rPr>
      <w:noProof/>
      <w:sz w:val="24"/>
    </w:rPr>
  </w:style>
  <w:style w:type="paragraph" w:customStyle="1" w:styleId="MiniTOCItem">
    <w:name w:val="MiniTOCItem"/>
    <w:basedOn w:val="ListBullet"/>
    <w:rsid w:val="001C4D39"/>
    <w:pPr>
      <w:numPr>
        <w:numId w:val="0"/>
      </w:numPr>
      <w:tabs>
        <w:tab w:val="right" w:leader="dot" w:pos="6521"/>
      </w:tabs>
      <w:spacing w:before="0" w:after="0"/>
    </w:pPr>
  </w:style>
  <w:style w:type="paragraph" w:customStyle="1" w:styleId="TOFTitle">
    <w:name w:val="TOFTitle"/>
    <w:basedOn w:val="TOCTitle"/>
    <w:rsid w:val="001C4D39"/>
  </w:style>
  <w:style w:type="paragraph" w:styleId="TableofFigures">
    <w:name w:val="table of figures"/>
    <w:basedOn w:val="Normal"/>
    <w:next w:val="Normal"/>
    <w:semiHidden/>
    <w:rsid w:val="001C4D39"/>
    <w:pPr>
      <w:tabs>
        <w:tab w:val="right" w:leader="dot" w:pos="9072"/>
      </w:tabs>
      <w:ind w:left="970" w:hanging="403"/>
    </w:pPr>
    <w:rPr>
      <w:rFonts w:ascii="Times New Roman" w:hAnsi="Times New Roman"/>
      <w:b/>
    </w:rPr>
  </w:style>
  <w:style w:type="paragraph" w:styleId="ListNumber">
    <w:name w:val="List Number"/>
    <w:basedOn w:val="List"/>
    <w:rsid w:val="001C4D39"/>
    <w:pPr>
      <w:numPr>
        <w:numId w:val="10"/>
      </w:numPr>
    </w:pPr>
  </w:style>
  <w:style w:type="character" w:customStyle="1" w:styleId="WingdingSymbols">
    <w:name w:val="Wingding Symbols"/>
    <w:rsid w:val="001C4D39"/>
    <w:rPr>
      <w:rFonts w:ascii="Wingdings" w:hAnsi="Wingdings"/>
    </w:rPr>
  </w:style>
  <w:style w:type="paragraph" w:customStyle="1" w:styleId="TableHeading">
    <w:name w:val="Table Heading"/>
    <w:basedOn w:val="HeadingBase"/>
    <w:rsid w:val="001C4D39"/>
    <w:pPr>
      <w:keepLines/>
      <w:pBdr>
        <w:bottom w:val="single" w:sz="6" w:space="1" w:color="918585"/>
      </w:pBdr>
      <w:spacing w:before="240"/>
    </w:pPr>
  </w:style>
  <w:style w:type="character" w:customStyle="1" w:styleId="HotSpot">
    <w:name w:val="HotSpot"/>
    <w:rsid w:val="001C4D39"/>
    <w:rPr>
      <w:color w:val="0033CC"/>
      <w:u w:val="none"/>
    </w:rPr>
  </w:style>
  <w:style w:type="paragraph" w:customStyle="1" w:styleId="BodyTextRight">
    <w:name w:val="Body Text Right"/>
    <w:basedOn w:val="BodyText"/>
    <w:rsid w:val="001C4D39"/>
    <w:pPr>
      <w:spacing w:before="0" w:after="0"/>
      <w:jc w:val="right"/>
    </w:pPr>
  </w:style>
  <w:style w:type="paragraph" w:styleId="Index3">
    <w:name w:val="index 3"/>
    <w:basedOn w:val="ListNumber2"/>
    <w:next w:val="Normal"/>
    <w:semiHidden/>
    <w:rsid w:val="001C4D39"/>
    <w:pPr>
      <w:numPr>
        <w:numId w:val="0"/>
      </w:numPr>
      <w:tabs>
        <w:tab w:val="right" w:leader="dot" w:pos="4176"/>
      </w:tabs>
    </w:pPr>
  </w:style>
  <w:style w:type="paragraph" w:styleId="ListNumber2">
    <w:name w:val="List Number 2"/>
    <w:basedOn w:val="List2"/>
    <w:rsid w:val="001C4D39"/>
    <w:pPr>
      <w:numPr>
        <w:numId w:val="9"/>
      </w:numPr>
      <w:tabs>
        <w:tab w:val="clear" w:pos="1060"/>
      </w:tabs>
    </w:pPr>
  </w:style>
  <w:style w:type="paragraph" w:customStyle="1" w:styleId="MarginNote">
    <w:name w:val="Margin Note"/>
    <w:basedOn w:val="BodyText"/>
    <w:rsid w:val="001C4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C4D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4D39"/>
    <w:rPr>
      <w:sz w:val="32"/>
    </w:rPr>
  </w:style>
  <w:style w:type="paragraph" w:customStyle="1" w:styleId="HeadingProcedure">
    <w:name w:val="Heading Procedure"/>
    <w:basedOn w:val="HeadingBase"/>
    <w:next w:val="Normal"/>
    <w:rsid w:val="001C4D39"/>
    <w:pPr>
      <w:tabs>
        <w:tab w:val="left" w:pos="0"/>
      </w:tabs>
      <w:spacing w:before="120" w:after="60"/>
    </w:pPr>
    <w:rPr>
      <w:i/>
      <w:color w:val="918585"/>
      <w:sz w:val="22"/>
    </w:rPr>
  </w:style>
  <w:style w:type="paragraph" w:customStyle="1" w:styleId="TableBodyText">
    <w:name w:val="Table Body Text"/>
    <w:basedOn w:val="BodyText"/>
    <w:rsid w:val="001C4D39"/>
    <w:pPr>
      <w:spacing w:before="60" w:after="60"/>
    </w:pPr>
  </w:style>
  <w:style w:type="paragraph" w:styleId="ListContinue">
    <w:name w:val="List Continue"/>
    <w:basedOn w:val="List"/>
    <w:rsid w:val="001C4D39"/>
    <w:pPr>
      <w:ind w:firstLine="0"/>
    </w:pPr>
  </w:style>
  <w:style w:type="paragraph" w:customStyle="1" w:styleId="ListNote">
    <w:name w:val="List Note"/>
    <w:basedOn w:val="List"/>
    <w:rsid w:val="001C4D39"/>
    <w:pPr>
      <w:pBdr>
        <w:top w:val="single" w:sz="6" w:space="2" w:color="918585"/>
        <w:bottom w:val="single" w:sz="6" w:space="2" w:color="918585"/>
      </w:pBdr>
      <w:tabs>
        <w:tab w:val="left" w:pos="1021"/>
      </w:tabs>
      <w:ind w:firstLine="0"/>
    </w:pPr>
  </w:style>
  <w:style w:type="paragraph" w:customStyle="1" w:styleId="Warning">
    <w:name w:val="Warning"/>
    <w:basedOn w:val="BodyText"/>
    <w:rsid w:val="001C4D39"/>
    <w:pPr>
      <w:shd w:val="clear" w:color="auto" w:fill="D9D9D9"/>
      <w:tabs>
        <w:tab w:val="left" w:pos="992"/>
      </w:tabs>
      <w:ind w:left="119" w:right="119"/>
    </w:pPr>
    <w:rPr>
      <w:sz w:val="20"/>
    </w:rPr>
  </w:style>
  <w:style w:type="paragraph" w:customStyle="1" w:styleId="MarginIcons">
    <w:name w:val="Margin Icons"/>
    <w:basedOn w:val="BodyText"/>
    <w:rsid w:val="001C4D3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C4D39"/>
    <w:rPr>
      <w:rFonts w:ascii="Courier New" w:hAnsi="Courier New"/>
    </w:rPr>
  </w:style>
  <w:style w:type="paragraph" w:customStyle="1" w:styleId="NoteBullet">
    <w:name w:val="Note Bullet"/>
    <w:basedOn w:val="Note"/>
    <w:rsid w:val="001C4D39"/>
    <w:pPr>
      <w:tabs>
        <w:tab w:val="clear" w:pos="680"/>
      </w:tabs>
      <w:spacing w:before="60" w:after="60"/>
    </w:pPr>
  </w:style>
  <w:style w:type="paragraph" w:customStyle="1" w:styleId="SubHeading2">
    <w:name w:val="SubHeading2"/>
    <w:basedOn w:val="HeadingBase"/>
    <w:rsid w:val="001C4D39"/>
    <w:pPr>
      <w:spacing w:before="240" w:after="60"/>
    </w:pPr>
    <w:rPr>
      <w:sz w:val="20"/>
    </w:rPr>
  </w:style>
  <w:style w:type="paragraph" w:customStyle="1" w:styleId="SubHeading1">
    <w:name w:val="SubHeading1"/>
    <w:basedOn w:val="HeadingBase"/>
    <w:rsid w:val="001C4D39"/>
    <w:pPr>
      <w:spacing w:before="240" w:after="60"/>
    </w:pPr>
    <w:rPr>
      <w:color w:val="918585"/>
      <w:sz w:val="22"/>
    </w:rPr>
  </w:style>
  <w:style w:type="paragraph" w:customStyle="1" w:styleId="SideHeading">
    <w:name w:val="Side Heading"/>
    <w:basedOn w:val="HeadingBase"/>
    <w:rsid w:val="001C4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D39"/>
    <w:pPr>
      <w:tabs>
        <w:tab w:val="num" w:pos="360"/>
      </w:tabs>
    </w:pPr>
  </w:style>
  <w:style w:type="paragraph" w:styleId="PlainText">
    <w:name w:val="Plain Text"/>
    <w:basedOn w:val="Normal"/>
    <w:link w:val="PlainTextChar"/>
    <w:rsid w:val="001C4D39"/>
    <w:rPr>
      <w:sz w:val="20"/>
    </w:rPr>
  </w:style>
  <w:style w:type="character" w:customStyle="1" w:styleId="PlainTextChar">
    <w:name w:val="Plain Text Char"/>
    <w:basedOn w:val="DefaultParagraphFont"/>
    <w:link w:val="PlainText"/>
    <w:rsid w:val="001C4D39"/>
    <w:rPr>
      <w:rFonts w:ascii="Courier New" w:eastAsia="Times New Roman" w:hAnsi="Courier New" w:cs="Times New Roman"/>
      <w:sz w:val="20"/>
      <w:szCs w:val="20"/>
      <w:lang w:val="en-US" w:eastAsia="en-US"/>
    </w:rPr>
  </w:style>
  <w:style w:type="character" w:customStyle="1" w:styleId="MenuOption">
    <w:name w:val="Menu Option"/>
    <w:rsid w:val="001C4D39"/>
    <w:rPr>
      <w:b/>
      <w:smallCaps/>
    </w:rPr>
  </w:style>
  <w:style w:type="paragraph" w:customStyle="1" w:styleId="TableListNumber">
    <w:name w:val="Table List Number"/>
    <w:basedOn w:val="ListNumber"/>
    <w:rsid w:val="001C4D39"/>
    <w:pPr>
      <w:numPr>
        <w:numId w:val="0"/>
      </w:numPr>
    </w:pPr>
  </w:style>
  <w:style w:type="paragraph" w:styleId="TOC4">
    <w:name w:val="toc 4"/>
    <w:basedOn w:val="TOCBase"/>
    <w:next w:val="Normal"/>
    <w:semiHidden/>
    <w:rsid w:val="001C4D39"/>
    <w:pPr>
      <w:tabs>
        <w:tab w:val="right" w:leader="dot" w:pos="9071"/>
      </w:tabs>
      <w:ind w:left="1701"/>
    </w:pPr>
  </w:style>
  <w:style w:type="paragraph" w:customStyle="1" w:styleId="ListAlpha">
    <w:name w:val="List Alpha"/>
    <w:basedOn w:val="List"/>
    <w:rsid w:val="001C4D39"/>
    <w:pPr>
      <w:numPr>
        <w:numId w:val="8"/>
      </w:numPr>
    </w:pPr>
  </w:style>
  <w:style w:type="paragraph" w:customStyle="1" w:styleId="ListAlpha2">
    <w:name w:val="List Alpha 2"/>
    <w:basedOn w:val="List2"/>
    <w:rsid w:val="001C4D39"/>
    <w:pPr>
      <w:numPr>
        <w:numId w:val="7"/>
      </w:numPr>
    </w:pPr>
  </w:style>
  <w:style w:type="paragraph" w:styleId="List2">
    <w:name w:val="List 2"/>
    <w:basedOn w:val="BodyText"/>
    <w:rsid w:val="001C4D39"/>
    <w:pPr>
      <w:tabs>
        <w:tab w:val="left" w:pos="680"/>
      </w:tabs>
      <w:spacing w:before="60" w:after="60"/>
      <w:ind w:left="680" w:hanging="340"/>
    </w:pPr>
  </w:style>
  <w:style w:type="paragraph" w:styleId="List3">
    <w:name w:val="List 3"/>
    <w:basedOn w:val="BodyText"/>
    <w:rsid w:val="001C4D39"/>
    <w:pPr>
      <w:tabs>
        <w:tab w:val="left" w:pos="1021"/>
      </w:tabs>
      <w:spacing w:before="60" w:after="60"/>
      <w:ind w:left="1020" w:hanging="340"/>
    </w:pPr>
  </w:style>
  <w:style w:type="paragraph" w:styleId="List4">
    <w:name w:val="List 4"/>
    <w:basedOn w:val="BodyText"/>
    <w:rsid w:val="001C4D39"/>
    <w:pPr>
      <w:tabs>
        <w:tab w:val="left" w:pos="1361"/>
      </w:tabs>
      <w:spacing w:before="60" w:after="60"/>
      <w:ind w:left="1361" w:hanging="340"/>
    </w:pPr>
  </w:style>
  <w:style w:type="paragraph" w:styleId="List5">
    <w:name w:val="List 5"/>
    <w:basedOn w:val="BodyText"/>
    <w:rsid w:val="001C4D39"/>
    <w:pPr>
      <w:tabs>
        <w:tab w:val="left" w:pos="1701"/>
      </w:tabs>
      <w:spacing w:before="60" w:after="60"/>
      <w:ind w:left="1701" w:hanging="340"/>
    </w:pPr>
  </w:style>
  <w:style w:type="paragraph" w:styleId="ListBullet3">
    <w:name w:val="List Bullet 3"/>
    <w:basedOn w:val="List3"/>
    <w:rsid w:val="001C4D39"/>
    <w:pPr>
      <w:numPr>
        <w:numId w:val="14"/>
      </w:numPr>
      <w:tabs>
        <w:tab w:val="clear" w:pos="1021"/>
      </w:tabs>
      <w:ind w:left="1037" w:hanging="357"/>
    </w:pPr>
  </w:style>
  <w:style w:type="paragraph" w:styleId="ListBullet4">
    <w:name w:val="List Bullet 4"/>
    <w:basedOn w:val="List4"/>
    <w:rsid w:val="001C4D39"/>
    <w:pPr>
      <w:numPr>
        <w:numId w:val="2"/>
      </w:numPr>
    </w:pPr>
  </w:style>
  <w:style w:type="paragraph" w:styleId="ListBullet5">
    <w:name w:val="List Bullet 5"/>
    <w:basedOn w:val="List5"/>
    <w:rsid w:val="001C4D39"/>
    <w:pPr>
      <w:numPr>
        <w:numId w:val="3"/>
      </w:numPr>
    </w:pPr>
  </w:style>
  <w:style w:type="paragraph" w:styleId="ListContinue2">
    <w:name w:val="List Continue 2"/>
    <w:basedOn w:val="List2"/>
    <w:rsid w:val="001C4D39"/>
    <w:pPr>
      <w:ind w:firstLine="0"/>
    </w:pPr>
  </w:style>
  <w:style w:type="paragraph" w:styleId="ListContinue3">
    <w:name w:val="List Continue 3"/>
    <w:basedOn w:val="List3"/>
    <w:rsid w:val="001C4D39"/>
    <w:pPr>
      <w:ind w:left="1021" w:firstLine="0"/>
    </w:pPr>
  </w:style>
  <w:style w:type="paragraph" w:styleId="ListContinue4">
    <w:name w:val="List Continue 4"/>
    <w:basedOn w:val="List4"/>
    <w:rsid w:val="001C4D39"/>
    <w:pPr>
      <w:ind w:firstLine="0"/>
    </w:pPr>
  </w:style>
  <w:style w:type="paragraph" w:styleId="ListContinue5">
    <w:name w:val="List Continue 5"/>
    <w:basedOn w:val="List5"/>
    <w:rsid w:val="001C4D39"/>
    <w:pPr>
      <w:ind w:firstLine="0"/>
    </w:pPr>
  </w:style>
  <w:style w:type="paragraph" w:styleId="ListNumber3">
    <w:name w:val="List Number 3"/>
    <w:basedOn w:val="List3"/>
    <w:rsid w:val="001C4D39"/>
    <w:pPr>
      <w:numPr>
        <w:numId w:val="4"/>
      </w:numPr>
    </w:pPr>
  </w:style>
  <w:style w:type="paragraph" w:styleId="ListNumber4">
    <w:name w:val="List Number 4"/>
    <w:basedOn w:val="List4"/>
    <w:rsid w:val="001C4D39"/>
    <w:pPr>
      <w:numPr>
        <w:numId w:val="5"/>
      </w:numPr>
    </w:pPr>
  </w:style>
  <w:style w:type="paragraph" w:styleId="ListNumber5">
    <w:name w:val="List Number 5"/>
    <w:basedOn w:val="List5"/>
    <w:rsid w:val="001C4D39"/>
    <w:pPr>
      <w:numPr>
        <w:numId w:val="6"/>
      </w:numPr>
    </w:pPr>
  </w:style>
  <w:style w:type="paragraph" w:styleId="BlockText">
    <w:name w:val="Block Text"/>
    <w:basedOn w:val="Normal"/>
    <w:rsid w:val="001C4D39"/>
    <w:pPr>
      <w:spacing w:after="120"/>
      <w:ind w:left="1440" w:right="1440"/>
    </w:pPr>
  </w:style>
  <w:style w:type="character" w:customStyle="1" w:styleId="Subscript">
    <w:name w:val="Subscript"/>
    <w:rsid w:val="001C4D39"/>
    <w:rPr>
      <w:sz w:val="16"/>
      <w:vertAlign w:val="subscript"/>
    </w:rPr>
  </w:style>
  <w:style w:type="character" w:customStyle="1" w:styleId="Superscript">
    <w:name w:val="Superscript"/>
    <w:rsid w:val="001C4D39"/>
    <w:rPr>
      <w:sz w:val="16"/>
      <w:vertAlign w:val="superscript"/>
    </w:rPr>
  </w:style>
  <w:style w:type="character" w:customStyle="1" w:styleId="Symbols">
    <w:name w:val="Symbols"/>
    <w:rsid w:val="001C4D39"/>
    <w:rPr>
      <w:rFonts w:ascii="Symbol" w:hAnsi="Symbol"/>
    </w:rPr>
  </w:style>
  <w:style w:type="character" w:customStyle="1" w:styleId="MenuOptions">
    <w:name w:val="Menu Options"/>
    <w:rsid w:val="001C4D39"/>
    <w:rPr>
      <w:rFonts w:ascii="Arial Narrow" w:hAnsi="Arial Narrow"/>
      <w:smallCaps/>
    </w:rPr>
  </w:style>
  <w:style w:type="character" w:customStyle="1" w:styleId="Buttons">
    <w:name w:val="Buttons"/>
    <w:rsid w:val="001C4D39"/>
    <w:rPr>
      <w:b/>
    </w:rPr>
  </w:style>
  <w:style w:type="character" w:customStyle="1" w:styleId="Underlined">
    <w:name w:val="Underlined"/>
    <w:rsid w:val="001C4D39"/>
    <w:rPr>
      <w:u w:val="single"/>
    </w:rPr>
  </w:style>
  <w:style w:type="paragraph" w:customStyle="1" w:styleId="TableBodyTextRight">
    <w:name w:val="Table Body Text Right"/>
    <w:basedOn w:val="TableBodyText"/>
    <w:rsid w:val="001C4D39"/>
    <w:pPr>
      <w:widowControl w:val="0"/>
      <w:autoSpaceDE w:val="0"/>
      <w:autoSpaceDN w:val="0"/>
      <w:adjustRightInd w:val="0"/>
      <w:jc w:val="right"/>
    </w:pPr>
    <w:rPr>
      <w:rFonts w:cs="Arial"/>
      <w:szCs w:val="18"/>
    </w:rPr>
  </w:style>
  <w:style w:type="paragraph" w:customStyle="1" w:styleId="CopyrightText">
    <w:name w:val="Copyright Text"/>
    <w:basedOn w:val="BodyText"/>
    <w:rsid w:val="001C4D39"/>
    <w:rPr>
      <w:sz w:val="18"/>
    </w:rPr>
  </w:style>
  <w:style w:type="paragraph" w:customStyle="1" w:styleId="BodySmallRight">
    <w:name w:val="Body Small Right"/>
    <w:basedOn w:val="BodyTextRight"/>
    <w:rsid w:val="001C4D39"/>
    <w:rPr>
      <w:sz w:val="18"/>
      <w:szCs w:val="18"/>
    </w:rPr>
  </w:style>
  <w:style w:type="paragraph" w:customStyle="1" w:styleId="MarginEdition">
    <w:name w:val="Margin Edition"/>
    <w:basedOn w:val="MarginNote"/>
    <w:rsid w:val="001C4D39"/>
    <w:pPr>
      <w:spacing w:before="0" w:after="0"/>
    </w:pPr>
    <w:rPr>
      <w:rFonts w:ascii="Times New Roman" w:hAnsi="Times New Roman"/>
      <w:color w:val="999999"/>
    </w:rPr>
  </w:style>
  <w:style w:type="paragraph" w:customStyle="1" w:styleId="Spacer">
    <w:name w:val="Spacer"/>
    <w:basedOn w:val="Normal"/>
    <w:rsid w:val="001C4D39"/>
    <w:rPr>
      <w:sz w:val="2"/>
      <w:szCs w:val="2"/>
    </w:rPr>
  </w:style>
  <w:style w:type="character" w:customStyle="1" w:styleId="Small">
    <w:name w:val="Small"/>
    <w:rsid w:val="001C4D39"/>
    <w:rPr>
      <w:sz w:val="16"/>
    </w:rPr>
  </w:style>
  <w:style w:type="paragraph" w:customStyle="1" w:styleId="WideTable">
    <w:name w:val="Wide Table"/>
    <w:basedOn w:val="Normal"/>
    <w:rsid w:val="001C4D39"/>
    <w:pPr>
      <w:ind w:left="-1418"/>
    </w:pPr>
    <w:rPr>
      <w:sz w:val="2"/>
      <w:szCs w:val="2"/>
    </w:rPr>
  </w:style>
  <w:style w:type="character" w:styleId="PageNumber">
    <w:name w:val="page number"/>
    <w:rsid w:val="001C4D39"/>
  </w:style>
  <w:style w:type="paragraph" w:styleId="Quote">
    <w:name w:val="Quote"/>
    <w:basedOn w:val="Heading1"/>
    <w:link w:val="QuoteChar"/>
    <w:qFormat/>
    <w:rsid w:val="001C4D39"/>
    <w:rPr>
      <w:b w:val="0"/>
      <w:sz w:val="72"/>
      <w:szCs w:val="72"/>
      <w:lang w:val="en-NZ"/>
    </w:rPr>
  </w:style>
  <w:style w:type="character" w:customStyle="1" w:styleId="QuoteChar">
    <w:name w:val="Quote Char"/>
    <w:link w:val="Quote"/>
    <w:rsid w:val="001C4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D39"/>
    <w:pPr>
      <w:pageBreakBefore/>
    </w:pPr>
  </w:style>
  <w:style w:type="paragraph" w:customStyle="1" w:styleId="Border">
    <w:name w:val="Border"/>
    <w:basedOn w:val="Normal"/>
    <w:qFormat/>
    <w:rsid w:val="001C4D39"/>
    <w:pPr>
      <w:pBdr>
        <w:top w:val="single" w:sz="18" w:space="1" w:color="auto"/>
      </w:pBdr>
    </w:pPr>
    <w:rPr>
      <w:rFonts w:ascii="Times New Roman" w:hAnsi="Times New Roman"/>
      <w:color w:val="FFFFFF"/>
      <w:sz w:val="2"/>
    </w:rPr>
  </w:style>
  <w:style w:type="character" w:styleId="IntenseEmphasis">
    <w:name w:val="Intense Emphasis"/>
    <w:uiPriority w:val="21"/>
    <w:qFormat/>
    <w:rsid w:val="001C4D39"/>
    <w:rPr>
      <w:b/>
      <w:bCs/>
      <w:i/>
      <w:iCs/>
      <w:color w:val="auto"/>
    </w:rPr>
  </w:style>
  <w:style w:type="paragraph" w:styleId="IntenseQuote">
    <w:name w:val="Intense Quote"/>
    <w:basedOn w:val="Normal"/>
    <w:next w:val="Normal"/>
    <w:link w:val="IntenseQuoteChar"/>
    <w:uiPriority w:val="30"/>
    <w:qFormat/>
    <w:rsid w:val="001C4D3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C4D39"/>
    <w:rPr>
      <w:rFonts w:ascii="Courier New" w:eastAsia="Times New Roman" w:hAnsi="Courier New" w:cs="Times New Roman"/>
      <w:b/>
      <w:bCs/>
      <w:i/>
      <w:iCs/>
      <w:szCs w:val="20"/>
      <w:lang w:val="en-US" w:eastAsia="en-US"/>
    </w:rPr>
  </w:style>
  <w:style w:type="character" w:styleId="SubtleReference">
    <w:name w:val="Subtle Reference"/>
    <w:uiPriority w:val="31"/>
    <w:qFormat/>
    <w:rsid w:val="001C4D39"/>
    <w:rPr>
      <w:smallCaps/>
      <w:color w:val="auto"/>
      <w:u w:val="single"/>
    </w:rPr>
  </w:style>
  <w:style w:type="character" w:styleId="IntenseReference">
    <w:name w:val="Intense Reference"/>
    <w:uiPriority w:val="32"/>
    <w:qFormat/>
    <w:rsid w:val="001C4D39"/>
    <w:rPr>
      <w:b/>
      <w:bCs/>
      <w:smallCaps/>
      <w:color w:val="auto"/>
      <w:spacing w:val="5"/>
      <w:u w:val="single"/>
    </w:rPr>
  </w:style>
  <w:style w:type="paragraph" w:customStyle="1" w:styleId="2ColumnHeading">
    <w:name w:val="2Column Heading"/>
    <w:basedOn w:val="BodyText"/>
    <w:qFormat/>
    <w:rsid w:val="001C4D39"/>
    <w:pPr>
      <w:spacing w:after="60"/>
      <w:ind w:left="-2268"/>
    </w:pPr>
    <w:rPr>
      <w:b/>
    </w:rPr>
  </w:style>
  <w:style w:type="paragraph" w:customStyle="1" w:styleId="Heading1TOC">
    <w:name w:val="Heading1 TOC"/>
    <w:basedOn w:val="Normal"/>
    <w:qFormat/>
    <w:rsid w:val="001C4D39"/>
    <w:pPr>
      <w:spacing w:before="240" w:after="120"/>
    </w:pPr>
    <w:rPr>
      <w:rFonts w:ascii="Times New Roman" w:hAnsi="Times New Roman"/>
      <w:b/>
      <w:sz w:val="32"/>
    </w:rPr>
  </w:style>
  <w:style w:type="paragraph" w:customStyle="1" w:styleId="Heading2TOC">
    <w:name w:val="Heading2 TOC"/>
    <w:basedOn w:val="Normal"/>
    <w:qFormat/>
    <w:rsid w:val="001C4D39"/>
    <w:pPr>
      <w:spacing w:before="240" w:after="60"/>
    </w:pPr>
    <w:rPr>
      <w:rFonts w:ascii="Times New Roman" w:hAnsi="Times New Roman"/>
      <w:b/>
      <w:sz w:val="28"/>
    </w:rPr>
  </w:style>
  <w:style w:type="character" w:customStyle="1" w:styleId="Underline">
    <w:name w:val="Underline"/>
    <w:qFormat/>
    <w:rsid w:val="001C4D39"/>
    <w:rPr>
      <w:u w:val="single"/>
    </w:rPr>
  </w:style>
  <w:style w:type="character" w:customStyle="1" w:styleId="BoldandItalics">
    <w:name w:val="Bold and Italics"/>
    <w:qFormat/>
    <w:rsid w:val="001C4D39"/>
    <w:rPr>
      <w:b/>
      <w:i/>
      <w:u w:val="none"/>
    </w:rPr>
  </w:style>
  <w:style w:type="paragraph" w:styleId="BalloonText">
    <w:name w:val="Balloon Text"/>
    <w:basedOn w:val="Normal"/>
    <w:link w:val="BalloonTextChar"/>
    <w:rsid w:val="001C4D39"/>
    <w:rPr>
      <w:rFonts w:ascii="Tahoma" w:hAnsi="Tahoma" w:cs="Tahoma"/>
      <w:sz w:val="16"/>
      <w:szCs w:val="16"/>
    </w:rPr>
  </w:style>
  <w:style w:type="character" w:customStyle="1" w:styleId="BalloonTextChar">
    <w:name w:val="Balloon Text Char"/>
    <w:link w:val="BalloonText"/>
    <w:rsid w:val="001C4D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4D3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C4D3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8268</Characters>
  <Application>Microsoft Office Word</Application>
  <DocSecurity>0</DocSecurity>
  <Lines>217</Lines>
  <Paragraphs>132</Paragraphs>
  <ScaleCrop>false</ScaleCrop>
  <Company>Author-it Software Corporation Ltd.</Company>
  <LinksUpToDate>false</LinksUpToDate>
  <CharactersWithSpaces>9562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MSAPMSUP301A Apply HACCP to the workplace</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2012-05-26T04:01:00Z</dcterms:created>
  <dcterms:modified xsi:type="dcterms:W3CDTF">2012-05-26T04:01:00Z</dcterms:modified>
</cp:coreProperties>
</file>