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DB9" w:rsidP="007A0DB9">
      <w:pPr>
        <w:pStyle w:val="Title"/>
      </w:pPr>
      <w:r>
        <w:fldChar w:fldCharType="begin"/>
      </w:r>
      <w:r>
        <w:instrText xml:space="preserve"> TITLE   \* MERGEFORMAT </w:instrText>
      </w:r>
      <w:r>
        <w:fldChar w:fldCharType="separate"/>
      </w:r>
      <w:r>
        <w:t>MSAPMOPS100A Use equipment</w:t>
      </w:r>
      <w:r>
        <w:fldChar w:fldCharType="end"/>
      </w:r>
    </w:p>
    <w:p w:rsidR="007A0DB9" w:rsidP="007A0DB9">
      <w:pPr>
        <w:pStyle w:val="Version"/>
        <w:sectPr w:rsidSect="00FE0C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0C91" w:rsidP="00FE0C91">
      <w:pPr>
        <w:pStyle w:val="SuperHeading"/>
      </w:pPr>
      <w:r w:rsidRPr="00FE0C91">
        <w:t>MSAPMOPS100A Use equipment</w:t>
      </w:r>
    </w:p>
    <w:p w:rsidR="00000000" w:rsidRPr="00FE0C91" w:rsidP="00FE0C91">
      <w:pPr>
        <w:pStyle w:val="Heading1"/>
      </w:pPr>
      <w:bookmarkStart w:id="1" w:name="O_566575"/>
      <w:bookmarkEnd w:id="1"/>
      <w:r w:rsidRPr="00FE0C91">
        <w:t>Modification History</w:t>
      </w:r>
    </w:p>
    <w:p w:rsidR="00000000" w:rsidRPr="00FE0C91" w:rsidP="00FE0C91">
      <w:pPr>
        <w:pStyle w:val="BodyText"/>
      </w:pPr>
      <w:r w:rsidRPr="00FE0C91">
        <w:t>Release 2 – Minor clarification changes to application and range, and minor editorial corrections.</w:t>
      </w:r>
    </w:p>
    <w:p w:rsidR="00000000" w:rsidRPr="00FE0C91" w:rsidP="00FE0C91">
      <w:pPr>
        <w:pStyle w:val="AllowPageBreak"/>
      </w:pPr>
    </w:p>
    <w:p w:rsidR="00000000" w:rsidRPr="00FE0C91" w:rsidP="00FE0C91">
      <w:pPr>
        <w:pStyle w:val="Heading1"/>
      </w:pPr>
      <w:bookmarkStart w:id="2" w:name="O_566574"/>
      <w:bookmarkEnd w:id="2"/>
      <w:r w:rsidRPr="00FE0C91">
        <w:t>Unit Descriptor</w:t>
      </w:r>
    </w:p>
    <w:p w:rsidR="007A0DB9" w:rsidP="00FE0C91">
      <w:pPr>
        <w:pStyle w:val="BodyText"/>
      </w:pPr>
      <w:r w:rsidRPr="00FE0C91">
        <w:t>This unit covers the use of any item of equipment which is operated with limited application of knowledge.</w:t>
      </w:r>
    </w:p>
    <w:p w:rsidR="007A0DB9" w:rsidP="00FE0C91">
      <w:pPr>
        <w:pStyle w:val="BodyText"/>
      </w:pPr>
    </w:p>
    <w:p w:rsidR="00000000" w:rsidRPr="00FE0C91" w:rsidP="00FE0C91">
      <w:pPr>
        <w:pStyle w:val="Heading1"/>
      </w:pPr>
      <w:bookmarkStart w:id="3" w:name="O_566573"/>
      <w:bookmarkEnd w:id="3"/>
      <w:r w:rsidRPr="00FE0C91">
        <w:t>Application of the Unit</w:t>
      </w:r>
    </w:p>
    <w:p w:rsidR="00000000" w:rsidRPr="00FE0C91" w:rsidP="00FE0C91">
      <w:pPr>
        <w:pStyle w:val="BodyText"/>
      </w:pPr>
      <w:r w:rsidRPr="00FE0C91">
        <w:t>This unit applies to all persons who have the responsibility for using equipment where they are not required to have any significant understanding of the equipment or the process.</w:t>
      </w:r>
    </w:p>
    <w:p w:rsidR="00000000" w:rsidRPr="00FE0C91" w:rsidP="00FE0C91">
      <w:pPr>
        <w:pStyle w:val="BodyText"/>
      </w:pPr>
      <w:r w:rsidRPr="00FE0C91">
        <w:t>In a typical situation the operator may be using, f</w:t>
      </w:r>
      <w:r w:rsidRPr="00FE0C91">
        <w:t>or example, a packaged chilled water refrigeration unit to supply chilled water to the plant. The operator uses simple controls and responds to fault alarms built into the equipment. Even though the equipment may be very sophisticated (e.g. using high-spee</w:t>
      </w:r>
      <w:r w:rsidRPr="00FE0C91">
        <w:t>d compressors and computerised monitoring and control equipment) the operator interface is relatively simple. The operator is expected to simply regard this equipment as a black box – they may know what it does, but little detail on how it does it.</w:t>
      </w:r>
    </w:p>
    <w:p w:rsidR="00000000" w:rsidRPr="00FE0C91" w:rsidP="00FE0C91">
      <w:pPr>
        <w:pStyle w:val="BodyText"/>
      </w:pPr>
      <w:r w:rsidRPr="00FE0C91">
        <w:t>This un</w:t>
      </w:r>
      <w:r w:rsidRPr="00FE0C91">
        <w:t>it applies to an individual working alone or as part of a team or group and working in liaison with other shift team members and the control room operator, as appropriate.</w:t>
      </w:r>
    </w:p>
    <w:p w:rsidR="00000000" w:rsidRPr="00FE0C91" w:rsidP="00FE0C91">
      <w:pPr>
        <w:pStyle w:val="BodyText"/>
      </w:pPr>
      <w:r w:rsidRPr="00FE0C91">
        <w:t>Where greater levels of understanding and interaction are required, then the appropr</w:t>
      </w:r>
      <w:r w:rsidRPr="00FE0C91">
        <w:t>iate 200 series technical unit should be used.</w:t>
      </w:r>
    </w:p>
    <w:p w:rsidR="007A0DB9" w:rsidP="00FE0C91">
      <w:pPr>
        <w:pStyle w:val="BodyText"/>
      </w:pPr>
      <w:r w:rsidRPr="00FE0C91">
        <w:t>This unit has been written to apply to fluids as well as solids and may be applied wherever ‘black box’ equipment is used.</w:t>
      </w:r>
    </w:p>
    <w:p w:rsidR="007A0DB9" w:rsidP="00FE0C91">
      <w:pPr>
        <w:pStyle w:val="BodyText"/>
      </w:pPr>
    </w:p>
    <w:p w:rsidR="00000000" w:rsidRPr="00FE0C91" w:rsidP="00FE0C91">
      <w:pPr>
        <w:pStyle w:val="Heading1"/>
      </w:pPr>
      <w:bookmarkStart w:id="4" w:name="O_566572"/>
      <w:bookmarkEnd w:id="4"/>
      <w:r w:rsidRPr="00FE0C91">
        <w:t>Licensing/Regulatory Information</w:t>
      </w:r>
    </w:p>
    <w:p w:rsidR="00000000" w:rsidRPr="00FE0C91" w:rsidP="00FE0C91">
      <w:pPr>
        <w:pStyle w:val="BodyText"/>
      </w:pPr>
      <w:r w:rsidRPr="00FE0C91">
        <w:t>Not applicable.</w:t>
      </w:r>
    </w:p>
    <w:p w:rsidR="00000000" w:rsidRPr="00FE0C91" w:rsidP="00FE0C91">
      <w:pPr>
        <w:pStyle w:val="AllowPageBreak"/>
      </w:pPr>
    </w:p>
    <w:p w:rsidR="00000000" w:rsidRPr="00FE0C91" w:rsidP="00FE0C91">
      <w:pPr>
        <w:pStyle w:val="Heading1"/>
      </w:pPr>
      <w:bookmarkStart w:id="5" w:name="O_566571"/>
      <w:bookmarkEnd w:id="5"/>
      <w:r w:rsidRPr="00FE0C91">
        <w:t>Pr</w:t>
      </w:r>
      <w:r w:rsidRPr="00FE0C91">
        <w:t>e-Requisites</w:t>
      </w:r>
    </w:p>
    <w:p w:rsidR="007A0DB9" w:rsidP="00FE0C91">
      <w:pPr>
        <w:pStyle w:val="BodyText"/>
      </w:pPr>
      <w:r w:rsidRPr="00FE0C91">
        <w:t xml:space="preserve">This unit has </w:t>
      </w:r>
      <w:r w:rsidRPr="00FE0C91">
        <w:rPr>
          <w:rStyle w:val="SpecialBold"/>
        </w:rPr>
        <w:t>no</w:t>
      </w:r>
      <w:r w:rsidRPr="00FE0C91">
        <w:t xml:space="preserve"> prerequisites.</w:t>
      </w:r>
    </w:p>
    <w:p w:rsidR="007A0DB9" w:rsidP="00FE0C91">
      <w:pPr>
        <w:pStyle w:val="BodyText"/>
      </w:pPr>
    </w:p>
    <w:p w:rsidR="00000000" w:rsidRPr="00FE0C91" w:rsidP="00FE0C91">
      <w:pPr>
        <w:pStyle w:val="Heading1"/>
      </w:pPr>
      <w:bookmarkStart w:id="6" w:name="O_566570"/>
      <w:bookmarkEnd w:id="6"/>
      <w:r w:rsidRPr="00FE0C91">
        <w:t>Employability Skills Information</w:t>
      </w:r>
    </w:p>
    <w:p w:rsidR="007A0DB9" w:rsidP="00FE0C91">
      <w:pPr>
        <w:pStyle w:val="BodyText"/>
      </w:pPr>
      <w:r w:rsidRPr="00FE0C91">
        <w:t>This unit contains employability skills.</w:t>
      </w:r>
    </w:p>
    <w:p w:rsidR="007A0DB9" w:rsidP="00FE0C91">
      <w:pPr>
        <w:pStyle w:val="BodyText"/>
      </w:pPr>
    </w:p>
    <w:p w:rsidR="00000000" w:rsidRPr="00FE0C91" w:rsidP="00FE0C91">
      <w:pPr>
        <w:pStyle w:val="Heading1"/>
      </w:pPr>
      <w:bookmarkStart w:id="7" w:name="O_566569"/>
      <w:bookmarkEnd w:id="7"/>
      <w:r w:rsidRPr="00FE0C91">
        <w:t>Elements and Performance Criteria Pre-Content</w:t>
      </w:r>
    </w:p>
    <w:tbl>
      <w:tblPr>
        <w:tblW w:w="0" w:type="auto"/>
        <w:tblLayout w:type="fixed"/>
        <w:tblCellMar>
          <w:left w:w="62" w:type="dxa"/>
          <w:right w:w="62" w:type="dxa"/>
        </w:tblCellMar>
        <w:tblLook w:val="0000"/>
      </w:tblPr>
      <w:tblGrid>
        <w:gridCol w:w="3227"/>
        <w:gridCol w:w="5109"/>
      </w:tblGrid>
      <w:tr w:rsidTr="007A0DB9">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C91" w:rsidP="00FE0C91">
            <w:pPr>
              <w:pStyle w:val="BodyText"/>
            </w:pPr>
            <w:r w:rsidRPr="00FE0C91">
              <w:rPr>
                <w:rStyle w:val="SpecialBold"/>
              </w:rPr>
              <w:t>ELEMENT</w:t>
            </w:r>
          </w:p>
          <w:p w:rsidR="00000000" w:rsidRPr="00FE0C91" w:rsidP="00FE0C91">
            <w:pPr>
              <w:pStyle w:val="BodyText"/>
            </w:pPr>
            <w:r w:rsidRPr="00FE0C91">
              <w:t>Elements describe the essential outcomes of a unit of competency</w:t>
            </w:r>
          </w:p>
        </w:tc>
        <w:tc>
          <w:tcPr>
            <w:tcW w:w="51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C91" w:rsidP="00FE0C91">
            <w:pPr>
              <w:pStyle w:val="BodyText"/>
            </w:pPr>
            <w:r w:rsidRPr="00FE0C91">
              <w:rPr>
                <w:rStyle w:val="SpecialBold"/>
              </w:rPr>
              <w:t>PERFORMANCE CRITERIA</w:t>
            </w:r>
          </w:p>
          <w:p w:rsidR="00000000" w:rsidRPr="00FE0C91" w:rsidP="00FE0C91">
            <w:pPr>
              <w:pStyle w:val="BodyText"/>
            </w:pPr>
            <w:r w:rsidRPr="00FE0C91">
              <w:t>Performance Criteria describe the required performance needed to demonstrate achievement of the Element. Assessment of performance is to be consistent with the Evidence G</w:t>
            </w:r>
            <w:r w:rsidRPr="00FE0C91">
              <w:t>uide.</w:t>
            </w:r>
          </w:p>
        </w:tc>
      </w:tr>
    </w:tbl>
    <w:p w:rsidR="00000000" w:rsidRPr="00FE0C91" w:rsidP="00FE0C91">
      <w:pPr>
        <w:pStyle w:val="BodyText"/>
      </w:pPr>
    </w:p>
    <w:p w:rsidR="00000000" w:rsidRPr="00FE0C91" w:rsidP="00FE0C91">
      <w:pPr>
        <w:pStyle w:val="AllowPageBreak"/>
      </w:pPr>
    </w:p>
    <w:p w:rsidR="00000000" w:rsidRPr="00FE0C91" w:rsidP="00FE0C91">
      <w:pPr>
        <w:pStyle w:val="Heading1"/>
      </w:pPr>
      <w:bookmarkStart w:id="8" w:name="O_566568"/>
      <w:bookmarkEnd w:id="8"/>
      <w:r w:rsidRPr="00FE0C91">
        <w:t>Elements and Performance Criteria</w:t>
      </w:r>
    </w:p>
    <w:tbl>
      <w:tblPr>
        <w:tblW w:w="0" w:type="auto"/>
        <w:tblLayout w:type="fixed"/>
        <w:tblCellMar>
          <w:left w:w="62" w:type="dxa"/>
          <w:right w:w="62" w:type="dxa"/>
        </w:tblCellMar>
        <w:tblLook w:val="0000"/>
      </w:tblPr>
      <w:tblGrid>
        <w:gridCol w:w="3227"/>
        <w:gridCol w:w="5863"/>
      </w:tblGrid>
      <w:tr w:rsidTr="007A0DB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E0C91">
            <w:pPr>
              <w:pStyle w:val="List"/>
              <w:rPr>
                <w:lang w:val="en-NZ"/>
              </w:rPr>
            </w:pPr>
            <w:r w:rsidRPr="00FE0C91">
              <w:t>1.</w:t>
            </w:r>
            <w:r w:rsidRPr="00FE0C91">
              <w:tab/>
              <w:t>Follow workplace procedures</w:t>
            </w:r>
          </w:p>
        </w:tc>
        <w:tc>
          <w:tcPr>
            <w:tcW w:w="5863" w:type="dxa"/>
            <w:tcBorders>
              <w:top w:val="nil"/>
              <w:left w:val="nil"/>
              <w:bottom w:val="nil"/>
              <w:right w:val="nil"/>
            </w:tcBorders>
            <w:tcMar>
              <w:top w:w="0" w:type="dxa"/>
              <w:left w:w="62" w:type="dxa"/>
              <w:bottom w:w="0" w:type="dxa"/>
              <w:right w:w="62" w:type="dxa"/>
            </w:tcMar>
          </w:tcPr>
          <w:p w:rsidR="00000000" w:rsidRPr="00FE0C91" w:rsidP="00FE0C91">
            <w:pPr>
              <w:pStyle w:val="List"/>
            </w:pPr>
            <w:r w:rsidRPr="00FE0C91">
              <w:t>1.1</w:t>
            </w:r>
            <w:r w:rsidRPr="00FE0C91">
              <w:tab/>
              <w:t>Find out what is required for the job</w:t>
            </w:r>
          </w:p>
          <w:p w:rsidR="00000000" w:rsidRPr="00FE0C91" w:rsidP="00FE0C91">
            <w:pPr>
              <w:pStyle w:val="List"/>
            </w:pPr>
            <w:r w:rsidRPr="00FE0C91">
              <w:t>1.2</w:t>
            </w:r>
            <w:r w:rsidRPr="00FE0C91">
              <w:tab/>
              <w:t>Identify and follow appropriate procedures</w:t>
            </w:r>
          </w:p>
          <w:p w:rsidR="00000000" w:rsidRPr="00FE0C91" w:rsidP="00FE0C91">
            <w:pPr>
              <w:pStyle w:val="List"/>
            </w:pPr>
            <w:r w:rsidRPr="00FE0C91">
              <w:t>1.3</w:t>
            </w:r>
            <w:r w:rsidRPr="00FE0C91">
              <w:tab/>
              <w:t>Complete all reporting as required</w:t>
            </w:r>
          </w:p>
          <w:p w:rsidR="00000000" w:rsidP="00FE0C91">
            <w:pPr>
              <w:pStyle w:val="List"/>
              <w:rPr>
                <w:lang w:val="en-NZ"/>
              </w:rPr>
            </w:pPr>
            <w:r w:rsidRPr="00FE0C91">
              <w:t>1.4</w:t>
            </w:r>
            <w:r w:rsidRPr="00FE0C91">
              <w:tab/>
              <w:t>Recognise and report anything unus</w:t>
            </w:r>
            <w:r w:rsidRPr="00FE0C91">
              <w:t>ual</w:t>
            </w:r>
          </w:p>
        </w:tc>
      </w:tr>
      <w:tr w:rsidTr="007A0DB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FE0C91">
            <w:pPr>
              <w:pStyle w:val="List"/>
              <w:rPr>
                <w:lang w:val="en-NZ"/>
              </w:rPr>
            </w:pPr>
            <w:r w:rsidRPr="00FE0C91">
              <w:t>2.</w:t>
            </w:r>
            <w:r w:rsidRPr="00FE0C91">
              <w:tab/>
              <w:t>Monitor and use the equipment/process</w:t>
            </w:r>
          </w:p>
        </w:tc>
        <w:tc>
          <w:tcPr>
            <w:tcW w:w="5863" w:type="dxa"/>
            <w:tcBorders>
              <w:top w:val="nil"/>
              <w:left w:val="nil"/>
              <w:bottom w:val="nil"/>
              <w:right w:val="nil"/>
            </w:tcBorders>
            <w:tcMar>
              <w:top w:w="0" w:type="dxa"/>
              <w:left w:w="62" w:type="dxa"/>
              <w:bottom w:w="0" w:type="dxa"/>
              <w:right w:w="62" w:type="dxa"/>
            </w:tcMar>
          </w:tcPr>
          <w:p w:rsidR="00000000" w:rsidRPr="00FE0C91" w:rsidP="00FE0C91">
            <w:pPr>
              <w:pStyle w:val="List"/>
            </w:pPr>
            <w:r w:rsidRPr="00FE0C91">
              <w:t>2.1</w:t>
            </w:r>
            <w:r w:rsidRPr="00FE0C91">
              <w:tab/>
              <w:t>Turn the equipment on and off as required by procedure</w:t>
            </w:r>
          </w:p>
          <w:p w:rsidR="00000000" w:rsidRPr="00FE0C91" w:rsidP="00FE0C91">
            <w:pPr>
              <w:pStyle w:val="List"/>
            </w:pPr>
            <w:r w:rsidRPr="00FE0C91">
              <w:t>2.2</w:t>
            </w:r>
            <w:r w:rsidRPr="00FE0C91">
              <w:tab/>
              <w:t>Monitor equipment throughout the job using measurements, readings and senses as appropriate</w:t>
            </w:r>
          </w:p>
          <w:p w:rsidR="00000000" w:rsidRPr="00FE0C91" w:rsidP="00FE0C91">
            <w:pPr>
              <w:pStyle w:val="List"/>
            </w:pPr>
            <w:r w:rsidRPr="00FE0C91">
              <w:t>2.3</w:t>
            </w:r>
            <w:r w:rsidRPr="00FE0C91">
              <w:tab/>
            </w:r>
            <w:r w:rsidRPr="00FE0C91">
              <w:t>Recognise deviations from standard/desired conditions</w:t>
            </w:r>
          </w:p>
          <w:p w:rsidR="00000000" w:rsidRPr="00FE0C91" w:rsidP="00FE0C91">
            <w:pPr>
              <w:pStyle w:val="List"/>
            </w:pPr>
            <w:r w:rsidRPr="00FE0C91">
              <w:t>2.4</w:t>
            </w:r>
            <w:r w:rsidRPr="00FE0C91">
              <w:tab/>
              <w:t>Take appropriate corrective action</w:t>
            </w:r>
          </w:p>
        </w:tc>
      </w:tr>
    </w:tbl>
    <w:p w:rsidR="00000000" w:rsidRPr="00FE0C91" w:rsidP="00FE0C91">
      <w:pPr>
        <w:pStyle w:val="BodyText"/>
      </w:pPr>
    </w:p>
    <w:p w:rsidR="00000000" w:rsidRPr="00FE0C91" w:rsidP="00FE0C91">
      <w:pPr>
        <w:pStyle w:val="AllowPageBreak"/>
      </w:pPr>
    </w:p>
    <w:p w:rsidR="00000000" w:rsidRPr="00FE0C91" w:rsidP="00FE0C91">
      <w:pPr>
        <w:pStyle w:val="Heading1"/>
      </w:pPr>
      <w:bookmarkStart w:id="9" w:name="O_566567"/>
      <w:bookmarkEnd w:id="9"/>
      <w:r w:rsidRPr="00FE0C91">
        <w:t>Required Skills and Knowledge</w:t>
      </w:r>
    </w:p>
    <w:tbl>
      <w:tblPr>
        <w:tblW w:w="0" w:type="auto"/>
        <w:tblLayout w:type="fixed"/>
        <w:tblCellMar>
          <w:left w:w="62" w:type="dxa"/>
          <w:right w:w="62" w:type="dxa"/>
        </w:tblCellMar>
        <w:tblLook w:val="0000"/>
      </w:tblPr>
      <w:tblGrid>
        <w:gridCol w:w="9072"/>
      </w:tblGrid>
      <w:tr w:rsidTr="00FE0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0C91">
            <w:pPr>
              <w:pStyle w:val="BodyText"/>
              <w:rPr>
                <w:lang w:val="en-NZ"/>
              </w:rPr>
            </w:pPr>
            <w:r w:rsidRPr="00FE0C91">
              <w:t>This describes the essential skills and knowledge and their level required for this unit.</w:t>
            </w:r>
          </w:p>
        </w:tc>
      </w:tr>
      <w:tr w:rsidTr="00FE0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t>Minimal knowledge of th</w:t>
            </w:r>
            <w:r w:rsidRPr="00FE0C91">
              <w:t>e equipment and procedures but sufficient to recognise abnormal operating conditions and alert the appropriate individuals.</w:t>
            </w:r>
          </w:p>
          <w:p w:rsidR="00000000" w:rsidRPr="00FE0C91" w:rsidP="00FE0C91">
            <w:pPr>
              <w:pStyle w:val="BodyText"/>
            </w:pPr>
            <w:r w:rsidRPr="00FE0C91">
              <w:t>Knowledge of organisation procedures and relevant regulatory requirements along with the ability to implement them within appropriat</w:t>
            </w:r>
            <w:r w:rsidRPr="00FE0C91">
              <w:t>e time constraints and work standards.</w:t>
            </w:r>
          </w:p>
          <w:p w:rsidR="00000000" w:rsidRPr="00FE0C91" w:rsidP="00FE0C91">
            <w:pPr>
              <w:pStyle w:val="BodyText"/>
            </w:pPr>
            <w:r w:rsidRPr="00FE0C91">
              <w:t>Competence includes the ability for the practical completion of the job to:</w:t>
            </w:r>
          </w:p>
          <w:p w:rsidR="00000000" w:rsidRPr="00FE0C91" w:rsidP="00FE0C91">
            <w:pPr>
              <w:pStyle w:val="ListBullet"/>
            </w:pPr>
            <w:r w:rsidRPr="00FE0C91">
              <w:t xml:space="preserve">describe appropriate safety procedures concerning the operation of the equipment, </w:t>
            </w:r>
            <w:r w:rsidRPr="00FE0C91">
              <w:t>procedures relating to the reporting of hazardous conditions, and appropriate shutdown procedures</w:t>
            </w:r>
          </w:p>
          <w:p w:rsidR="00000000" w:rsidRPr="00FE0C91" w:rsidP="00FE0C91">
            <w:pPr>
              <w:pStyle w:val="ListBullet"/>
            </w:pPr>
            <w:r w:rsidRPr="00FE0C91">
              <w:t>recognise a situation requiring action and take the action specified in the procedures, and report the situation as specified in the procedures.</w:t>
            </w:r>
          </w:p>
          <w:p w:rsidR="00000000" w:rsidRPr="00FE0C91" w:rsidP="00FE0C91">
            <w:pPr>
              <w:pStyle w:val="BodyText"/>
            </w:pPr>
            <w:r w:rsidRPr="00FE0C91">
              <w:rPr>
                <w:rStyle w:val="SpecialBold"/>
              </w:rPr>
              <w:t>Language, lit</w:t>
            </w:r>
            <w:r w:rsidRPr="00FE0C91">
              <w:rPr>
                <w:rStyle w:val="SpecialBold"/>
              </w:rPr>
              <w:t>eracy and numeracy requirements</w:t>
            </w:r>
          </w:p>
          <w:p w:rsidR="00000000" w:rsidRPr="00FE0C91" w:rsidP="00FE0C91">
            <w:pPr>
              <w:pStyle w:val="BodyText"/>
            </w:pPr>
            <w:r w:rsidRPr="00FE0C91">
              <w:t>This unit has minimal literacy and numeracy requirements other than those required to start and stop the equipment and recognise common problems (e.g. reading gauges).</w:t>
            </w:r>
          </w:p>
          <w:p w:rsidR="00000000" w:rsidRPr="00FE0C91" w:rsidP="00FE0C91">
            <w:pPr>
              <w:pStyle w:val="BodyText"/>
            </w:pPr>
          </w:p>
        </w:tc>
      </w:tr>
    </w:tbl>
    <w:p w:rsidR="00000000" w:rsidRPr="00FE0C91" w:rsidP="00FE0C91">
      <w:pPr>
        <w:pStyle w:val="BodyText"/>
      </w:pPr>
    </w:p>
    <w:p w:rsidR="00000000" w:rsidRPr="00FE0C91" w:rsidP="00FE0C91">
      <w:pPr>
        <w:pStyle w:val="AllowPageBreak"/>
      </w:pPr>
    </w:p>
    <w:p w:rsidR="00000000" w:rsidRPr="00FE0C91" w:rsidP="00FE0C91">
      <w:pPr>
        <w:pStyle w:val="Heading1"/>
      </w:pPr>
      <w:bookmarkStart w:id="10" w:name="O_566566"/>
      <w:bookmarkEnd w:id="10"/>
      <w:r w:rsidRPr="00FE0C91">
        <w:t>Evidence Guide</w:t>
      </w:r>
    </w:p>
    <w:tbl>
      <w:tblPr>
        <w:tblW w:w="0" w:type="auto"/>
        <w:tblLayout w:type="fixed"/>
        <w:tblCellMar>
          <w:left w:w="62" w:type="dxa"/>
          <w:right w:w="62" w:type="dxa"/>
        </w:tblCellMar>
        <w:tblLook w:val="0000"/>
      </w:tblPr>
      <w:tblGrid>
        <w:gridCol w:w="2520"/>
        <w:gridCol w:w="6552"/>
      </w:tblGrid>
      <w:tr w:rsidTr="00FE0C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0C91">
            <w:pPr>
              <w:pStyle w:val="BodyText"/>
              <w:rPr>
                <w:lang w:val="en-NZ"/>
              </w:rPr>
            </w:pPr>
            <w:r w:rsidRPr="00FE0C91">
              <w:t>The Evidence Guide pr</w:t>
            </w:r>
            <w:r w:rsidRPr="00FE0C91">
              <w:t>ovides advice on assessment and must be read in conjunction with the Performance Criteria, Required Skills and Knowledge, the Range Statement and the Assessment Guidelines for this Training Package.</w:t>
            </w:r>
          </w:p>
        </w:tc>
      </w:tr>
      <w:tr w:rsidTr="00FE0C91">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rPr>
                <w:rStyle w:val="SpecialBold"/>
              </w:rPr>
              <w:t>Overview of assessment</w:t>
            </w:r>
          </w:p>
          <w:p w:rsidR="00000000">
            <w:pPr>
              <w:pStyle w:val="BodyText"/>
              <w:keepNext w:val="0"/>
              <w:keepLines w:val="0"/>
              <w:contextualSpacing w:val="0"/>
              <w:rPr>
                <w:rFonts w:ascii="Tahoma" w:hAnsi="Tahoma"/>
                <w:color w:val="000000"/>
                <w:sz w:val="20"/>
                <w:lang w:val="en-NZ"/>
              </w:rPr>
            </w:pPr>
          </w:p>
        </w:tc>
        <w:tc>
          <w:tcPr>
            <w:tcW w:w="6552"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t>A holistic approach should be taken to the assessment.</w:t>
            </w:r>
          </w:p>
          <w:p w:rsidR="00000000" w:rsidP="00FE0C91">
            <w:pPr>
              <w:pStyle w:val="BodyText"/>
              <w:rPr>
                <w:lang w:val="en-NZ"/>
              </w:rPr>
            </w:pPr>
            <w:r w:rsidRPr="00FE0C91">
              <w:t xml:space="preserve">Assessors must be satisfied that the person can consistently perform the unit as a whole, as defined by the Elements, Performance Criteria and skills and knowledge. </w:t>
            </w:r>
          </w:p>
        </w:tc>
      </w:tr>
      <w:tr w:rsidTr="00FE0C91">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rPr>
                <w:rStyle w:val="SpecialBold"/>
              </w:rPr>
              <w:t>Critical aspects for assessment an</w:t>
            </w:r>
            <w:r w:rsidRPr="00FE0C91">
              <w:rPr>
                <w:rStyle w:val="SpecialBold"/>
              </w:rPr>
              <w:t>d evidence required to demonstrate competency in this unit</w:t>
            </w:r>
          </w:p>
          <w:p w:rsidR="00000000">
            <w:pPr>
              <w:pStyle w:val="BodyText"/>
              <w:keepNext w:val="0"/>
              <w:keepLines w:val="0"/>
              <w:contextualSpacing w:val="0"/>
              <w:rPr>
                <w:rFonts w:ascii="Tahoma" w:hAnsi="Tahoma"/>
                <w:color w:val="000000"/>
                <w:sz w:val="20"/>
                <w:lang w:val="en-NZ"/>
              </w:rPr>
            </w:pPr>
          </w:p>
        </w:tc>
        <w:tc>
          <w:tcPr>
            <w:tcW w:w="6552"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t>It is essential that competence is demonstrated in the knowledge and skills defined in this unit. These may include the ability to:</w:t>
            </w:r>
          </w:p>
          <w:p w:rsidR="00000000" w:rsidRPr="00FE0C91" w:rsidP="00FE0C91">
            <w:pPr>
              <w:pStyle w:val="ListBullet"/>
            </w:pPr>
            <w:r w:rsidRPr="00FE0C91">
              <w:t>use the equipment for the specified purpose</w:t>
            </w:r>
          </w:p>
          <w:p w:rsidR="00000000" w:rsidRPr="00FE0C91" w:rsidP="00FE0C91">
            <w:pPr>
              <w:pStyle w:val="ListBullet"/>
            </w:pPr>
            <w:r w:rsidRPr="00FE0C91">
              <w:t>operate the equipme</w:t>
            </w:r>
            <w:r w:rsidRPr="00FE0C91">
              <w:t>nt within the prescribed operating limits</w:t>
            </w:r>
          </w:p>
          <w:p w:rsidR="00000000" w:rsidRPr="00FE0C91" w:rsidP="00FE0C91">
            <w:pPr>
              <w:pStyle w:val="ListBullet"/>
            </w:pPr>
            <w:r w:rsidRPr="00FE0C91">
              <w:t>identify when the equipment is not operating as prescribed</w:t>
            </w:r>
          </w:p>
          <w:p w:rsidR="00000000" w:rsidRPr="00FE0C91" w:rsidP="00FE0C91">
            <w:pPr>
              <w:pStyle w:val="ListBullet"/>
            </w:pPr>
            <w:r w:rsidRPr="00FE0C91">
              <w:t>correctly monitor the equipment's operation</w:t>
            </w:r>
          </w:p>
          <w:p w:rsidR="00000000" w:rsidRPr="00FE0C91" w:rsidP="00FE0C91">
            <w:pPr>
              <w:pStyle w:val="ListBullet"/>
            </w:pPr>
            <w:r w:rsidRPr="00FE0C91">
              <w:t>report equipment malfunctions or problems according to procedures.</w:t>
            </w:r>
          </w:p>
          <w:p w:rsidR="00000000" w:rsidRPr="00FE0C91" w:rsidP="00FE0C91">
            <w:pPr>
              <w:pStyle w:val="BodyText"/>
            </w:pPr>
            <w:r w:rsidRPr="00FE0C91">
              <w:t>Consistent performance should be demonstrated. For example, look to see that:</w:t>
            </w:r>
          </w:p>
          <w:p w:rsidR="00000000" w:rsidRPr="00FE0C91" w:rsidP="00FE0C91">
            <w:pPr>
              <w:pStyle w:val="ListBullet"/>
            </w:pPr>
            <w:r w:rsidRPr="00FE0C91">
              <w:t>standard procedures are followed</w:t>
            </w:r>
          </w:p>
          <w:p w:rsidR="00000000" w:rsidRPr="00FE0C91" w:rsidP="00FE0C91">
            <w:pPr>
              <w:pStyle w:val="ListBullet"/>
            </w:pPr>
            <w:r w:rsidRPr="00FE0C91">
              <w:t>deviations from desired conditions are recognised</w:t>
            </w:r>
          </w:p>
          <w:p w:rsidR="00000000" w:rsidRPr="00FE0C91" w:rsidP="00FE0C91">
            <w:pPr>
              <w:pStyle w:val="ListBullet"/>
            </w:pPr>
            <w:r w:rsidRPr="00FE0C91">
              <w:t xml:space="preserve">action specified in the standard procedures is carried out </w:t>
            </w:r>
          </w:p>
          <w:p w:rsidR="00000000" w:rsidP="00FE0C91">
            <w:pPr>
              <w:pStyle w:val="ListBullet"/>
              <w:rPr>
                <w:lang w:val="en-NZ"/>
              </w:rPr>
            </w:pPr>
            <w:r w:rsidRPr="00FE0C91">
              <w:t>work is carried out safely.</w:t>
            </w:r>
          </w:p>
        </w:tc>
      </w:tr>
      <w:tr w:rsidTr="00FE0C91">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rPr>
                <w:rStyle w:val="SpecialBold"/>
              </w:rPr>
              <w:t>Asses</w:t>
            </w:r>
            <w:r w:rsidRPr="00FE0C91">
              <w:rPr>
                <w:rStyle w:val="SpecialBold"/>
              </w:rPr>
              <w:t>sment method and context</w:t>
            </w:r>
          </w:p>
          <w:p w:rsidR="00000000">
            <w:pPr>
              <w:pStyle w:val="BodyText"/>
              <w:keepNext w:val="0"/>
              <w:keepLines w:val="0"/>
              <w:contextualSpacing w:val="0"/>
              <w:rPr>
                <w:rFonts w:ascii="Tahoma" w:hAnsi="Tahoma"/>
                <w:color w:val="000000"/>
                <w:sz w:val="20"/>
                <w:lang w:val="en-NZ"/>
              </w:rPr>
            </w:pPr>
          </w:p>
        </w:tc>
        <w:tc>
          <w:tcPr>
            <w:tcW w:w="6552"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t>Assessment will occur on an appropriate item of equipment and will be undertaken in a work-like environment.</w:t>
            </w:r>
          </w:p>
          <w:p w:rsidR="00000000" w:rsidRPr="00FE0C91" w:rsidP="00FE0C91">
            <w:pPr>
              <w:pStyle w:val="BodyText"/>
            </w:pPr>
            <w:r w:rsidRPr="00FE0C91">
              <w:t>Competence in this unit may be assessed:</w:t>
            </w:r>
          </w:p>
          <w:p w:rsidR="00000000" w:rsidRPr="00FE0C91" w:rsidP="00FE0C91">
            <w:pPr>
              <w:pStyle w:val="ListBullet"/>
            </w:pPr>
            <w:r w:rsidRPr="00FE0C91">
              <w:t>on a processing plant allowing for operation under all normal and a range of ab</w:t>
            </w:r>
            <w:r w:rsidRPr="00FE0C91">
              <w:t>normal conditions</w:t>
            </w:r>
          </w:p>
          <w:p w:rsidR="00000000" w:rsidRPr="00FE0C91" w:rsidP="00FE0C91">
            <w:pPr>
              <w:pStyle w:val="ListBullet"/>
            </w:pPr>
            <w:r w:rsidRPr="00FE0C91">
              <w:t>in a situation allowing the generation of evidence of the ability to respond to problems</w:t>
            </w:r>
          </w:p>
          <w:p w:rsidR="00000000" w:rsidRPr="00FE0C91" w:rsidP="00FE0C91">
            <w:pPr>
              <w:pStyle w:val="ListBullet"/>
            </w:pPr>
            <w:r w:rsidRPr="00FE0C91">
              <w:t>by using a suitable simulation and/or a range of case studies/scenarios</w:t>
            </w:r>
          </w:p>
          <w:p w:rsidR="00000000" w:rsidRPr="00FE0C91" w:rsidP="00FE0C91">
            <w:pPr>
              <w:pStyle w:val="ListBullet"/>
            </w:pPr>
            <w:r w:rsidRPr="00FE0C91">
              <w:t>through a combination of these techniques.</w:t>
            </w:r>
          </w:p>
          <w:p w:rsidR="00000000" w:rsidRPr="00FE0C91" w:rsidP="00FE0C91">
            <w:pPr>
              <w:pStyle w:val="BodyText"/>
            </w:pPr>
            <w:r w:rsidRPr="00FE0C91">
              <w:t>In all cases it is expected that practical assessment will be combined with targeted questioning to assess the underpinning knowledge and theoretical assessment will be combined with appropriate practical/simulation or similar assessment. Assessors need to</w:t>
            </w:r>
            <w:r w:rsidRPr="00FE0C91">
              <w:t xml:space="preserve"> be aware of any cultural issues that may affect responses to questions.</w:t>
            </w:r>
          </w:p>
          <w:p w:rsidR="00000000" w:rsidP="00FE0C91">
            <w:pPr>
              <w:pStyle w:val="BodyText"/>
              <w:rPr>
                <w:lang w:val="en-NZ"/>
              </w:rPr>
            </w:pPr>
            <w:r w:rsidRPr="00FE0C91">
              <w:t>Assessment processes and techniques must be culturally appropriate and appropriate to the oracy, language and literacy capacity of the assessee and the work being performed.</w:t>
            </w:r>
          </w:p>
        </w:tc>
      </w:tr>
      <w:tr w:rsidTr="00FE0C91">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rPr>
                <w:rStyle w:val="SpecialBold"/>
              </w:rPr>
              <w:t>Specific</w:t>
            </w:r>
            <w:r w:rsidRPr="00FE0C91">
              <w:rPr>
                <w:rStyle w:val="SpecialBold"/>
              </w:rPr>
              <w:t xml:space="preserve"> resources for assessment</w:t>
            </w:r>
          </w:p>
          <w:p w:rsidR="00000000">
            <w:pPr>
              <w:pStyle w:val="BodyText"/>
              <w:keepNext w:val="0"/>
              <w:keepLines w:val="0"/>
              <w:contextualSpacing w:val="0"/>
              <w:rPr>
                <w:rFonts w:ascii="Tahoma" w:hAnsi="Tahoma"/>
                <w:color w:val="000000"/>
                <w:sz w:val="20"/>
                <w:lang w:val="en-NZ"/>
              </w:rPr>
            </w:pPr>
          </w:p>
        </w:tc>
        <w:tc>
          <w:tcPr>
            <w:tcW w:w="6552"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t xml:space="preserve">This section should be read in conjunction with the Range Statement for this unit of competency. Resources required include suitable access to an operating plant or equipment that allows for appropriate and realistic simulation. </w:t>
            </w:r>
            <w:r w:rsidRPr="00FE0C91">
              <w:t xml:space="preserve">A bank of case studies/scenarios and questions will also be required to the extent that they form part of the assessment method. Questioning may take place either in the workplace, or in an adjacent, quiet facility such as an office or lunchroom. No other </w:t>
            </w:r>
            <w:r w:rsidRPr="00FE0C91">
              <w:t>special resources are required.</w:t>
            </w:r>
          </w:p>
          <w:p w:rsidR="00000000" w:rsidRPr="00FE0C91" w:rsidP="00FE0C91">
            <w:pPr>
              <w:pStyle w:val="BodyText"/>
            </w:pPr>
            <w:r w:rsidRPr="00FE0C91">
              <w:t>Access must be provided to appropriate learning and/or assessment support when required. Where applicable, physical resources should include equipment modified for people with disabilities.</w:t>
            </w:r>
          </w:p>
        </w:tc>
      </w:tr>
    </w:tbl>
    <w:p w:rsidR="007A0DB9" w:rsidP="00FE0C91">
      <w:pPr>
        <w:pStyle w:val="BodyText"/>
      </w:pPr>
    </w:p>
    <w:p w:rsidR="007A0DB9" w:rsidP="00FE0C91">
      <w:pPr>
        <w:pStyle w:val="BodyText"/>
      </w:pPr>
    </w:p>
    <w:p w:rsidR="00000000" w:rsidRPr="00FE0C91" w:rsidP="00FE0C91">
      <w:pPr>
        <w:pStyle w:val="Heading1"/>
      </w:pPr>
      <w:bookmarkStart w:id="11" w:name="O_566565"/>
      <w:bookmarkEnd w:id="11"/>
      <w:r w:rsidRPr="00FE0C91">
        <w:t>Range Statemen</w:t>
      </w:r>
      <w:r w:rsidRPr="00FE0C91">
        <w:t>t</w:t>
      </w:r>
    </w:p>
    <w:tbl>
      <w:tblPr>
        <w:tblW w:w="0" w:type="auto"/>
        <w:tblLayout w:type="fixed"/>
        <w:tblCellMar>
          <w:left w:w="62" w:type="dxa"/>
          <w:right w:w="62" w:type="dxa"/>
        </w:tblCellMar>
        <w:tblLook w:val="0000"/>
      </w:tblPr>
      <w:tblGrid>
        <w:gridCol w:w="2070"/>
        <w:gridCol w:w="7002"/>
      </w:tblGrid>
      <w:tr w:rsidTr="00FE0C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0C91">
            <w:pPr>
              <w:pStyle w:val="BodyText"/>
              <w:rPr>
                <w:lang w:val="en-NZ"/>
              </w:rPr>
            </w:pPr>
            <w:r w:rsidRPr="00FE0C91">
              <w:t xml:space="preserve">The Range Statement relates to the unit of competency as a whole. It allows for different work environments and situations that may affect performance. </w:t>
            </w:r>
          </w:p>
        </w:tc>
      </w:tr>
      <w:tr w:rsidTr="00FE0C9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FE0C91">
            <w:pPr>
              <w:pStyle w:val="BodyText"/>
              <w:rPr>
                <w:lang w:val="en-NZ"/>
              </w:rPr>
            </w:pPr>
            <w:r w:rsidRPr="00FE0C91">
              <w:rPr>
                <w:rStyle w:val="SpecialBold"/>
              </w:rPr>
              <w:t>Standards and codes</w:t>
            </w:r>
          </w:p>
        </w:tc>
        <w:tc>
          <w:tcPr>
            <w:tcW w:w="7002" w:type="dxa"/>
            <w:tcBorders>
              <w:top w:val="nil"/>
              <w:left w:val="nil"/>
              <w:bottom w:val="nil"/>
              <w:right w:val="nil"/>
            </w:tcBorders>
            <w:tcMar>
              <w:top w:w="0" w:type="dxa"/>
              <w:left w:w="62" w:type="dxa"/>
              <w:bottom w:w="0" w:type="dxa"/>
              <w:right w:w="62" w:type="dxa"/>
            </w:tcMar>
          </w:tcPr>
          <w:p w:rsidR="00000000" w:rsidP="00FE0C91">
            <w:pPr>
              <w:pStyle w:val="BodyText"/>
              <w:rPr>
                <w:lang w:val="en-NZ"/>
              </w:rPr>
            </w:pPr>
            <w:r w:rsidRPr="00FE0C91">
              <w:t xml:space="preserve">Where reference is made to industry codes of practice, and/or Australian/international standards, the latest version must be used. </w:t>
            </w:r>
          </w:p>
        </w:tc>
      </w:tr>
      <w:tr w:rsidTr="00FE0C9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rPr>
                <w:rStyle w:val="SpecialBold"/>
              </w:rPr>
              <w:t>Context</w:t>
            </w:r>
          </w:p>
          <w:p w:rsidR="00000000">
            <w:pPr>
              <w:pStyle w:val="BodyText"/>
              <w:keepNext w:val="0"/>
              <w:keepLines w:val="0"/>
              <w:contextualSpacing w:val="0"/>
              <w:rPr>
                <w:rFonts w:ascii="Tahoma" w:hAnsi="Tahoma"/>
                <w:color w:val="000000"/>
                <w:sz w:val="20"/>
                <w:lang w:val="en-NZ"/>
              </w:rPr>
            </w:pPr>
          </w:p>
        </w:tc>
        <w:tc>
          <w:tcPr>
            <w:tcW w:w="7002"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t>This competency applies to operators new to the job or operators at any level using equipment where significant un</w:t>
            </w:r>
            <w:r w:rsidRPr="00FE0C91">
              <w:t>derstanding of the equipment or process is not required. It applies to any item of equipment which may be used in any sector. It may include:</w:t>
            </w:r>
          </w:p>
          <w:p w:rsidR="00000000" w:rsidRPr="00FE0C91" w:rsidP="00FE0C91">
            <w:pPr>
              <w:pStyle w:val="ListBullet"/>
            </w:pPr>
            <w:r w:rsidRPr="00FE0C91">
              <w:t>compressors (packaged plant)</w:t>
            </w:r>
          </w:p>
          <w:p w:rsidR="00000000" w:rsidRPr="00FE0C91" w:rsidP="00FE0C91">
            <w:pPr>
              <w:pStyle w:val="ListBullet"/>
            </w:pPr>
            <w:r w:rsidRPr="00FE0C91">
              <w:t>refrigeration (packaged plant)</w:t>
            </w:r>
          </w:p>
          <w:p w:rsidR="00000000" w:rsidRPr="00FE0C91" w:rsidP="00FE0C91">
            <w:pPr>
              <w:pStyle w:val="ListBullet"/>
            </w:pPr>
            <w:r w:rsidRPr="00FE0C91">
              <w:t>fans</w:t>
            </w:r>
          </w:p>
          <w:p w:rsidR="00000000" w:rsidRPr="00FE0C91" w:rsidP="00FE0C91">
            <w:pPr>
              <w:pStyle w:val="ListBullet"/>
            </w:pPr>
            <w:r w:rsidRPr="00FE0C91">
              <w:t>blowers</w:t>
            </w:r>
          </w:p>
          <w:p w:rsidR="00000000" w:rsidRPr="00FE0C91" w:rsidP="00FE0C91">
            <w:pPr>
              <w:pStyle w:val="ListBullet"/>
            </w:pPr>
            <w:r w:rsidRPr="00FE0C91">
              <w:t>portable generators</w:t>
            </w:r>
          </w:p>
          <w:p w:rsidR="00000000" w:rsidRPr="00FE0C91" w:rsidP="00FE0C91">
            <w:pPr>
              <w:pStyle w:val="ListBullet"/>
            </w:pPr>
            <w:r w:rsidRPr="00FE0C91">
              <w:t>air conditioning units</w:t>
            </w:r>
          </w:p>
          <w:p w:rsidR="00000000" w:rsidP="00FE0C91">
            <w:pPr>
              <w:pStyle w:val="ListBullet"/>
              <w:rPr>
                <w:lang w:val="en-NZ"/>
              </w:rPr>
            </w:pPr>
            <w:r w:rsidRPr="00FE0C91">
              <w:t>other equipment with similar operating requirements</w:t>
            </w:r>
          </w:p>
        </w:tc>
      </w:tr>
      <w:tr w:rsidTr="00FE0C9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rPr>
                <w:rStyle w:val="SpecialBold"/>
              </w:rPr>
              <w:t>Packaged plant</w:t>
            </w:r>
          </w:p>
          <w:p w:rsidR="00000000">
            <w:pPr>
              <w:pStyle w:val="BodyText"/>
              <w:keepNext w:val="0"/>
              <w:keepLines w:val="0"/>
              <w:contextualSpacing w:val="0"/>
              <w:rPr>
                <w:rFonts w:ascii="Tahoma" w:hAnsi="Tahoma"/>
                <w:color w:val="000000"/>
                <w:sz w:val="20"/>
                <w:lang w:val="en-NZ"/>
              </w:rPr>
            </w:pPr>
          </w:p>
        </w:tc>
        <w:tc>
          <w:tcPr>
            <w:tcW w:w="7002"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t>Packaged plant includes:</w:t>
            </w:r>
          </w:p>
          <w:p w:rsidR="00000000" w:rsidP="00FE0C91">
            <w:pPr>
              <w:pStyle w:val="ListBullet"/>
              <w:rPr>
                <w:lang w:val="en-NZ"/>
              </w:rPr>
            </w:pPr>
            <w:r w:rsidRPr="00FE0C91">
              <w:t>all items of equipment which come in a 'ready to use' form, and are often skid mounted, portable or designed for use by untrained and inex</w:t>
            </w:r>
            <w:r w:rsidRPr="00FE0C91">
              <w:t>perienced people</w:t>
            </w:r>
          </w:p>
        </w:tc>
      </w:tr>
      <w:tr w:rsidTr="00FE0C9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rPr>
                <w:rStyle w:val="SpecialBold"/>
              </w:rPr>
              <w:t>Procedures</w:t>
            </w:r>
          </w:p>
          <w:p w:rsidR="00000000">
            <w:pPr>
              <w:pStyle w:val="BodyText"/>
              <w:keepNext w:val="0"/>
              <w:keepLines w:val="0"/>
              <w:contextualSpacing w:val="0"/>
              <w:rPr>
                <w:rFonts w:ascii="Tahoma" w:hAnsi="Tahoma"/>
                <w:color w:val="000000"/>
                <w:sz w:val="20"/>
                <w:lang w:val="en-NZ"/>
              </w:rPr>
            </w:pPr>
          </w:p>
        </w:tc>
        <w:tc>
          <w:tcPr>
            <w:tcW w:w="7002"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t>All operations are performed in accordance with procedures.</w:t>
            </w:r>
          </w:p>
          <w:p w:rsidR="00000000" w:rsidP="00FE0C91">
            <w:pPr>
              <w:pStyle w:val="BodyText"/>
              <w:rPr>
                <w:lang w:val="en-NZ"/>
              </w:rPr>
            </w:pPr>
            <w:r w:rsidRPr="00FE0C91">
              <w:t>Procedures mean all relevant workplace procedures, work instructions, temporary instructions and relevant industry and government codes and standards.</w:t>
            </w:r>
          </w:p>
        </w:tc>
      </w:tr>
      <w:tr w:rsidTr="00FE0C9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rPr>
                <w:rStyle w:val="SpecialBold"/>
              </w:rPr>
              <w:t>Hazards</w:t>
            </w:r>
          </w:p>
          <w:p w:rsidR="00000000">
            <w:pPr>
              <w:pStyle w:val="BodyText"/>
              <w:keepNext w:val="0"/>
              <w:keepLines w:val="0"/>
              <w:contextualSpacing w:val="0"/>
              <w:rPr>
                <w:rFonts w:ascii="Tahoma" w:hAnsi="Tahoma"/>
                <w:color w:val="000000"/>
                <w:sz w:val="20"/>
                <w:lang w:val="en-NZ"/>
              </w:rPr>
            </w:pPr>
          </w:p>
        </w:tc>
        <w:tc>
          <w:tcPr>
            <w:tcW w:w="7002"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t>Typical hazards include:</w:t>
            </w:r>
          </w:p>
          <w:p w:rsidR="00000000" w:rsidRPr="00FE0C91" w:rsidP="00FE0C91">
            <w:pPr>
              <w:pStyle w:val="ListBullet"/>
            </w:pPr>
            <w:r w:rsidRPr="00FE0C91">
              <w:t>rotating components</w:t>
            </w:r>
          </w:p>
          <w:p w:rsidR="00000000" w:rsidRPr="00FE0C91" w:rsidP="00FE0C91">
            <w:pPr>
              <w:pStyle w:val="ListBullet"/>
            </w:pPr>
            <w:r w:rsidRPr="00FE0C91">
              <w:t>drive chains or belts</w:t>
            </w:r>
          </w:p>
          <w:p w:rsidR="00000000" w:rsidRPr="00FE0C91" w:rsidP="00FE0C91">
            <w:pPr>
              <w:pStyle w:val="ListBullet"/>
            </w:pPr>
            <w:r w:rsidRPr="00FE0C91">
              <w:t>hot or cold equipment parts</w:t>
            </w:r>
          </w:p>
          <w:p w:rsidR="00000000" w:rsidRPr="00FE0C91" w:rsidP="00FE0C91">
            <w:pPr>
              <w:pStyle w:val="ListBullet"/>
            </w:pPr>
            <w:r w:rsidRPr="00FE0C91">
              <w:t>dust, vibration, noise or fumes</w:t>
            </w:r>
          </w:p>
          <w:p w:rsidR="00000000" w:rsidRPr="00FE0C91" w:rsidP="00FE0C91">
            <w:pPr>
              <w:pStyle w:val="ListBullet"/>
            </w:pPr>
            <w:r w:rsidRPr="00FE0C91">
              <w:t>oil spills</w:t>
            </w:r>
          </w:p>
          <w:p w:rsidR="00000000" w:rsidP="00FE0C91">
            <w:pPr>
              <w:pStyle w:val="ListBullet"/>
              <w:rPr>
                <w:lang w:val="en-NZ"/>
              </w:rPr>
            </w:pPr>
            <w:r w:rsidRPr="00FE0C91">
              <w:t>fuel leaks</w:t>
            </w:r>
          </w:p>
        </w:tc>
      </w:tr>
      <w:tr w:rsidTr="00FE0C9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rPr>
                <w:rStyle w:val="SpecialBold"/>
              </w:rPr>
              <w:t>Corrective action</w:t>
            </w:r>
          </w:p>
          <w:p w:rsidR="00000000">
            <w:pPr>
              <w:pStyle w:val="BodyText"/>
              <w:keepNext w:val="0"/>
              <w:keepLines w:val="0"/>
              <w:contextualSpacing w:val="0"/>
              <w:rPr>
                <w:rFonts w:ascii="Tahoma" w:hAnsi="Tahoma"/>
                <w:color w:val="000000"/>
                <w:sz w:val="20"/>
                <w:lang w:val="en-NZ"/>
              </w:rPr>
            </w:pPr>
          </w:p>
        </w:tc>
        <w:tc>
          <w:tcPr>
            <w:tcW w:w="7002"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t>Taking appropriate corrective action includes:</w:t>
            </w:r>
          </w:p>
          <w:p w:rsidR="00000000" w:rsidP="00FE0C91">
            <w:pPr>
              <w:pStyle w:val="ListBullet"/>
              <w:rPr>
                <w:lang w:val="en-NZ"/>
              </w:rPr>
            </w:pPr>
            <w:r w:rsidRPr="00FE0C91">
              <w:t>reporting to the appropriate people or such other specific actions which have been previously defined for specific occurrences</w:t>
            </w:r>
          </w:p>
        </w:tc>
      </w:tr>
      <w:tr w:rsidTr="00FE0C91">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rPr>
                <w:rStyle w:val="SpecialBold"/>
              </w:rPr>
              <w:t>Variables</w:t>
            </w:r>
          </w:p>
          <w:p w:rsidR="00000000">
            <w:pPr>
              <w:pStyle w:val="BodyText"/>
              <w:keepNext w:val="0"/>
              <w:keepLines w:val="0"/>
              <w:contextualSpacing w:val="0"/>
              <w:rPr>
                <w:rFonts w:ascii="Tahoma" w:hAnsi="Tahoma"/>
                <w:color w:val="000000"/>
                <w:sz w:val="20"/>
                <w:lang w:val="en-NZ"/>
              </w:rPr>
            </w:pPr>
          </w:p>
        </w:tc>
        <w:tc>
          <w:tcPr>
            <w:tcW w:w="7002" w:type="dxa"/>
            <w:tcBorders>
              <w:top w:val="nil"/>
              <w:left w:val="nil"/>
              <w:bottom w:val="nil"/>
              <w:right w:val="nil"/>
            </w:tcBorders>
            <w:tcMar>
              <w:top w:w="0" w:type="dxa"/>
              <w:left w:w="62" w:type="dxa"/>
              <w:bottom w:w="0" w:type="dxa"/>
              <w:right w:w="62" w:type="dxa"/>
            </w:tcMar>
          </w:tcPr>
          <w:p w:rsidR="00000000" w:rsidRPr="00FE0C91" w:rsidP="00FE0C91">
            <w:pPr>
              <w:pStyle w:val="BodyText"/>
            </w:pPr>
            <w:r w:rsidRPr="00FE0C91">
              <w:t>Key variables to be monitored include:</w:t>
            </w:r>
          </w:p>
          <w:p w:rsidR="00000000" w:rsidRPr="00FE0C91" w:rsidP="00FE0C91">
            <w:pPr>
              <w:pStyle w:val="ListBullet"/>
            </w:pPr>
            <w:r w:rsidRPr="00FE0C91">
              <w:t>equipment production outputs</w:t>
            </w:r>
          </w:p>
          <w:p w:rsidR="00000000" w:rsidRPr="00FE0C91" w:rsidP="00FE0C91">
            <w:pPr>
              <w:pStyle w:val="ListBullet"/>
            </w:pPr>
            <w:r w:rsidRPr="00FE0C91">
              <w:t>equipment operating conditions</w:t>
            </w:r>
          </w:p>
          <w:p w:rsidR="00000000" w:rsidRPr="00FE0C91" w:rsidP="00FE0C91">
            <w:pPr>
              <w:pStyle w:val="ListBullet"/>
            </w:pPr>
            <w:r w:rsidRPr="00FE0C91">
              <w:t>operating tempera</w:t>
            </w:r>
            <w:r w:rsidRPr="00FE0C91">
              <w:t>tures and pressures</w:t>
            </w:r>
          </w:p>
        </w:tc>
      </w:tr>
    </w:tbl>
    <w:p w:rsidR="00000000" w:rsidRPr="00FE0C91" w:rsidP="00FE0C91">
      <w:pPr>
        <w:pStyle w:val="BodyText"/>
      </w:pPr>
    </w:p>
    <w:p w:rsidR="00000000" w:rsidRPr="00FE0C91" w:rsidP="00FE0C91">
      <w:pPr>
        <w:pStyle w:val="AllowPageBreak"/>
      </w:pPr>
    </w:p>
    <w:p w:rsidR="00000000" w:rsidRPr="00FE0C91" w:rsidP="00FE0C91">
      <w:pPr>
        <w:pStyle w:val="Heading1"/>
      </w:pPr>
      <w:bookmarkStart w:id="12" w:name="O_566564"/>
      <w:bookmarkEnd w:id="12"/>
      <w:r w:rsidRPr="00FE0C91">
        <w:t>Unit Sector(s)</w:t>
      </w:r>
    </w:p>
    <w:p w:rsidR="00000000" w:rsidRPr="00FE0C91" w:rsidP="00FE0C91">
      <w:pPr>
        <w:pStyle w:val="BodyText"/>
      </w:pPr>
      <w:r w:rsidRPr="00FE0C91">
        <w:t>Not applicable.</w:t>
      </w:r>
    </w:p>
    <w:p w:rsidR="00000000" w:rsidRPr="00FE0C91" w:rsidP="00FE0C91"/>
    <w:sectPr w:rsidSect="00FE0C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C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C91" w:rsidRPr="007A0DB9" w:rsidP="007A0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C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B9" w:rsidP="00FE0C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0DB9" w:rsidP="00FE0C9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0DB9" w:rsidP="00FE0C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C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C91" w:rsidRPr="007A0DB9" w:rsidP="007A0D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C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B9" w:rsidRPr="002D2AF8" w:rsidP="00FE0C91">
    <w:pPr>
      <w:pStyle w:val="Header"/>
      <w:framePr w:wrap="around"/>
    </w:pPr>
    <w:r>
      <w:fldChar w:fldCharType="begin"/>
    </w:r>
    <w:r>
      <w:instrText xml:space="preserve"> TITLE   \* MERGEFORMAT </w:instrText>
    </w:r>
    <w:r>
      <w:fldChar w:fldCharType="separate"/>
    </w:r>
    <w:r>
      <w:t>MSAPMOPS100A Use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2013</w:t>
    </w:r>
    <w:r>
      <w:fldChar w:fldCharType="end"/>
    </w:r>
  </w:p>
  <w:p w:rsidR="007A0DB9" w:rsidP="00FE0C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FE4A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1C88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C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C91"/>
    <w:pPr>
      <w:spacing w:before="360" w:after="60"/>
      <w:outlineLvl w:val="0"/>
    </w:pPr>
    <w:rPr>
      <w:sz w:val="32"/>
    </w:rPr>
  </w:style>
  <w:style w:type="paragraph" w:styleId="Heading2">
    <w:name w:val="heading 2"/>
    <w:basedOn w:val="HeadingBase"/>
    <w:next w:val="BodyText"/>
    <w:link w:val="Heading2Char"/>
    <w:qFormat/>
    <w:rsid w:val="00FE0C91"/>
    <w:pPr>
      <w:keepLines/>
      <w:spacing w:before="240" w:after="120"/>
      <w:outlineLvl w:val="1"/>
    </w:pPr>
    <w:rPr>
      <w:sz w:val="28"/>
      <w:szCs w:val="40"/>
    </w:rPr>
  </w:style>
  <w:style w:type="paragraph" w:styleId="Heading3">
    <w:name w:val="heading 3"/>
    <w:basedOn w:val="HeadingBase"/>
    <w:next w:val="BodyText"/>
    <w:link w:val="Heading3Char"/>
    <w:qFormat/>
    <w:rsid w:val="00FE0C91"/>
    <w:pPr>
      <w:spacing w:before="180" w:after="120"/>
      <w:outlineLvl w:val="2"/>
    </w:pPr>
    <w:rPr>
      <w:spacing w:val="-10"/>
      <w:kern w:val="32"/>
    </w:rPr>
  </w:style>
  <w:style w:type="paragraph" w:styleId="Heading4">
    <w:name w:val="heading 4"/>
    <w:basedOn w:val="HeadingBase"/>
    <w:next w:val="BodyText"/>
    <w:link w:val="Heading4Char"/>
    <w:qFormat/>
    <w:rsid w:val="00FE0C91"/>
    <w:pPr>
      <w:spacing w:before="160" w:after="120"/>
      <w:outlineLvl w:val="3"/>
    </w:pPr>
    <w:rPr>
      <w:sz w:val="22"/>
    </w:rPr>
  </w:style>
  <w:style w:type="paragraph" w:styleId="Heading5">
    <w:name w:val="heading 5"/>
    <w:basedOn w:val="HeadingBase"/>
    <w:next w:val="Normal"/>
    <w:link w:val="Heading5Char"/>
    <w:qFormat/>
    <w:rsid w:val="00FE0C91"/>
    <w:pPr>
      <w:spacing w:before="80"/>
      <w:outlineLvl w:val="4"/>
    </w:pPr>
    <w:rPr>
      <w:color w:val="918585"/>
      <w:sz w:val="20"/>
    </w:rPr>
  </w:style>
  <w:style w:type="paragraph" w:styleId="Heading6">
    <w:name w:val="heading 6"/>
    <w:basedOn w:val="HeadingBase"/>
    <w:next w:val="Normal"/>
    <w:link w:val="Heading6Char"/>
    <w:qFormat/>
    <w:rsid w:val="00FE0C91"/>
    <w:pPr>
      <w:spacing w:before="60"/>
      <w:outlineLvl w:val="5"/>
    </w:pPr>
    <w:rPr>
      <w:color w:val="918585"/>
      <w:sz w:val="20"/>
    </w:rPr>
  </w:style>
  <w:style w:type="paragraph" w:styleId="Heading7">
    <w:name w:val="heading 7"/>
    <w:basedOn w:val="Normal"/>
    <w:next w:val="Normal"/>
    <w:link w:val="Heading7Char"/>
    <w:qFormat/>
    <w:rsid w:val="00FE0C91"/>
    <w:pPr>
      <w:ind w:left="720"/>
      <w:outlineLvl w:val="6"/>
    </w:pPr>
    <w:rPr>
      <w:i/>
    </w:rPr>
  </w:style>
  <w:style w:type="paragraph" w:styleId="Heading8">
    <w:name w:val="heading 8"/>
    <w:basedOn w:val="Normal"/>
    <w:next w:val="Normal"/>
    <w:link w:val="Heading8Char"/>
    <w:qFormat/>
    <w:rsid w:val="00FE0C91"/>
    <w:pPr>
      <w:ind w:left="720"/>
      <w:outlineLvl w:val="7"/>
    </w:pPr>
    <w:rPr>
      <w:i/>
    </w:rPr>
  </w:style>
  <w:style w:type="paragraph" w:styleId="Heading9">
    <w:name w:val="heading 9"/>
    <w:basedOn w:val="Normal"/>
    <w:next w:val="Normal"/>
    <w:link w:val="Heading9Char"/>
    <w:qFormat/>
    <w:rsid w:val="00FE0C91"/>
    <w:pPr>
      <w:ind w:left="720"/>
      <w:outlineLvl w:val="8"/>
    </w:pPr>
    <w:rPr>
      <w:i/>
    </w:rPr>
  </w:style>
  <w:style w:type="character" w:default="1" w:styleId="DefaultParagraphFont">
    <w:name w:val="Default Paragraph Font"/>
    <w:uiPriority w:val="1"/>
    <w:unhideWhenUsed/>
    <w:rsid w:val="00FE0C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C91"/>
  </w:style>
  <w:style w:type="character" w:customStyle="1" w:styleId="Heading1Char">
    <w:name w:val="Heading 1 Char"/>
    <w:basedOn w:val="DefaultParagraphFont"/>
    <w:link w:val="Heading1"/>
    <w:rsid w:val="00FE0C91"/>
    <w:rPr>
      <w:rFonts w:ascii="Times New Roman" w:eastAsia="Times New Roman" w:hAnsi="Times New Roman" w:cs="Times New Roman"/>
      <w:b/>
      <w:sz w:val="32"/>
      <w:szCs w:val="20"/>
      <w:lang w:eastAsia="en-US"/>
    </w:rPr>
  </w:style>
  <w:style w:type="paragraph" w:styleId="BodyText">
    <w:name w:val="Body Text"/>
    <w:basedOn w:val="Normal"/>
    <w:link w:val="BodyTextChar"/>
    <w:rsid w:val="00FE0C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0C91"/>
    <w:rPr>
      <w:rFonts w:ascii="Times New Roman" w:eastAsia="Times New Roman" w:hAnsi="Times New Roman" w:cs="Times New Roman"/>
      <w:sz w:val="24"/>
      <w:lang w:eastAsia="en-US"/>
    </w:rPr>
  </w:style>
  <w:style w:type="paragraph" w:styleId="List">
    <w:name w:val="List"/>
    <w:basedOn w:val="BodyText"/>
    <w:next w:val="BodyText"/>
    <w:rsid w:val="00FE0C91"/>
    <w:pPr>
      <w:tabs>
        <w:tab w:val="left" w:pos="340"/>
      </w:tabs>
      <w:spacing w:before="60" w:after="60"/>
      <w:ind w:left="340" w:hanging="340"/>
    </w:pPr>
  </w:style>
  <w:style w:type="paragraph" w:styleId="ListBullet">
    <w:name w:val="List Bullet"/>
    <w:basedOn w:val="List"/>
    <w:rsid w:val="00FE0C91"/>
    <w:pPr>
      <w:numPr>
        <w:numId w:val="12"/>
      </w:numPr>
      <w:tabs>
        <w:tab w:val="clear" w:pos="340"/>
      </w:tabs>
      <w:spacing w:before="40" w:after="40"/>
    </w:pPr>
  </w:style>
  <w:style w:type="character" w:customStyle="1" w:styleId="SpecialBold">
    <w:name w:val="Special Bold"/>
    <w:basedOn w:val="DefaultParagraphFont"/>
    <w:rsid w:val="00FE0C91"/>
    <w:rPr>
      <w:b/>
      <w:spacing w:val="0"/>
    </w:rPr>
  </w:style>
  <w:style w:type="paragraph" w:customStyle="1" w:styleId="SuperHeading">
    <w:name w:val="SuperHeading"/>
    <w:basedOn w:val="Normal"/>
    <w:rsid w:val="00FE0C91"/>
    <w:pPr>
      <w:spacing w:before="240" w:after="120"/>
      <w:outlineLvl w:val="0"/>
    </w:pPr>
    <w:rPr>
      <w:rFonts w:ascii="Times New Roman" w:hAnsi="Times New Roman"/>
      <w:b/>
      <w:sz w:val="32"/>
    </w:rPr>
  </w:style>
  <w:style w:type="paragraph" w:customStyle="1" w:styleId="AllowPageBreak">
    <w:name w:val="AllowPageBreak"/>
    <w:rsid w:val="00FE0C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C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C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C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C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C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C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C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C91"/>
    <w:rPr>
      <w:rFonts w:ascii="Courier New" w:eastAsia="Times New Roman" w:hAnsi="Courier New" w:cs="Times New Roman"/>
      <w:i/>
      <w:szCs w:val="20"/>
      <w:lang w:eastAsia="en-US"/>
    </w:rPr>
  </w:style>
  <w:style w:type="paragraph" w:customStyle="1" w:styleId="HeadingBase">
    <w:name w:val="Heading Base"/>
    <w:rsid w:val="00FE0C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C91"/>
    <w:pPr>
      <w:tabs>
        <w:tab w:val="right" w:leader="dot" w:pos="9072"/>
      </w:tabs>
      <w:ind w:left="567"/>
    </w:pPr>
    <w:rPr>
      <w:szCs w:val="22"/>
    </w:rPr>
  </w:style>
  <w:style w:type="paragraph" w:customStyle="1" w:styleId="TOCBase">
    <w:name w:val="TOC Base"/>
    <w:rsid w:val="00FE0C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C91"/>
    <w:pPr>
      <w:tabs>
        <w:tab w:val="right" w:leader="dot" w:pos="9072"/>
      </w:tabs>
      <w:spacing w:before="40" w:after="40"/>
      <w:ind w:left="284"/>
    </w:pPr>
    <w:rPr>
      <w:rFonts w:ascii="Times New Roman" w:hAnsi="Times New Roman"/>
    </w:rPr>
  </w:style>
  <w:style w:type="paragraph" w:styleId="TOC1">
    <w:name w:val="toc 1"/>
    <w:basedOn w:val="TOCBase"/>
    <w:next w:val="Normal"/>
    <w:rsid w:val="00FE0C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C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C91"/>
    <w:rPr>
      <w:rFonts w:ascii="Times New Roman" w:eastAsia="Times New Roman" w:hAnsi="Times New Roman" w:cs="Times New Roman"/>
      <w:sz w:val="16"/>
      <w:lang w:eastAsia="en-US"/>
    </w:rPr>
  </w:style>
  <w:style w:type="paragraph" w:styleId="Title">
    <w:name w:val="Title"/>
    <w:basedOn w:val="HeadingBase"/>
    <w:link w:val="TitleChar"/>
    <w:qFormat/>
    <w:rsid w:val="00FE0C91"/>
    <w:pPr>
      <w:spacing w:before="5040"/>
      <w:jc w:val="center"/>
    </w:pPr>
    <w:rPr>
      <w:sz w:val="48"/>
      <w:szCs w:val="72"/>
      <w:lang w:val="en-US"/>
    </w:rPr>
  </w:style>
  <w:style w:type="character" w:customStyle="1" w:styleId="TitleChar">
    <w:name w:val="Title Char"/>
    <w:basedOn w:val="DefaultParagraphFont"/>
    <w:link w:val="Title"/>
    <w:rsid w:val="00FE0C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C91"/>
    <w:pPr>
      <w:tabs>
        <w:tab w:val="left" w:pos="3600"/>
        <w:tab w:val="left" w:pos="3958"/>
      </w:tabs>
    </w:pPr>
  </w:style>
  <w:style w:type="paragraph" w:customStyle="1" w:styleId="Note">
    <w:name w:val="Note"/>
    <w:basedOn w:val="BodyText"/>
    <w:rsid w:val="00FE0C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C91"/>
    <w:pPr>
      <w:framePr w:wrap="auto" w:hAnchor="text" w:y="6049"/>
    </w:pPr>
    <w:rPr>
      <w:color w:val="000000"/>
      <w:sz w:val="40"/>
    </w:rPr>
  </w:style>
  <w:style w:type="paragraph" w:customStyle="1" w:styleId="TOCTitle">
    <w:name w:val="TOCTitle"/>
    <w:basedOn w:val="Heading1"/>
    <w:rsid w:val="00FE0C91"/>
    <w:pPr>
      <w:spacing w:after="240"/>
      <w:jc w:val="center"/>
      <w:outlineLvl w:val="9"/>
    </w:pPr>
    <w:rPr>
      <w:caps/>
    </w:rPr>
  </w:style>
  <w:style w:type="paragraph" w:customStyle="1" w:styleId="Version">
    <w:name w:val="Version"/>
    <w:rsid w:val="00FE0C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0C91"/>
    <w:pPr>
      <w:numPr>
        <w:numId w:val="13"/>
      </w:numPr>
      <w:tabs>
        <w:tab w:val="clear" w:pos="680"/>
      </w:tabs>
    </w:pPr>
  </w:style>
  <w:style w:type="paragraph" w:styleId="Index1">
    <w:name w:val="index 1"/>
    <w:basedOn w:val="Normal"/>
    <w:next w:val="Normal"/>
    <w:semiHidden/>
    <w:rsid w:val="00FE0C91"/>
    <w:pPr>
      <w:keepNext w:val="0"/>
      <w:tabs>
        <w:tab w:val="right" w:pos="4176"/>
      </w:tabs>
      <w:ind w:left="198" w:hanging="198"/>
    </w:pPr>
    <w:rPr>
      <w:rFonts w:ascii="Garamond" w:hAnsi="Garamond"/>
    </w:rPr>
  </w:style>
  <w:style w:type="paragraph" w:styleId="IndexHeading">
    <w:name w:val="index heading"/>
    <w:basedOn w:val="Normal"/>
    <w:next w:val="Index1"/>
    <w:semiHidden/>
    <w:rsid w:val="00FE0C91"/>
    <w:pPr>
      <w:spacing w:before="120" w:after="120"/>
    </w:pPr>
    <w:rPr>
      <w:rFonts w:ascii="Arial" w:hAnsi="Arial"/>
      <w:b/>
      <w:color w:val="918585"/>
      <w:sz w:val="24"/>
    </w:rPr>
  </w:style>
  <w:style w:type="paragraph" w:styleId="Header">
    <w:name w:val="header"/>
    <w:basedOn w:val="Normal"/>
    <w:link w:val="HeaderChar"/>
    <w:rsid w:val="00FE0C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C91"/>
    <w:rPr>
      <w:rFonts w:ascii="Times New Roman" w:eastAsia="Times New Roman" w:hAnsi="Times New Roman" w:cs="Times New Roman"/>
      <w:sz w:val="16"/>
      <w:szCs w:val="20"/>
      <w:lang w:val="en-GB" w:eastAsia="en-US"/>
    </w:rPr>
  </w:style>
  <w:style w:type="paragraph" w:customStyle="1" w:styleId="Chapter">
    <w:name w:val="Chapter"/>
    <w:basedOn w:val="Normal"/>
    <w:rsid w:val="00FE0C91"/>
    <w:pPr>
      <w:spacing w:before="240"/>
    </w:pPr>
    <w:rPr>
      <w:rFonts w:ascii="Times New Roman" w:hAnsi="Times New Roman"/>
      <w:smallCaps/>
      <w:spacing w:val="80"/>
      <w:sz w:val="28"/>
    </w:rPr>
  </w:style>
  <w:style w:type="paragraph" w:customStyle="1" w:styleId="InChapter">
    <w:name w:val="InChapter"/>
    <w:basedOn w:val="Heading3"/>
    <w:rsid w:val="00FE0C91"/>
    <w:pPr>
      <w:spacing w:after="240"/>
      <w:outlineLvl w:val="9"/>
    </w:pPr>
    <w:rPr>
      <w:noProof/>
    </w:rPr>
  </w:style>
  <w:style w:type="paragraph" w:styleId="Index2">
    <w:name w:val="index 2"/>
    <w:basedOn w:val="Normal"/>
    <w:next w:val="Normal"/>
    <w:semiHidden/>
    <w:rsid w:val="00FE0C91"/>
    <w:pPr>
      <w:tabs>
        <w:tab w:val="right" w:pos="4176"/>
      </w:tabs>
      <w:ind w:left="568" w:hanging="284"/>
    </w:pPr>
    <w:rPr>
      <w:rFonts w:ascii="Garamond" w:hAnsi="Garamond"/>
    </w:rPr>
  </w:style>
  <w:style w:type="paragraph" w:customStyle="1" w:styleId="Byline">
    <w:name w:val="Byline"/>
    <w:rsid w:val="00FE0C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C91"/>
    <w:pPr>
      <w:tabs>
        <w:tab w:val="clear" w:pos="3600"/>
        <w:tab w:val="clear" w:pos="3958"/>
      </w:tabs>
      <w:jc w:val="right"/>
    </w:pPr>
  </w:style>
  <w:style w:type="character" w:styleId="Emphasis">
    <w:name w:val="Emphasis"/>
    <w:basedOn w:val="DefaultParagraphFont"/>
    <w:qFormat/>
    <w:rsid w:val="00FE0C91"/>
    <w:rPr>
      <w:i/>
    </w:rPr>
  </w:style>
  <w:style w:type="paragraph" w:styleId="Caption">
    <w:name w:val="caption"/>
    <w:basedOn w:val="BodyText"/>
    <w:next w:val="Normal"/>
    <w:qFormat/>
    <w:rsid w:val="00FE0C91"/>
    <w:pPr>
      <w:framePr w:w="2268" w:hSpace="181" w:vSpace="181" w:wrap="around" w:vAnchor="text" w:hAnchor="page" w:x="1135" w:y="285" w:anchorLock="1"/>
    </w:pPr>
    <w:rPr>
      <w:i/>
    </w:rPr>
  </w:style>
  <w:style w:type="paragraph" w:customStyle="1" w:styleId="MiniTOCTitle">
    <w:name w:val="MiniTOCTitle"/>
    <w:basedOn w:val="Heading4"/>
    <w:rsid w:val="00FE0C91"/>
    <w:pPr>
      <w:spacing w:before="240"/>
      <w:outlineLvl w:val="9"/>
    </w:pPr>
    <w:rPr>
      <w:noProof/>
      <w:sz w:val="24"/>
    </w:rPr>
  </w:style>
  <w:style w:type="paragraph" w:customStyle="1" w:styleId="MiniTOCItem">
    <w:name w:val="MiniTOCItem"/>
    <w:basedOn w:val="ListBullet"/>
    <w:rsid w:val="00FE0C91"/>
    <w:pPr>
      <w:numPr>
        <w:numId w:val="0"/>
      </w:numPr>
      <w:tabs>
        <w:tab w:val="right" w:leader="dot" w:pos="6521"/>
      </w:tabs>
      <w:spacing w:before="0" w:after="0"/>
    </w:pPr>
  </w:style>
  <w:style w:type="paragraph" w:customStyle="1" w:styleId="TOFTitle">
    <w:name w:val="TOFTitle"/>
    <w:basedOn w:val="TOCTitle"/>
    <w:rsid w:val="00FE0C91"/>
  </w:style>
  <w:style w:type="paragraph" w:styleId="TableofFigures">
    <w:name w:val="table of figures"/>
    <w:basedOn w:val="Normal"/>
    <w:next w:val="Normal"/>
    <w:semiHidden/>
    <w:rsid w:val="00FE0C91"/>
    <w:pPr>
      <w:tabs>
        <w:tab w:val="right" w:leader="dot" w:pos="9072"/>
      </w:tabs>
      <w:ind w:left="970" w:hanging="403"/>
    </w:pPr>
    <w:rPr>
      <w:rFonts w:ascii="Times New Roman" w:hAnsi="Times New Roman"/>
      <w:b/>
    </w:rPr>
  </w:style>
  <w:style w:type="paragraph" w:styleId="ListNumber">
    <w:name w:val="List Number"/>
    <w:basedOn w:val="List"/>
    <w:rsid w:val="00FE0C91"/>
    <w:pPr>
      <w:numPr>
        <w:numId w:val="10"/>
      </w:numPr>
    </w:pPr>
  </w:style>
  <w:style w:type="character" w:customStyle="1" w:styleId="WingdingSymbols">
    <w:name w:val="Wingding Symbols"/>
    <w:rsid w:val="00FE0C91"/>
    <w:rPr>
      <w:rFonts w:ascii="Wingdings" w:hAnsi="Wingdings"/>
    </w:rPr>
  </w:style>
  <w:style w:type="paragraph" w:customStyle="1" w:styleId="TableHeading">
    <w:name w:val="Table Heading"/>
    <w:basedOn w:val="HeadingBase"/>
    <w:rsid w:val="00FE0C91"/>
    <w:pPr>
      <w:keepLines/>
      <w:pBdr>
        <w:bottom w:val="single" w:sz="6" w:space="1" w:color="918585"/>
      </w:pBdr>
      <w:spacing w:before="240"/>
    </w:pPr>
  </w:style>
  <w:style w:type="character" w:customStyle="1" w:styleId="HotSpot">
    <w:name w:val="HotSpot"/>
    <w:rsid w:val="00FE0C91"/>
    <w:rPr>
      <w:color w:val="0033CC"/>
      <w:u w:val="none"/>
    </w:rPr>
  </w:style>
  <w:style w:type="paragraph" w:customStyle="1" w:styleId="BodyTextRight">
    <w:name w:val="Body Text Right"/>
    <w:basedOn w:val="BodyText"/>
    <w:rsid w:val="00FE0C91"/>
    <w:pPr>
      <w:spacing w:before="0" w:after="0"/>
      <w:jc w:val="right"/>
    </w:pPr>
  </w:style>
  <w:style w:type="paragraph" w:styleId="Index3">
    <w:name w:val="index 3"/>
    <w:basedOn w:val="ListNumber2"/>
    <w:next w:val="Normal"/>
    <w:semiHidden/>
    <w:rsid w:val="00FE0C91"/>
    <w:pPr>
      <w:numPr>
        <w:numId w:val="0"/>
      </w:numPr>
      <w:tabs>
        <w:tab w:val="right" w:leader="dot" w:pos="4176"/>
      </w:tabs>
    </w:pPr>
  </w:style>
  <w:style w:type="paragraph" w:styleId="ListNumber2">
    <w:name w:val="List Number 2"/>
    <w:basedOn w:val="List2"/>
    <w:rsid w:val="00FE0C91"/>
    <w:pPr>
      <w:numPr>
        <w:numId w:val="9"/>
      </w:numPr>
      <w:tabs>
        <w:tab w:val="clear" w:pos="1060"/>
      </w:tabs>
    </w:pPr>
  </w:style>
  <w:style w:type="paragraph" w:customStyle="1" w:styleId="MarginNote">
    <w:name w:val="Margin Note"/>
    <w:basedOn w:val="BodyText"/>
    <w:rsid w:val="00FE0C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C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C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C91"/>
    <w:rPr>
      <w:sz w:val="32"/>
    </w:rPr>
  </w:style>
  <w:style w:type="paragraph" w:customStyle="1" w:styleId="HeadingProcedure">
    <w:name w:val="Heading Procedure"/>
    <w:basedOn w:val="HeadingBase"/>
    <w:next w:val="Normal"/>
    <w:rsid w:val="00FE0C91"/>
    <w:pPr>
      <w:tabs>
        <w:tab w:val="left" w:pos="0"/>
      </w:tabs>
      <w:spacing w:before="120" w:after="60"/>
    </w:pPr>
    <w:rPr>
      <w:i/>
      <w:color w:val="918585"/>
      <w:sz w:val="22"/>
    </w:rPr>
  </w:style>
  <w:style w:type="paragraph" w:customStyle="1" w:styleId="TableBodyText">
    <w:name w:val="Table Body Text"/>
    <w:basedOn w:val="BodyText"/>
    <w:rsid w:val="00FE0C91"/>
    <w:pPr>
      <w:spacing w:before="60" w:after="60"/>
    </w:pPr>
  </w:style>
  <w:style w:type="paragraph" w:styleId="ListContinue">
    <w:name w:val="List Continue"/>
    <w:basedOn w:val="List"/>
    <w:rsid w:val="00FE0C91"/>
    <w:pPr>
      <w:ind w:firstLine="0"/>
    </w:pPr>
  </w:style>
  <w:style w:type="paragraph" w:customStyle="1" w:styleId="ListNote">
    <w:name w:val="List Note"/>
    <w:basedOn w:val="List"/>
    <w:rsid w:val="00FE0C91"/>
    <w:pPr>
      <w:pBdr>
        <w:top w:val="single" w:sz="6" w:space="2" w:color="918585"/>
        <w:bottom w:val="single" w:sz="6" w:space="2" w:color="918585"/>
      </w:pBdr>
      <w:tabs>
        <w:tab w:val="left" w:pos="1021"/>
      </w:tabs>
      <w:ind w:firstLine="0"/>
    </w:pPr>
  </w:style>
  <w:style w:type="paragraph" w:customStyle="1" w:styleId="Warning">
    <w:name w:val="Warning"/>
    <w:basedOn w:val="BodyText"/>
    <w:rsid w:val="00FE0C91"/>
    <w:pPr>
      <w:shd w:val="clear" w:color="auto" w:fill="D9D9D9"/>
      <w:tabs>
        <w:tab w:val="left" w:pos="992"/>
      </w:tabs>
      <w:ind w:left="119" w:right="119"/>
    </w:pPr>
    <w:rPr>
      <w:sz w:val="20"/>
    </w:rPr>
  </w:style>
  <w:style w:type="paragraph" w:customStyle="1" w:styleId="MarginIcons">
    <w:name w:val="Margin Icons"/>
    <w:basedOn w:val="BodyText"/>
    <w:rsid w:val="00FE0C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C91"/>
    <w:rPr>
      <w:rFonts w:ascii="Courier New" w:hAnsi="Courier New"/>
    </w:rPr>
  </w:style>
  <w:style w:type="paragraph" w:customStyle="1" w:styleId="NoteBullet">
    <w:name w:val="Note Bullet"/>
    <w:basedOn w:val="Note"/>
    <w:rsid w:val="00FE0C91"/>
    <w:pPr>
      <w:tabs>
        <w:tab w:val="clear" w:pos="680"/>
      </w:tabs>
      <w:spacing w:before="60" w:after="60"/>
    </w:pPr>
  </w:style>
  <w:style w:type="paragraph" w:customStyle="1" w:styleId="SubHeading2">
    <w:name w:val="SubHeading2"/>
    <w:basedOn w:val="HeadingBase"/>
    <w:rsid w:val="00FE0C91"/>
    <w:pPr>
      <w:spacing w:before="240" w:after="60"/>
    </w:pPr>
    <w:rPr>
      <w:sz w:val="20"/>
    </w:rPr>
  </w:style>
  <w:style w:type="paragraph" w:customStyle="1" w:styleId="SubHeading1">
    <w:name w:val="SubHeading1"/>
    <w:basedOn w:val="HeadingBase"/>
    <w:rsid w:val="00FE0C91"/>
    <w:pPr>
      <w:spacing w:before="240" w:after="60"/>
    </w:pPr>
    <w:rPr>
      <w:color w:val="918585"/>
      <w:sz w:val="22"/>
    </w:rPr>
  </w:style>
  <w:style w:type="paragraph" w:customStyle="1" w:styleId="SideHeading">
    <w:name w:val="Side Heading"/>
    <w:basedOn w:val="HeadingBase"/>
    <w:rsid w:val="00FE0C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C91"/>
    <w:pPr>
      <w:tabs>
        <w:tab w:val="num" w:pos="360"/>
      </w:tabs>
    </w:pPr>
  </w:style>
  <w:style w:type="paragraph" w:styleId="PlainText">
    <w:name w:val="Plain Text"/>
    <w:basedOn w:val="Normal"/>
    <w:link w:val="PlainTextChar"/>
    <w:rsid w:val="00FE0C91"/>
    <w:rPr>
      <w:sz w:val="20"/>
    </w:rPr>
  </w:style>
  <w:style w:type="character" w:customStyle="1" w:styleId="PlainTextChar">
    <w:name w:val="Plain Text Char"/>
    <w:basedOn w:val="DefaultParagraphFont"/>
    <w:link w:val="PlainText"/>
    <w:rsid w:val="00FE0C91"/>
    <w:rPr>
      <w:rFonts w:ascii="Courier New" w:eastAsia="Times New Roman" w:hAnsi="Courier New" w:cs="Times New Roman"/>
      <w:sz w:val="20"/>
      <w:szCs w:val="20"/>
      <w:lang w:eastAsia="en-US"/>
    </w:rPr>
  </w:style>
  <w:style w:type="character" w:customStyle="1" w:styleId="MenuOption">
    <w:name w:val="Menu Option"/>
    <w:basedOn w:val="DefaultParagraphFont"/>
    <w:rsid w:val="00FE0C91"/>
    <w:rPr>
      <w:b/>
      <w:smallCaps/>
    </w:rPr>
  </w:style>
  <w:style w:type="paragraph" w:customStyle="1" w:styleId="TableListNumber">
    <w:name w:val="Table List Number"/>
    <w:basedOn w:val="ListNumber"/>
    <w:rsid w:val="00FE0C91"/>
    <w:pPr>
      <w:numPr>
        <w:numId w:val="0"/>
      </w:numPr>
    </w:pPr>
  </w:style>
  <w:style w:type="paragraph" w:styleId="TOC4">
    <w:name w:val="toc 4"/>
    <w:basedOn w:val="TOCBase"/>
    <w:next w:val="Normal"/>
    <w:semiHidden/>
    <w:rsid w:val="00FE0C91"/>
    <w:pPr>
      <w:tabs>
        <w:tab w:val="right" w:leader="dot" w:pos="9071"/>
      </w:tabs>
      <w:ind w:left="1701"/>
    </w:pPr>
  </w:style>
  <w:style w:type="paragraph" w:customStyle="1" w:styleId="ListAlpha">
    <w:name w:val="List Alpha"/>
    <w:basedOn w:val="List"/>
    <w:rsid w:val="00FE0C91"/>
    <w:pPr>
      <w:numPr>
        <w:numId w:val="8"/>
      </w:numPr>
    </w:pPr>
  </w:style>
  <w:style w:type="paragraph" w:customStyle="1" w:styleId="ListAlpha2">
    <w:name w:val="List Alpha 2"/>
    <w:basedOn w:val="List2"/>
    <w:rsid w:val="00FE0C91"/>
    <w:pPr>
      <w:numPr>
        <w:numId w:val="7"/>
      </w:numPr>
    </w:pPr>
  </w:style>
  <w:style w:type="paragraph" w:styleId="List2">
    <w:name w:val="List 2"/>
    <w:basedOn w:val="BodyText"/>
    <w:rsid w:val="00FE0C91"/>
    <w:pPr>
      <w:tabs>
        <w:tab w:val="left" w:pos="680"/>
      </w:tabs>
      <w:spacing w:before="60" w:after="60"/>
      <w:ind w:left="680" w:hanging="340"/>
    </w:pPr>
  </w:style>
  <w:style w:type="paragraph" w:styleId="List3">
    <w:name w:val="List 3"/>
    <w:basedOn w:val="BodyText"/>
    <w:rsid w:val="00FE0C91"/>
    <w:pPr>
      <w:tabs>
        <w:tab w:val="left" w:pos="1021"/>
      </w:tabs>
      <w:spacing w:before="60" w:after="60"/>
      <w:ind w:left="1020" w:hanging="340"/>
    </w:pPr>
  </w:style>
  <w:style w:type="paragraph" w:styleId="List4">
    <w:name w:val="List 4"/>
    <w:basedOn w:val="BodyText"/>
    <w:rsid w:val="00FE0C91"/>
    <w:pPr>
      <w:tabs>
        <w:tab w:val="left" w:pos="1361"/>
      </w:tabs>
      <w:spacing w:before="60" w:after="60"/>
      <w:ind w:left="1361" w:hanging="340"/>
    </w:pPr>
  </w:style>
  <w:style w:type="paragraph" w:styleId="List5">
    <w:name w:val="List 5"/>
    <w:basedOn w:val="BodyText"/>
    <w:rsid w:val="00FE0C91"/>
    <w:pPr>
      <w:tabs>
        <w:tab w:val="left" w:pos="1701"/>
      </w:tabs>
      <w:spacing w:before="60" w:after="60"/>
      <w:ind w:left="1701" w:hanging="340"/>
    </w:pPr>
  </w:style>
  <w:style w:type="paragraph" w:styleId="ListBullet3">
    <w:name w:val="List Bullet 3"/>
    <w:basedOn w:val="List3"/>
    <w:rsid w:val="00FE0C91"/>
    <w:pPr>
      <w:numPr>
        <w:numId w:val="14"/>
      </w:numPr>
      <w:tabs>
        <w:tab w:val="clear" w:pos="1021"/>
      </w:tabs>
      <w:ind w:left="1037" w:hanging="357"/>
    </w:pPr>
  </w:style>
  <w:style w:type="paragraph" w:styleId="ListBullet4">
    <w:name w:val="List Bullet 4"/>
    <w:basedOn w:val="List4"/>
    <w:rsid w:val="00FE0C91"/>
    <w:pPr>
      <w:numPr>
        <w:numId w:val="2"/>
      </w:numPr>
    </w:pPr>
  </w:style>
  <w:style w:type="paragraph" w:styleId="ListBullet5">
    <w:name w:val="List Bullet 5"/>
    <w:basedOn w:val="List5"/>
    <w:rsid w:val="00FE0C91"/>
    <w:pPr>
      <w:numPr>
        <w:numId w:val="3"/>
      </w:numPr>
    </w:pPr>
  </w:style>
  <w:style w:type="paragraph" w:styleId="ListContinue2">
    <w:name w:val="List Continue 2"/>
    <w:basedOn w:val="List2"/>
    <w:rsid w:val="00FE0C91"/>
    <w:pPr>
      <w:ind w:firstLine="0"/>
    </w:pPr>
  </w:style>
  <w:style w:type="paragraph" w:styleId="ListContinue3">
    <w:name w:val="List Continue 3"/>
    <w:basedOn w:val="List3"/>
    <w:rsid w:val="00FE0C91"/>
    <w:pPr>
      <w:ind w:left="1021" w:firstLine="0"/>
    </w:pPr>
  </w:style>
  <w:style w:type="paragraph" w:styleId="ListContinue4">
    <w:name w:val="List Continue 4"/>
    <w:basedOn w:val="List4"/>
    <w:rsid w:val="00FE0C91"/>
    <w:pPr>
      <w:ind w:firstLine="0"/>
    </w:pPr>
  </w:style>
  <w:style w:type="paragraph" w:styleId="ListContinue5">
    <w:name w:val="List Continue 5"/>
    <w:basedOn w:val="List5"/>
    <w:rsid w:val="00FE0C91"/>
    <w:pPr>
      <w:ind w:firstLine="0"/>
    </w:pPr>
  </w:style>
  <w:style w:type="paragraph" w:styleId="ListNumber3">
    <w:name w:val="List Number 3"/>
    <w:basedOn w:val="List3"/>
    <w:rsid w:val="00FE0C91"/>
    <w:pPr>
      <w:numPr>
        <w:numId w:val="4"/>
      </w:numPr>
    </w:pPr>
  </w:style>
  <w:style w:type="paragraph" w:styleId="ListNumber4">
    <w:name w:val="List Number 4"/>
    <w:basedOn w:val="List4"/>
    <w:rsid w:val="00FE0C91"/>
    <w:pPr>
      <w:numPr>
        <w:numId w:val="5"/>
      </w:numPr>
    </w:pPr>
  </w:style>
  <w:style w:type="paragraph" w:styleId="ListNumber5">
    <w:name w:val="List Number 5"/>
    <w:basedOn w:val="List5"/>
    <w:rsid w:val="00FE0C91"/>
    <w:pPr>
      <w:numPr>
        <w:numId w:val="6"/>
      </w:numPr>
    </w:pPr>
  </w:style>
  <w:style w:type="paragraph" w:styleId="BlockText">
    <w:name w:val="Block Text"/>
    <w:basedOn w:val="Normal"/>
    <w:rsid w:val="00FE0C91"/>
    <w:pPr>
      <w:spacing w:after="120"/>
      <w:ind w:left="1440" w:right="1440"/>
    </w:pPr>
  </w:style>
  <w:style w:type="character" w:customStyle="1" w:styleId="Subscript">
    <w:name w:val="Subscript"/>
    <w:basedOn w:val="DefaultParagraphFont"/>
    <w:rsid w:val="00FE0C91"/>
    <w:rPr>
      <w:sz w:val="16"/>
      <w:vertAlign w:val="subscript"/>
    </w:rPr>
  </w:style>
  <w:style w:type="character" w:customStyle="1" w:styleId="Superscript">
    <w:name w:val="Superscript"/>
    <w:basedOn w:val="DefaultParagraphFont"/>
    <w:rsid w:val="00FE0C91"/>
    <w:rPr>
      <w:sz w:val="16"/>
      <w:vertAlign w:val="superscript"/>
    </w:rPr>
  </w:style>
  <w:style w:type="character" w:customStyle="1" w:styleId="Symbols">
    <w:name w:val="Symbols"/>
    <w:basedOn w:val="DefaultParagraphFont"/>
    <w:rsid w:val="00FE0C91"/>
    <w:rPr>
      <w:rFonts w:ascii="Symbol" w:hAnsi="Symbol"/>
    </w:rPr>
  </w:style>
  <w:style w:type="character" w:customStyle="1" w:styleId="MenuOptions">
    <w:name w:val="Menu Options"/>
    <w:basedOn w:val="DefaultParagraphFont"/>
    <w:rsid w:val="00FE0C91"/>
    <w:rPr>
      <w:rFonts w:ascii="Arial Narrow" w:hAnsi="Arial Narrow"/>
      <w:smallCaps/>
    </w:rPr>
  </w:style>
  <w:style w:type="character" w:customStyle="1" w:styleId="Buttons">
    <w:name w:val="Buttons"/>
    <w:basedOn w:val="DefaultParagraphFont"/>
    <w:rsid w:val="00FE0C91"/>
    <w:rPr>
      <w:b/>
    </w:rPr>
  </w:style>
  <w:style w:type="character" w:customStyle="1" w:styleId="Underlined">
    <w:name w:val="Underlined"/>
    <w:basedOn w:val="DefaultParagraphFont"/>
    <w:rsid w:val="00FE0C91"/>
    <w:rPr>
      <w:u w:val="single"/>
    </w:rPr>
  </w:style>
  <w:style w:type="paragraph" w:customStyle="1" w:styleId="TableBodyTextRight">
    <w:name w:val="Table Body Text Right"/>
    <w:basedOn w:val="TableBodyText"/>
    <w:rsid w:val="00FE0C91"/>
    <w:pPr>
      <w:widowControl w:val="0"/>
      <w:autoSpaceDE w:val="0"/>
      <w:autoSpaceDN w:val="0"/>
      <w:adjustRightInd w:val="0"/>
      <w:jc w:val="right"/>
    </w:pPr>
    <w:rPr>
      <w:rFonts w:cs="Arial"/>
      <w:szCs w:val="18"/>
    </w:rPr>
  </w:style>
  <w:style w:type="paragraph" w:customStyle="1" w:styleId="CopyrightText">
    <w:name w:val="Copyright Text"/>
    <w:basedOn w:val="BodyText"/>
    <w:rsid w:val="00FE0C91"/>
    <w:rPr>
      <w:sz w:val="18"/>
    </w:rPr>
  </w:style>
  <w:style w:type="paragraph" w:customStyle="1" w:styleId="BodySmallRight">
    <w:name w:val="Body Small Right"/>
    <w:basedOn w:val="BodyTextRight"/>
    <w:rsid w:val="00FE0C91"/>
    <w:rPr>
      <w:sz w:val="18"/>
      <w:szCs w:val="18"/>
    </w:rPr>
  </w:style>
  <w:style w:type="paragraph" w:customStyle="1" w:styleId="MarginEdition">
    <w:name w:val="Margin Edition"/>
    <w:basedOn w:val="MarginNote"/>
    <w:rsid w:val="00FE0C91"/>
    <w:pPr>
      <w:spacing w:before="0" w:after="0"/>
    </w:pPr>
    <w:rPr>
      <w:rFonts w:ascii="Times New Roman" w:hAnsi="Times New Roman"/>
      <w:color w:val="999999"/>
    </w:rPr>
  </w:style>
  <w:style w:type="paragraph" w:customStyle="1" w:styleId="Spacer">
    <w:name w:val="Spacer"/>
    <w:basedOn w:val="Normal"/>
    <w:rsid w:val="00FE0C91"/>
    <w:rPr>
      <w:sz w:val="2"/>
      <w:szCs w:val="2"/>
    </w:rPr>
  </w:style>
  <w:style w:type="character" w:customStyle="1" w:styleId="Small">
    <w:name w:val="Small"/>
    <w:basedOn w:val="DefaultParagraphFont"/>
    <w:rsid w:val="00FE0C91"/>
    <w:rPr>
      <w:sz w:val="16"/>
    </w:rPr>
  </w:style>
  <w:style w:type="paragraph" w:customStyle="1" w:styleId="WideTable">
    <w:name w:val="Wide Table"/>
    <w:basedOn w:val="Normal"/>
    <w:rsid w:val="00FE0C91"/>
    <w:pPr>
      <w:ind w:left="-1418"/>
    </w:pPr>
    <w:rPr>
      <w:sz w:val="2"/>
      <w:szCs w:val="2"/>
    </w:rPr>
  </w:style>
  <w:style w:type="character" w:styleId="PageNumber">
    <w:name w:val="page number"/>
    <w:basedOn w:val="DefaultParagraphFont"/>
    <w:rsid w:val="00FE0C91"/>
  </w:style>
  <w:style w:type="paragraph" w:styleId="Quote">
    <w:name w:val="Quote"/>
    <w:basedOn w:val="Heading1"/>
    <w:link w:val="QuoteChar"/>
    <w:qFormat/>
    <w:rsid w:val="00FE0C91"/>
    <w:rPr>
      <w:b w:val="0"/>
      <w:sz w:val="72"/>
      <w:szCs w:val="72"/>
      <w:lang w:val="en-NZ"/>
    </w:rPr>
  </w:style>
  <w:style w:type="character" w:customStyle="1" w:styleId="QuoteChar">
    <w:name w:val="Quote Char"/>
    <w:basedOn w:val="DefaultParagraphFont"/>
    <w:link w:val="Quote"/>
    <w:rsid w:val="00FE0C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C91"/>
    <w:pPr>
      <w:pageBreakBefore/>
    </w:pPr>
  </w:style>
  <w:style w:type="paragraph" w:customStyle="1" w:styleId="Border">
    <w:name w:val="Border"/>
    <w:basedOn w:val="Normal"/>
    <w:qFormat/>
    <w:rsid w:val="00FE0C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C91"/>
    <w:rPr>
      <w:b/>
      <w:bCs/>
      <w:i/>
      <w:iCs/>
      <w:color w:val="auto"/>
    </w:rPr>
  </w:style>
  <w:style w:type="paragraph" w:styleId="IntenseQuote">
    <w:name w:val="Intense Quote"/>
    <w:basedOn w:val="Normal"/>
    <w:next w:val="Normal"/>
    <w:link w:val="IntenseQuoteChar"/>
    <w:uiPriority w:val="30"/>
    <w:qFormat/>
    <w:rsid w:val="00FE0C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C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C91"/>
    <w:rPr>
      <w:smallCaps/>
      <w:color w:val="auto"/>
      <w:u w:val="single"/>
    </w:rPr>
  </w:style>
  <w:style w:type="character" w:styleId="IntenseReference">
    <w:name w:val="Intense Reference"/>
    <w:basedOn w:val="DefaultParagraphFont"/>
    <w:uiPriority w:val="32"/>
    <w:qFormat/>
    <w:rsid w:val="00FE0C91"/>
    <w:rPr>
      <w:b/>
      <w:bCs/>
      <w:smallCaps/>
      <w:color w:val="auto"/>
      <w:spacing w:val="5"/>
      <w:u w:val="single"/>
    </w:rPr>
  </w:style>
  <w:style w:type="paragraph" w:customStyle="1" w:styleId="2ColumnHeading">
    <w:name w:val="2Column Heading"/>
    <w:basedOn w:val="BodyText"/>
    <w:qFormat/>
    <w:rsid w:val="00FE0C91"/>
    <w:pPr>
      <w:spacing w:after="60"/>
      <w:ind w:left="-2268"/>
    </w:pPr>
    <w:rPr>
      <w:b/>
    </w:rPr>
  </w:style>
  <w:style w:type="paragraph" w:customStyle="1" w:styleId="Heading1TOC">
    <w:name w:val="Heading1 TOC"/>
    <w:basedOn w:val="Normal"/>
    <w:qFormat/>
    <w:rsid w:val="00FE0C91"/>
    <w:pPr>
      <w:spacing w:before="240" w:after="120"/>
    </w:pPr>
    <w:rPr>
      <w:rFonts w:ascii="Times New Roman" w:hAnsi="Times New Roman"/>
      <w:b/>
      <w:sz w:val="32"/>
    </w:rPr>
  </w:style>
  <w:style w:type="paragraph" w:customStyle="1" w:styleId="Heading2TOC">
    <w:name w:val="Heading2 TOC"/>
    <w:basedOn w:val="Normal"/>
    <w:qFormat/>
    <w:rsid w:val="00FE0C91"/>
    <w:pPr>
      <w:spacing w:before="240" w:after="60"/>
    </w:pPr>
    <w:rPr>
      <w:rFonts w:ascii="Times New Roman" w:hAnsi="Times New Roman"/>
      <w:b/>
      <w:sz w:val="28"/>
    </w:rPr>
  </w:style>
  <w:style w:type="character" w:customStyle="1" w:styleId="Underline">
    <w:name w:val="Underline"/>
    <w:basedOn w:val="DefaultParagraphFont"/>
    <w:qFormat/>
    <w:rsid w:val="00FE0C91"/>
    <w:rPr>
      <w:u w:val="single"/>
    </w:rPr>
  </w:style>
  <w:style w:type="character" w:customStyle="1" w:styleId="BoldandItalics">
    <w:name w:val="Bold and Italics"/>
    <w:qFormat/>
    <w:rsid w:val="00FE0C91"/>
    <w:rPr>
      <w:b/>
      <w:i/>
      <w:u w:val="none"/>
    </w:rPr>
  </w:style>
  <w:style w:type="paragraph" w:styleId="BalloonText">
    <w:name w:val="Balloon Text"/>
    <w:basedOn w:val="Normal"/>
    <w:link w:val="BalloonTextChar"/>
    <w:rsid w:val="00FE0C91"/>
    <w:rPr>
      <w:rFonts w:ascii="Tahoma" w:hAnsi="Tahoma" w:cs="Tahoma"/>
      <w:sz w:val="16"/>
      <w:szCs w:val="16"/>
    </w:rPr>
  </w:style>
  <w:style w:type="character" w:customStyle="1" w:styleId="BalloonTextChar">
    <w:name w:val="Balloon Text Char"/>
    <w:basedOn w:val="DefaultParagraphFont"/>
    <w:link w:val="BalloonText"/>
    <w:rsid w:val="00FE0C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C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0C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C91"/>
    <w:rPr>
      <w:b/>
      <w:color w:val="660033"/>
      <w:spacing w:val="0"/>
    </w:rPr>
  </w:style>
  <w:style w:type="paragraph" w:customStyle="1" w:styleId="Nameditemlist">
    <w:name w:val="Named item list"/>
    <w:basedOn w:val="BodyText"/>
    <w:qFormat/>
    <w:rsid w:val="00FE0C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1197</Words>
  <Characters>7052</Characters>
  <Application>Microsoft Office Word</Application>
  <DocSecurity>0</DocSecurity>
  <Lines>211</Lines>
  <Paragraphs>110</Paragraphs>
  <ScaleCrop>false</ScaleCrop>
  <Company>Author-it Software Corporation Ltd.</Company>
  <LinksUpToDate>false</LinksUpToDate>
  <CharactersWithSpaces>8178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MSAPMOPS100A Use equipment</dc:title>
  <dc:subject>Approved</dc:subject>
  <dc:creator>Manufacturing Skills Australia</dc:creator>
  <cp:keywords>Release 2</cp:keywords>
  <dc:description>Review Date: 12 April 2008</dc:description>
  <cp:lastModifiedBy>TPCMS</cp:lastModifiedBy>
  <cp:revision>3</cp:revision>
  <dcterms:created xsi:type="dcterms:W3CDTF">2013-04-03T20:53:00Z</dcterms:created>
  <dcterms:modified xsi:type="dcterms:W3CDTF">2013-04-03T20:53:00Z</dcterms:modified>
</cp:coreProperties>
</file>