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5781" w:rsidP="00EA5781">
      <w:pPr>
        <w:pStyle w:val="Title"/>
      </w:pPr>
      <w:r>
        <w:fldChar w:fldCharType="begin"/>
      </w:r>
      <w:r>
        <w:instrText xml:space="preserve"> TITLE   \* MERGEFORMAT </w:instrText>
      </w:r>
      <w:r>
        <w:fldChar w:fldCharType="separate"/>
      </w:r>
      <w:r>
        <w:t>MSAPMOHS205A Control minor incidents</w:t>
      </w:r>
      <w:r>
        <w:fldChar w:fldCharType="end"/>
      </w:r>
    </w:p>
    <w:p w:rsidR="00EA5781" w:rsidP="00EA5781">
      <w:pPr>
        <w:pStyle w:val="Version"/>
        <w:sectPr w:rsidSect="00DD4C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D4C0B" w:rsidP="00DD4C0B">
      <w:pPr>
        <w:pStyle w:val="SuperHeading"/>
      </w:pPr>
      <w:r w:rsidRPr="00DD4C0B">
        <w:t>MSAPMOHS205A Control minor incidents</w:t>
      </w:r>
    </w:p>
    <w:p w:rsidR="00000000" w:rsidRPr="00DD4C0B" w:rsidP="00DD4C0B">
      <w:pPr>
        <w:pStyle w:val="SuperHeading"/>
      </w:pPr>
    </w:p>
    <w:p w:rsidR="00000000" w:rsidRPr="00DD4C0B" w:rsidP="00DD4C0B">
      <w:pPr>
        <w:pStyle w:val="Heading1"/>
      </w:pPr>
      <w:bookmarkStart w:id="1" w:name="O_101163"/>
      <w:bookmarkEnd w:id="1"/>
      <w:r w:rsidRPr="00DD4C0B">
        <w:t>Modification History</w:t>
      </w:r>
    </w:p>
    <w:p w:rsidR="00000000" w:rsidRPr="00DD4C0B" w:rsidP="00DD4C0B">
      <w:pPr>
        <w:pStyle w:val="BodyText"/>
      </w:pPr>
      <w:r w:rsidRPr="00DD4C0B">
        <w:t>Not applicable.</w:t>
      </w:r>
    </w:p>
    <w:p w:rsidR="00000000" w:rsidRPr="00DD4C0B" w:rsidP="00DD4C0B">
      <w:pPr>
        <w:pStyle w:val="AllowPageBreak"/>
      </w:pPr>
    </w:p>
    <w:p w:rsidR="00000000" w:rsidRPr="00DD4C0B" w:rsidP="00DD4C0B">
      <w:pPr>
        <w:pStyle w:val="Heading1"/>
      </w:pPr>
      <w:bookmarkStart w:id="2" w:name="O_101164"/>
      <w:bookmarkEnd w:id="2"/>
      <w:r w:rsidRPr="00DD4C0B">
        <w:t>Unit Descriptor</w:t>
      </w:r>
    </w:p>
    <w:p w:rsidR="00000000" w:rsidRPr="00DD4C0B" w:rsidP="00DD4C0B">
      <w:pPr>
        <w:pStyle w:val="BodyText"/>
      </w:pPr>
      <w:r w:rsidRPr="00DD4C0B">
        <w:rPr>
          <w:rStyle w:val="SpecialBold"/>
        </w:rPr>
        <w:t>Unit descriptor</w:t>
      </w:r>
    </w:p>
    <w:p w:rsidR="00000000" w:rsidRPr="00DD4C0B" w:rsidP="00DD4C0B">
      <w:pPr>
        <w:pStyle w:val="BodyText"/>
      </w:pPr>
      <w:r w:rsidRPr="00DD4C0B">
        <w:t xml:space="preserve">This unit covers control of minor incidents. The competency would be possessed generally by most/all operations </w:t>
      </w:r>
      <w:r w:rsidRPr="00DD4C0B">
        <w:t>personnel and some non-operations personnel. It would require training in addition to that which might typically be part of an induction program, but does not require specialist training such as is given to members of an incident response team. The general</w:t>
      </w:r>
      <w:r w:rsidRPr="00DD4C0B">
        <w:t xml:space="preserve"> purpose of this initial response is to prevent any incident from escalating. In the event of an incident this person may be expected to respond to an incident team member in line with procedures.</w:t>
      </w:r>
    </w:p>
    <w:p w:rsidR="00EA5781" w:rsidP="00DD4C0B">
      <w:pPr>
        <w:pStyle w:val="BodyText"/>
      </w:pPr>
      <w:r w:rsidRPr="00DD4C0B">
        <w:t xml:space="preserve">This unit does NOT apply to major incidents (see </w:t>
      </w:r>
      <w:r w:rsidRPr="00DD4C0B">
        <w:rPr>
          <w:rStyle w:val="Emphasis"/>
        </w:rPr>
        <w:t>MSAOHS210A</w:t>
      </w:r>
      <w:r w:rsidRPr="00DD4C0B">
        <w:rPr>
          <w:rStyle w:val="Emphasis"/>
        </w:rPr>
        <w:t xml:space="preserve"> Control non</w:t>
      </w:r>
      <w:r w:rsidRPr="00DD4C0B">
        <w:t>-</w:t>
      </w:r>
      <w:r w:rsidRPr="00DD4C0B">
        <w:rPr>
          <w:rStyle w:val="Emphasis"/>
        </w:rPr>
        <w:t>fire incidents</w:t>
      </w:r>
      <w:r w:rsidRPr="00DD4C0B">
        <w:t xml:space="preserve"> and </w:t>
      </w:r>
      <w:r w:rsidRPr="00DD4C0B">
        <w:rPr>
          <w:rStyle w:val="Emphasis"/>
        </w:rPr>
        <w:t>MSAOHS212A Control fire incidents</w:t>
      </w:r>
      <w:r w:rsidRPr="00DD4C0B">
        <w:t>).</w:t>
      </w:r>
    </w:p>
    <w:p w:rsidR="00EA5781" w:rsidP="00DD4C0B">
      <w:pPr>
        <w:pStyle w:val="BodyText"/>
      </w:pPr>
    </w:p>
    <w:p w:rsidR="00000000" w:rsidRPr="00DD4C0B" w:rsidP="00DD4C0B">
      <w:pPr>
        <w:pStyle w:val="Heading1"/>
      </w:pPr>
      <w:bookmarkStart w:id="3" w:name="O_101165"/>
      <w:bookmarkEnd w:id="3"/>
      <w:r w:rsidRPr="00DD4C0B">
        <w:t>Application of the Unit</w:t>
      </w:r>
    </w:p>
    <w:p w:rsidR="00000000" w:rsidRPr="00DD4C0B" w:rsidP="00DD4C0B">
      <w:pPr>
        <w:pStyle w:val="BodyText"/>
      </w:pPr>
      <w:r w:rsidRPr="00DD4C0B">
        <w:rPr>
          <w:rStyle w:val="SpecialBold"/>
        </w:rPr>
        <w:t>Application of this unit</w:t>
      </w:r>
    </w:p>
    <w:p w:rsidR="00000000" w:rsidRPr="00DD4C0B" w:rsidP="00DD4C0B">
      <w:pPr>
        <w:pStyle w:val="BodyText"/>
      </w:pPr>
      <w:r w:rsidRPr="00DD4C0B">
        <w:t xml:space="preserve">This competency applies to operators who may be called upon to control small incidents in the workplace. </w:t>
      </w:r>
    </w:p>
    <w:p w:rsidR="00000000" w:rsidRPr="00DD4C0B" w:rsidP="00DD4C0B">
      <w:pPr>
        <w:pStyle w:val="BodyText"/>
      </w:pPr>
      <w:r w:rsidRPr="00DD4C0B">
        <w:t>It includes:</w:t>
      </w:r>
    </w:p>
    <w:p w:rsidR="00000000" w:rsidRPr="00DD4C0B" w:rsidP="00DD4C0B">
      <w:pPr>
        <w:pStyle w:val="ListBullet"/>
      </w:pPr>
      <w:r w:rsidRPr="00DD4C0B">
        <w:t xml:space="preserve">fires of the A,B,C,D,E and F classes </w:t>
      </w:r>
    </w:p>
    <w:p w:rsidR="00000000" w:rsidRPr="00DD4C0B" w:rsidP="00DD4C0B">
      <w:pPr>
        <w:pStyle w:val="ListBullet"/>
      </w:pPr>
      <w:r w:rsidRPr="00DD4C0B">
        <w:t xml:space="preserve">fuel and other spills </w:t>
      </w:r>
    </w:p>
    <w:p w:rsidR="00000000" w:rsidRPr="00DD4C0B" w:rsidP="00DD4C0B">
      <w:pPr>
        <w:pStyle w:val="ListBullet"/>
      </w:pPr>
      <w:r w:rsidRPr="00DD4C0B">
        <w:t xml:space="preserve">process overheating </w:t>
      </w:r>
    </w:p>
    <w:p w:rsidR="00000000" w:rsidRPr="00DD4C0B" w:rsidP="00DD4C0B">
      <w:pPr>
        <w:pStyle w:val="ListBullet"/>
      </w:pPr>
      <w:r w:rsidRPr="00DD4C0B">
        <w:t>equipment failure.</w:t>
      </w:r>
    </w:p>
    <w:p w:rsidR="00000000" w:rsidRPr="00DD4C0B" w:rsidP="00DD4C0B">
      <w:pPr>
        <w:pStyle w:val="BodyText"/>
      </w:pPr>
      <w:r w:rsidRPr="00DD4C0B">
        <w:t>The person would:</w:t>
      </w:r>
    </w:p>
    <w:p w:rsidR="00000000" w:rsidRPr="00DD4C0B" w:rsidP="00DD4C0B">
      <w:pPr>
        <w:pStyle w:val="ListBullet"/>
      </w:pPr>
      <w:r w:rsidRPr="00DD4C0B">
        <w:t>safely use first response equipment and coordinate with other actions</w:t>
      </w:r>
    </w:p>
    <w:p w:rsidR="00000000" w:rsidRPr="00DD4C0B" w:rsidP="00DD4C0B">
      <w:pPr>
        <w:pStyle w:val="ListBullet"/>
      </w:pPr>
      <w:r w:rsidRPr="00DD4C0B">
        <w:t xml:space="preserve">operate incident equipment </w:t>
      </w:r>
    </w:p>
    <w:p w:rsidR="00000000" w:rsidRPr="00DD4C0B" w:rsidP="00DD4C0B">
      <w:pPr>
        <w:pStyle w:val="ListBullet"/>
      </w:pPr>
      <w:r w:rsidRPr="00DD4C0B">
        <w:t xml:space="preserve">report the use of incident equipment </w:t>
      </w:r>
    </w:p>
    <w:p w:rsidR="00000000" w:rsidRPr="00DD4C0B" w:rsidP="00DD4C0B">
      <w:pPr>
        <w:pStyle w:val="ListBullet"/>
      </w:pPr>
      <w:r w:rsidRPr="00DD4C0B">
        <w:t>mark or position incident equipment to indicate that it has been used and requires servicing.</w:t>
      </w:r>
    </w:p>
    <w:p w:rsidR="00EA5781" w:rsidP="00DD4C0B">
      <w:pPr>
        <w:pStyle w:val="BodyText"/>
      </w:pPr>
      <w:r w:rsidRPr="00DD4C0B">
        <w:t>Generally the person would be part of a team during an incident response. However, he/she may be required to take independent action. At all times they would be l</w:t>
      </w:r>
      <w:r w:rsidRPr="00DD4C0B">
        <w:t>iaising and cooperating with other members of the team.</w:t>
      </w:r>
    </w:p>
    <w:p w:rsidR="00EA5781" w:rsidP="00DD4C0B">
      <w:pPr>
        <w:pStyle w:val="BodyText"/>
      </w:pPr>
    </w:p>
    <w:p w:rsidR="00000000" w:rsidRPr="00DD4C0B" w:rsidP="00DD4C0B">
      <w:pPr>
        <w:pStyle w:val="Heading1"/>
      </w:pPr>
      <w:bookmarkStart w:id="4" w:name="O_101166"/>
      <w:bookmarkEnd w:id="4"/>
      <w:r w:rsidRPr="00DD4C0B">
        <w:t>Licensing/Regulatory Information</w:t>
      </w:r>
    </w:p>
    <w:p w:rsidR="00000000" w:rsidRPr="00DD4C0B" w:rsidP="00DD4C0B">
      <w:pPr>
        <w:pStyle w:val="BodyText"/>
      </w:pPr>
      <w:r w:rsidRPr="00DD4C0B">
        <w:t>Not applicable.</w:t>
      </w:r>
    </w:p>
    <w:p w:rsidR="00000000" w:rsidRPr="00DD4C0B" w:rsidP="00DD4C0B">
      <w:pPr>
        <w:pStyle w:val="AllowPageBreak"/>
      </w:pPr>
    </w:p>
    <w:p w:rsidR="00000000" w:rsidRPr="00DD4C0B" w:rsidP="00DD4C0B">
      <w:pPr>
        <w:pStyle w:val="Heading1"/>
      </w:pPr>
      <w:bookmarkStart w:id="5" w:name="O_101167"/>
      <w:bookmarkEnd w:id="5"/>
      <w:r w:rsidRPr="00DD4C0B">
        <w:t>Pre-Requisites</w:t>
      </w:r>
    </w:p>
    <w:p w:rsidR="00000000" w:rsidRPr="00DD4C0B" w:rsidP="00DD4C0B">
      <w:pPr>
        <w:pStyle w:val="BodyText"/>
      </w:pPr>
      <w:r w:rsidRPr="00DD4C0B">
        <w:rPr>
          <w:rStyle w:val="SpecialBold"/>
        </w:rPr>
        <w:t>Prerequisites</w:t>
      </w:r>
    </w:p>
    <w:p w:rsidR="00EA5781" w:rsidP="00DD4C0B">
      <w:pPr>
        <w:pStyle w:val="BodyText"/>
      </w:pPr>
      <w:r w:rsidRPr="00DD4C0B">
        <w:t xml:space="preserve">This unit has </w:t>
      </w:r>
      <w:r w:rsidRPr="00DD4C0B">
        <w:rPr>
          <w:rStyle w:val="SpecialBold"/>
        </w:rPr>
        <w:t>no</w:t>
      </w:r>
      <w:r w:rsidRPr="00DD4C0B">
        <w:t xml:space="preserve"> prerequisites.</w:t>
      </w:r>
    </w:p>
    <w:p w:rsidR="00EA5781" w:rsidP="00DD4C0B">
      <w:pPr>
        <w:pStyle w:val="BodyText"/>
      </w:pPr>
    </w:p>
    <w:p w:rsidR="00000000" w:rsidRPr="00DD4C0B" w:rsidP="00DD4C0B">
      <w:pPr>
        <w:pStyle w:val="Heading1"/>
      </w:pPr>
      <w:bookmarkStart w:id="6" w:name="O_101168"/>
      <w:bookmarkEnd w:id="6"/>
      <w:r w:rsidRPr="00DD4C0B">
        <w:t>Employability Skills Information</w:t>
      </w:r>
    </w:p>
    <w:p w:rsidR="00000000" w:rsidRPr="00DD4C0B" w:rsidP="00DD4C0B">
      <w:pPr>
        <w:pStyle w:val="BodyText"/>
      </w:pPr>
      <w:r w:rsidRPr="00DD4C0B">
        <w:rPr>
          <w:rStyle w:val="SpecialBold"/>
        </w:rPr>
        <w:t>Employability Skills</w:t>
      </w:r>
    </w:p>
    <w:p w:rsidR="00EA5781" w:rsidP="00DD4C0B">
      <w:pPr>
        <w:pStyle w:val="BodyText"/>
      </w:pPr>
      <w:r w:rsidRPr="00DD4C0B">
        <w:t>This unit contains employability skills.</w:t>
      </w:r>
    </w:p>
    <w:p w:rsidR="00EA5781" w:rsidP="00DD4C0B">
      <w:pPr>
        <w:pStyle w:val="BodyText"/>
      </w:pPr>
    </w:p>
    <w:p w:rsidR="00000000" w:rsidRPr="00DD4C0B" w:rsidP="00DD4C0B">
      <w:pPr>
        <w:pStyle w:val="Heading1"/>
      </w:pPr>
      <w:bookmarkStart w:id="7" w:name="O_101169"/>
      <w:bookmarkEnd w:id="7"/>
      <w:r w:rsidRPr="00DD4C0B">
        <w:t>Elements and Performance Criteria Pre-Content</w:t>
      </w:r>
    </w:p>
    <w:tbl>
      <w:tblPr>
        <w:tblW w:w="0" w:type="auto"/>
        <w:tblLayout w:type="fixed"/>
        <w:tblCellMar>
          <w:left w:w="62" w:type="dxa"/>
          <w:right w:w="62" w:type="dxa"/>
        </w:tblCellMar>
        <w:tblLook w:val="0000"/>
      </w:tblPr>
      <w:tblGrid>
        <w:gridCol w:w="2877"/>
        <w:gridCol w:w="5627"/>
      </w:tblGrid>
      <w:tr w:rsidTr="00EA578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C0B" w:rsidP="00DD4C0B">
            <w:pPr>
              <w:pStyle w:val="BodyText"/>
            </w:pPr>
            <w:r w:rsidRPr="00DD4C0B">
              <w:rPr>
                <w:rStyle w:val="SpecialBold"/>
              </w:rPr>
              <w:t>ELEMENT</w:t>
            </w:r>
          </w:p>
          <w:p w:rsidR="00000000" w:rsidRPr="00DD4C0B" w:rsidP="00DD4C0B">
            <w:pPr>
              <w:pStyle w:val="BodyText"/>
            </w:pPr>
            <w:r w:rsidRPr="00DD4C0B">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C0B" w:rsidP="00DD4C0B">
            <w:pPr>
              <w:pStyle w:val="BodyText"/>
            </w:pPr>
            <w:r w:rsidRPr="00DD4C0B">
              <w:rPr>
                <w:rStyle w:val="SpecialBold"/>
              </w:rPr>
              <w:t>PERFORMANCE CRITERIA</w:t>
            </w:r>
          </w:p>
          <w:p w:rsidR="00000000" w:rsidRPr="00DD4C0B" w:rsidP="00DD4C0B">
            <w:pPr>
              <w:pStyle w:val="BodyText"/>
            </w:pPr>
            <w:r w:rsidRPr="00DD4C0B">
              <w:t>Performance Criteria describe the re</w:t>
            </w:r>
            <w:r w:rsidRPr="00DD4C0B">
              <w:t>quired performance needed to demonstrate achievement of the Element. Assessment of performance is to be consistent with the Evidence Guide.</w:t>
            </w:r>
          </w:p>
        </w:tc>
      </w:tr>
    </w:tbl>
    <w:p w:rsidR="00000000" w:rsidRPr="00DD4C0B" w:rsidP="00DD4C0B">
      <w:pPr>
        <w:pStyle w:val="BodyText"/>
      </w:pPr>
    </w:p>
    <w:p w:rsidR="00000000" w:rsidRPr="00DD4C0B" w:rsidP="00DD4C0B">
      <w:pPr>
        <w:pStyle w:val="AllowPageBreak"/>
      </w:pPr>
    </w:p>
    <w:p w:rsidR="00000000" w:rsidRPr="00DD4C0B" w:rsidP="00DD4C0B">
      <w:pPr>
        <w:pStyle w:val="Heading1"/>
      </w:pPr>
      <w:bookmarkStart w:id="8" w:name="O_101170"/>
      <w:bookmarkEnd w:id="8"/>
      <w:r w:rsidRPr="00DD4C0B">
        <w:t>Elements and Performance Criteria</w:t>
      </w:r>
    </w:p>
    <w:tbl>
      <w:tblPr>
        <w:tblW w:w="0" w:type="auto"/>
        <w:tblLayout w:type="fixed"/>
        <w:tblCellMar>
          <w:left w:w="62" w:type="dxa"/>
          <w:right w:w="62" w:type="dxa"/>
        </w:tblCellMar>
        <w:tblLook w:val="0000"/>
      </w:tblPr>
      <w:tblGrid>
        <w:gridCol w:w="2877"/>
        <w:gridCol w:w="5627"/>
      </w:tblGrid>
      <w:tr w:rsidTr="00EA5781">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C0B" w:rsidP="00DD4C0B">
            <w:pPr>
              <w:pStyle w:val="BodyText"/>
            </w:pPr>
            <w:r w:rsidRPr="00DD4C0B">
              <w:rPr>
                <w:rStyle w:val="SpecialBold"/>
              </w:rPr>
              <w:t>ELEMENT</w:t>
            </w:r>
          </w:p>
          <w:p w:rsidR="00000000" w:rsidRPr="00DD4C0B" w:rsidP="00DD4C0B">
            <w:pPr>
              <w:pStyle w:val="BodyText"/>
            </w:pPr>
            <w:r w:rsidRPr="00DD4C0B">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C0B" w:rsidP="00DD4C0B">
            <w:pPr>
              <w:pStyle w:val="BodyText"/>
            </w:pPr>
            <w:r w:rsidRPr="00DD4C0B">
              <w:rPr>
                <w:rStyle w:val="SpecialBold"/>
              </w:rPr>
              <w:t>PERFORMANCE CRITERIA</w:t>
            </w:r>
          </w:p>
          <w:p w:rsidR="00000000" w:rsidP="00DD4C0B">
            <w:pPr>
              <w:pStyle w:val="BodyText"/>
              <w:rPr>
                <w:lang w:val="en-NZ"/>
              </w:rPr>
            </w:pPr>
            <w:r w:rsidRPr="00DD4C0B">
              <w:t>Performance Criteria descr</w:t>
            </w:r>
            <w:r w:rsidRPr="00DD4C0B">
              <w:t>ibe the required performance needed to demonstrate achievement of the Element. Assessment of performance is to be consistent with the Evidence Guide.</w:t>
            </w:r>
          </w:p>
        </w:tc>
      </w:tr>
      <w:tr w:rsidTr="00EA578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C0B">
            <w:pPr>
              <w:pStyle w:val="List"/>
              <w:rPr>
                <w:lang w:val="en-NZ"/>
              </w:rPr>
            </w:pPr>
            <w:r w:rsidRPr="00DD4C0B">
              <w:t>1.</w:t>
            </w:r>
            <w:r w:rsidRPr="00DD4C0B">
              <w:tab/>
              <w:t>Evaluate the incident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C0B" w:rsidP="00DD4C0B">
            <w:pPr>
              <w:pStyle w:val="List"/>
            </w:pPr>
            <w:r w:rsidRPr="00DD4C0B">
              <w:t>1.1</w:t>
            </w:r>
            <w:r w:rsidRPr="00DD4C0B">
              <w:tab/>
              <w:t>Recognise an incident has occurred or is about to occur.</w:t>
            </w:r>
          </w:p>
          <w:p w:rsidR="00000000" w:rsidRPr="00DD4C0B" w:rsidP="00DD4C0B">
            <w:pPr>
              <w:pStyle w:val="BodyText"/>
            </w:pPr>
          </w:p>
          <w:p w:rsidR="00000000" w:rsidRPr="00DD4C0B" w:rsidP="00DD4C0B">
            <w:pPr>
              <w:pStyle w:val="List"/>
            </w:pPr>
            <w:r w:rsidRPr="00DD4C0B">
              <w:t>1.2</w:t>
            </w:r>
            <w:r w:rsidRPr="00DD4C0B">
              <w:tab/>
            </w:r>
            <w:r w:rsidRPr="00DD4C0B">
              <w:t>Assess the incident for type of response and the likely effectiveness of first response action.</w:t>
            </w:r>
          </w:p>
          <w:p w:rsidR="00000000" w:rsidRPr="00DD4C0B" w:rsidP="00DD4C0B">
            <w:pPr>
              <w:pStyle w:val="List"/>
            </w:pPr>
            <w:r w:rsidRPr="00DD4C0B">
              <w:t>1.3</w:t>
            </w:r>
            <w:r w:rsidRPr="00DD4C0B">
              <w:tab/>
              <w:t>Identify the hazards arising from the incident.</w:t>
            </w:r>
          </w:p>
          <w:p w:rsidR="00000000" w:rsidRPr="00DD4C0B" w:rsidP="00DD4C0B">
            <w:pPr>
              <w:pStyle w:val="List"/>
            </w:pPr>
            <w:r w:rsidRPr="00DD4C0B">
              <w:t>1.4</w:t>
            </w:r>
            <w:r w:rsidRPr="00DD4C0B">
              <w:tab/>
              <w:t>Raise the alarm and seek assistance as required.</w:t>
            </w:r>
          </w:p>
          <w:p w:rsidR="00000000" w:rsidRPr="00DD4C0B" w:rsidP="00DD4C0B">
            <w:pPr>
              <w:pStyle w:val="List"/>
            </w:pPr>
            <w:r w:rsidRPr="00DD4C0B">
              <w:t>1.5</w:t>
            </w:r>
            <w:r w:rsidRPr="00DD4C0B">
              <w:tab/>
              <w:t>Select appropriate response to control incident.</w:t>
            </w:r>
          </w:p>
          <w:p w:rsidR="00000000" w:rsidRPr="00DD4C0B" w:rsidP="00DD4C0B">
            <w:pPr>
              <w:pStyle w:val="List"/>
            </w:pPr>
            <w:r w:rsidRPr="00DD4C0B">
              <w:t>1.</w:t>
            </w:r>
            <w:r w:rsidRPr="00DD4C0B">
              <w:t>6</w:t>
            </w:r>
            <w:r w:rsidRPr="00DD4C0B">
              <w:tab/>
              <w:t>Determine hazard control measures to be employed.</w:t>
            </w:r>
          </w:p>
          <w:p w:rsidR="00000000" w:rsidP="00DD4C0B">
            <w:pPr>
              <w:pStyle w:val="List"/>
              <w:rPr>
                <w:lang w:val="en-NZ"/>
              </w:rPr>
            </w:pPr>
            <w:r w:rsidRPr="00DD4C0B">
              <w:t>1.7</w:t>
            </w:r>
            <w:r w:rsidRPr="00DD4C0B">
              <w:tab/>
              <w:t>Recommend evacuation if appropriate.</w:t>
            </w:r>
          </w:p>
        </w:tc>
      </w:tr>
      <w:tr w:rsidTr="00EA578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C0B">
            <w:pPr>
              <w:pStyle w:val="List"/>
              <w:rPr>
                <w:lang w:val="en-NZ"/>
              </w:rPr>
            </w:pPr>
            <w:r w:rsidRPr="00DD4C0B">
              <w:t>2.</w:t>
            </w:r>
            <w:r w:rsidRPr="00DD4C0B">
              <w:tab/>
              <w:t>Control the incident.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C0B" w:rsidP="00DD4C0B">
            <w:pPr>
              <w:pStyle w:val="List"/>
            </w:pPr>
            <w:r w:rsidRPr="00DD4C0B">
              <w:t>2.1</w:t>
            </w:r>
            <w:r w:rsidRPr="00DD4C0B">
              <w:tab/>
              <w:t>Maintain personal safety at all times.</w:t>
            </w:r>
          </w:p>
          <w:p w:rsidR="00000000" w:rsidRPr="00DD4C0B" w:rsidP="00DD4C0B">
            <w:pPr>
              <w:pStyle w:val="List"/>
            </w:pPr>
            <w:r w:rsidRPr="00DD4C0B">
              <w:t>2.2</w:t>
            </w:r>
            <w:r w:rsidRPr="00DD4C0B">
              <w:tab/>
              <w:t>Confine the incident to the area of origin where possible.</w:t>
            </w:r>
          </w:p>
          <w:p w:rsidR="00000000" w:rsidRPr="00DD4C0B" w:rsidP="00DD4C0B">
            <w:pPr>
              <w:pStyle w:val="List"/>
            </w:pPr>
            <w:r w:rsidRPr="00DD4C0B">
              <w:t>2.3</w:t>
            </w:r>
            <w:r w:rsidRPr="00DD4C0B">
              <w:tab/>
              <w:t>Select appropriate equipmen</w:t>
            </w:r>
            <w:r w:rsidRPr="00DD4C0B">
              <w:t>t to control incident.</w:t>
            </w:r>
          </w:p>
          <w:p w:rsidR="00000000" w:rsidRPr="00DD4C0B" w:rsidP="00DD4C0B">
            <w:pPr>
              <w:pStyle w:val="List"/>
            </w:pPr>
            <w:r w:rsidRPr="00DD4C0B">
              <w:t>2.4</w:t>
            </w:r>
            <w:r w:rsidRPr="00DD4C0B">
              <w:tab/>
              <w:t>Use equipment in accordance with procedures.</w:t>
            </w:r>
          </w:p>
          <w:p w:rsidR="00000000" w:rsidRPr="00DD4C0B" w:rsidP="00DD4C0B">
            <w:pPr>
              <w:pStyle w:val="List"/>
            </w:pPr>
            <w:r w:rsidRPr="00DD4C0B">
              <w:t>2.5</w:t>
            </w:r>
            <w:r w:rsidRPr="00DD4C0B">
              <w:tab/>
              <w:t>Clear and secure the incident area.</w:t>
            </w:r>
          </w:p>
          <w:p w:rsidR="00000000" w:rsidRPr="00DD4C0B" w:rsidP="00DD4C0B">
            <w:pPr>
              <w:pStyle w:val="List"/>
            </w:pPr>
            <w:r w:rsidRPr="00DD4C0B">
              <w:t>2.6</w:t>
            </w:r>
            <w:r w:rsidRPr="00DD4C0B">
              <w:tab/>
              <w:t>Monitor the incident and surrounding conditions and modify response as appropriate.</w:t>
            </w:r>
          </w:p>
          <w:p w:rsidR="00000000" w:rsidP="00DD4C0B">
            <w:pPr>
              <w:pStyle w:val="List"/>
              <w:rPr>
                <w:lang w:val="en-NZ"/>
              </w:rPr>
            </w:pPr>
            <w:r w:rsidRPr="00DD4C0B">
              <w:t>2.7</w:t>
            </w:r>
            <w:r w:rsidRPr="00DD4C0B">
              <w:tab/>
            </w:r>
            <w:r w:rsidRPr="00DD4C0B">
              <w:t>Handover to specialist incident response personnel as appropriate.</w:t>
            </w:r>
          </w:p>
        </w:tc>
      </w:tr>
      <w:tr w:rsidTr="00EA5781">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4C0B">
            <w:pPr>
              <w:pStyle w:val="List"/>
              <w:rPr>
                <w:lang w:val="en-NZ"/>
              </w:rPr>
            </w:pPr>
            <w:r w:rsidRPr="00DD4C0B">
              <w:t>3.</w:t>
            </w:r>
            <w:r w:rsidRPr="00DD4C0B">
              <w:tab/>
              <w:t>Conclude the incident control.</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4C0B" w:rsidP="00DD4C0B">
            <w:pPr>
              <w:pStyle w:val="List"/>
            </w:pPr>
            <w:r w:rsidRPr="00DD4C0B">
              <w:t>3.1</w:t>
            </w:r>
            <w:r w:rsidRPr="00DD4C0B">
              <w:tab/>
              <w:t>Report the use of equipment according to procedures.</w:t>
            </w:r>
          </w:p>
          <w:p w:rsidR="00000000" w:rsidRPr="00DD4C0B" w:rsidP="00DD4C0B">
            <w:pPr>
              <w:pStyle w:val="List"/>
            </w:pPr>
            <w:r w:rsidRPr="00DD4C0B">
              <w:t>3.2</w:t>
            </w:r>
            <w:r w:rsidRPr="00DD4C0B">
              <w:tab/>
              <w:t>Mark or position incident control equipment after use to indicate it requires servicing or re</w:t>
            </w:r>
            <w:r w:rsidRPr="00DD4C0B">
              <w:t>placing.</w:t>
            </w:r>
          </w:p>
          <w:p w:rsidR="00000000" w:rsidRPr="00DD4C0B" w:rsidP="00DD4C0B">
            <w:pPr>
              <w:pStyle w:val="List"/>
            </w:pPr>
            <w:r w:rsidRPr="00DD4C0B">
              <w:t>3.3</w:t>
            </w:r>
            <w:r w:rsidRPr="00DD4C0B">
              <w:tab/>
              <w:t>Participate in incident debrief and reporting in accordance with procedures.</w:t>
            </w:r>
          </w:p>
        </w:tc>
      </w:tr>
    </w:tbl>
    <w:p w:rsidR="00000000" w:rsidRPr="00DD4C0B" w:rsidP="00DD4C0B">
      <w:pPr>
        <w:pStyle w:val="BodyText"/>
      </w:pPr>
    </w:p>
    <w:p w:rsidR="00000000" w:rsidRPr="00DD4C0B" w:rsidP="00DD4C0B">
      <w:pPr>
        <w:pStyle w:val="AllowPageBreak"/>
      </w:pPr>
    </w:p>
    <w:p w:rsidR="00000000" w:rsidRPr="00DD4C0B" w:rsidP="00DD4C0B">
      <w:pPr>
        <w:pStyle w:val="Heading1"/>
      </w:pPr>
      <w:bookmarkStart w:id="9" w:name="O_101171"/>
      <w:bookmarkEnd w:id="9"/>
      <w:r w:rsidRPr="00DD4C0B">
        <w:t>Required Skills and Knowledge</w:t>
      </w:r>
    </w:p>
    <w:p w:rsidR="00000000" w:rsidRPr="00DD4C0B" w:rsidP="00DD4C0B">
      <w:pPr>
        <w:pStyle w:val="BodyText"/>
        <w:rPr>
          <w:rStyle w:val="SpecialBold"/>
        </w:rPr>
      </w:pPr>
    </w:p>
    <w:p w:rsidR="00000000" w:rsidRPr="00DD4C0B" w:rsidP="00DD4C0B">
      <w:pPr>
        <w:pStyle w:val="BodyText"/>
      </w:pPr>
      <w:r w:rsidRPr="00DD4C0B">
        <w:t>This describes the essential skills and knowledge and their level required for this unit.</w:t>
      </w:r>
    </w:p>
    <w:p w:rsidR="00000000" w:rsidRPr="00DD4C0B" w:rsidP="00DD4C0B">
      <w:pPr>
        <w:pStyle w:val="BodyText"/>
      </w:pPr>
      <w:r w:rsidRPr="00DD4C0B">
        <w:t xml:space="preserve">The knowledge referred to </w:t>
      </w:r>
      <w:r w:rsidRPr="00DD4C0B">
        <w:t>in the Evidence Guide for this unit includes:</w:t>
      </w:r>
    </w:p>
    <w:p w:rsidR="00000000" w:rsidRPr="00DD4C0B" w:rsidP="00DD4C0B">
      <w:pPr>
        <w:pStyle w:val="ListBullet"/>
      </w:pPr>
      <w:r w:rsidRPr="00DD4C0B">
        <w:t>classification of fires and incidents</w:t>
      </w:r>
    </w:p>
    <w:p w:rsidR="00000000" w:rsidRPr="00DD4C0B" w:rsidP="00DD4C0B">
      <w:pPr>
        <w:pStyle w:val="ListBullet"/>
      </w:pPr>
      <w:r w:rsidRPr="00DD4C0B">
        <w:t xml:space="preserve">limitations of first response equipment </w:t>
      </w:r>
    </w:p>
    <w:p w:rsidR="00000000" w:rsidRPr="00DD4C0B" w:rsidP="00DD4C0B">
      <w:pPr>
        <w:pStyle w:val="ListBullet"/>
      </w:pPr>
      <w:r w:rsidRPr="00DD4C0B">
        <w:t xml:space="preserve">situations that must not be responded to because of the risk to life </w:t>
      </w:r>
    </w:p>
    <w:p w:rsidR="00000000" w:rsidRPr="00DD4C0B" w:rsidP="00DD4C0B">
      <w:pPr>
        <w:pStyle w:val="ListBullet"/>
      </w:pPr>
      <w:r w:rsidRPr="00DD4C0B">
        <w:t xml:space="preserve">the hazards involved with first response action </w:t>
      </w:r>
    </w:p>
    <w:p w:rsidR="00000000" w:rsidRPr="00DD4C0B" w:rsidP="00DD4C0B">
      <w:pPr>
        <w:pStyle w:val="ListBullet"/>
      </w:pPr>
      <w:r w:rsidRPr="00DD4C0B">
        <w:t xml:space="preserve">understanding relevant workplace procedures </w:t>
      </w:r>
    </w:p>
    <w:p w:rsidR="00000000" w:rsidRPr="00DD4C0B" w:rsidP="00DD4C0B">
      <w:pPr>
        <w:pStyle w:val="ListBullet"/>
      </w:pPr>
      <w:r w:rsidRPr="00DD4C0B">
        <w:t xml:space="preserve">selecting appropriate first response equipment </w:t>
      </w:r>
    </w:p>
    <w:p w:rsidR="00000000" w:rsidRPr="00DD4C0B" w:rsidP="00DD4C0B">
      <w:pPr>
        <w:pStyle w:val="ListBullet"/>
      </w:pPr>
      <w:r w:rsidRPr="00DD4C0B">
        <w:t>understanding the theory of fire and other relevant incidents.</w:t>
      </w:r>
    </w:p>
    <w:p w:rsidR="00000000" w:rsidRPr="00DD4C0B" w:rsidP="00DD4C0B">
      <w:pPr>
        <w:pStyle w:val="BodyText"/>
      </w:pPr>
      <w:r w:rsidRPr="00DD4C0B">
        <w:t xml:space="preserve">Competence also includes the ability to isolate the causes of problems within the incident response </w:t>
      </w:r>
      <w:r w:rsidRPr="00DD4C0B">
        <w:t>system and to be able to distinguish between causes of problems indicated by:</w:t>
      </w:r>
    </w:p>
    <w:p w:rsidR="00000000" w:rsidRPr="00DD4C0B" w:rsidP="00DD4C0B">
      <w:pPr>
        <w:pStyle w:val="ListBullet"/>
      </w:pPr>
      <w:r w:rsidRPr="00DD4C0B">
        <w:t xml:space="preserve">damage to first response equipment </w:t>
      </w:r>
    </w:p>
    <w:p w:rsidR="00000000" w:rsidRPr="00DD4C0B" w:rsidP="00DD4C0B">
      <w:pPr>
        <w:pStyle w:val="ListBullet"/>
      </w:pPr>
      <w:r w:rsidRPr="00DD4C0B">
        <w:t xml:space="preserve">exceeding the limitations of use of incident control equipment or facilities </w:t>
      </w:r>
    </w:p>
    <w:p w:rsidR="00000000" w:rsidRPr="00DD4C0B" w:rsidP="00DD4C0B">
      <w:pPr>
        <w:pStyle w:val="ListBullet"/>
      </w:pPr>
      <w:r w:rsidRPr="00DD4C0B">
        <w:t>inappropriate actions when first response action is undertaken</w:t>
      </w:r>
    </w:p>
    <w:p w:rsidR="00000000" w:rsidRPr="00DD4C0B" w:rsidP="00DD4C0B">
      <w:pPr>
        <w:pStyle w:val="ListBullet"/>
      </w:pPr>
      <w:r w:rsidRPr="00DD4C0B">
        <w:t xml:space="preserve">inadequacies in facilities that may be used to confine emergencies </w:t>
      </w:r>
    </w:p>
    <w:p w:rsidR="00000000" w:rsidRPr="00DD4C0B" w:rsidP="00DD4C0B">
      <w:pPr>
        <w:pStyle w:val="ListBullet"/>
      </w:pPr>
      <w:r w:rsidRPr="00DD4C0B">
        <w:t>inappropriately identifying the type of incident</w:t>
      </w:r>
    </w:p>
    <w:p w:rsidR="00000000" w:rsidRPr="00DD4C0B" w:rsidP="00DD4C0B">
      <w:pPr>
        <w:pStyle w:val="ListBullet"/>
      </w:pPr>
      <w:r w:rsidRPr="00DD4C0B">
        <w:t xml:space="preserve">the incorrect use of equipment. </w:t>
      </w:r>
    </w:p>
    <w:p w:rsidR="00000000" w:rsidRPr="00DD4C0B" w:rsidP="00DD4C0B">
      <w:pPr>
        <w:pStyle w:val="BodyText"/>
      </w:pPr>
      <w:r w:rsidRPr="00DD4C0B">
        <w:rPr>
          <w:rStyle w:val="SpecialBold"/>
        </w:rPr>
        <w:t>Language</w:t>
      </w:r>
      <w:r w:rsidRPr="00DD4C0B">
        <w:t xml:space="preserve">, </w:t>
      </w:r>
      <w:r w:rsidRPr="00DD4C0B">
        <w:rPr>
          <w:rStyle w:val="SpecialBold"/>
        </w:rPr>
        <w:t>literacy and numeracy requirements</w:t>
      </w:r>
    </w:p>
    <w:p w:rsidR="00000000" w:rsidRPr="00DD4C0B" w:rsidP="00DD4C0B">
      <w:pPr>
        <w:pStyle w:val="BodyText"/>
      </w:pPr>
      <w:r w:rsidRPr="00DD4C0B">
        <w:t>This unit requires the ability to recognise and respond to th</w:t>
      </w:r>
      <w:r w:rsidRPr="00DD4C0B">
        <w:t>e signs of an incident and communicate to relevant people as part of the response.</w:t>
      </w:r>
    </w:p>
    <w:p w:rsidR="00000000" w:rsidRPr="00DD4C0B" w:rsidP="00DD4C0B">
      <w:pPr>
        <w:pStyle w:val="BodyText"/>
      </w:pPr>
      <w:r w:rsidRPr="00DD4C0B">
        <w:t>Writing is required to the level of completing required workplace forms and reports.</w:t>
      </w:r>
    </w:p>
    <w:p w:rsidR="00EA5781" w:rsidP="00DD4C0B">
      <w:pPr>
        <w:pStyle w:val="BodyText"/>
      </w:pPr>
      <w:r w:rsidRPr="00DD4C0B">
        <w:t>Numeracy is required to respond to relevant incident data.</w:t>
      </w:r>
    </w:p>
    <w:p w:rsidR="00EA5781" w:rsidP="00DD4C0B">
      <w:pPr>
        <w:pStyle w:val="BodyText"/>
      </w:pPr>
    </w:p>
    <w:p w:rsidR="00000000" w:rsidRPr="00DD4C0B" w:rsidP="00DD4C0B">
      <w:pPr>
        <w:pStyle w:val="Heading1"/>
      </w:pPr>
      <w:bookmarkStart w:id="10" w:name="O_101172"/>
      <w:bookmarkEnd w:id="10"/>
      <w:r w:rsidRPr="00DD4C0B">
        <w:t>Evidence Gu</w:t>
      </w:r>
      <w:r w:rsidRPr="00DD4C0B">
        <w:t>ide</w:t>
      </w:r>
    </w:p>
    <w:p w:rsidR="00000000" w:rsidRPr="00DD4C0B" w:rsidP="00DD4C0B">
      <w:pPr>
        <w:pStyle w:val="BodyText"/>
        <w:rPr>
          <w:rStyle w:val="SpecialBold"/>
        </w:rPr>
      </w:pPr>
    </w:p>
    <w:p w:rsidR="00000000" w:rsidRPr="00DD4C0B" w:rsidP="00DD4C0B">
      <w:pPr>
        <w:pStyle w:val="BodyText"/>
      </w:pPr>
      <w:r w:rsidRPr="00DD4C0B">
        <w:t>The Evidence Guide provides advice on assessment and must be read in conjunction with the Performance Criteria, required skills and knowledge, the Range Statement and the Assessment Guidelines for this Training Package.</w:t>
      </w:r>
    </w:p>
    <w:p w:rsidR="00000000" w:rsidRPr="00DD4C0B" w:rsidP="00DD4C0B">
      <w:pPr>
        <w:pStyle w:val="BodyText"/>
      </w:pPr>
      <w:r w:rsidRPr="00DD4C0B">
        <w:rPr>
          <w:rStyle w:val="SpecialBold"/>
        </w:rPr>
        <w:t>Overview of assessment</w:t>
      </w:r>
    </w:p>
    <w:p w:rsidR="00000000" w:rsidRPr="00DD4C0B" w:rsidP="00DD4C0B">
      <w:pPr>
        <w:pStyle w:val="BodyText"/>
      </w:pPr>
      <w:r w:rsidRPr="00DD4C0B">
        <w:t>Assessment will occur using a simulation and will be undertaken in a work-like environment.</w:t>
      </w:r>
    </w:p>
    <w:p w:rsidR="00000000" w:rsidRPr="00DD4C0B" w:rsidP="00DD4C0B">
      <w:pPr>
        <w:pStyle w:val="BodyText"/>
      </w:pPr>
      <w:r w:rsidRPr="00DD4C0B">
        <w:rPr>
          <w:rStyle w:val="SpecialBold"/>
        </w:rPr>
        <w:t>Critical aspects for assessment and evidence required to demonstrate competency in this unit</w:t>
      </w:r>
    </w:p>
    <w:p w:rsidR="00000000" w:rsidRPr="00DD4C0B" w:rsidP="00DD4C0B">
      <w:pPr>
        <w:pStyle w:val="BodyText"/>
      </w:pPr>
      <w:r w:rsidRPr="00DD4C0B">
        <w:t>It is essential that competence is demonstrated in the knowledge and sk</w:t>
      </w:r>
      <w:r w:rsidRPr="00DD4C0B">
        <w:t>ills defined in this unit. These may include the ability to:</w:t>
      </w:r>
    </w:p>
    <w:p w:rsidR="00000000" w:rsidRPr="00DD4C0B" w:rsidP="00DD4C0B">
      <w:pPr>
        <w:pStyle w:val="ListBullet"/>
      </w:pPr>
      <w:r w:rsidRPr="00DD4C0B">
        <w:t xml:space="preserve">correctly respond to incident situations </w:t>
      </w:r>
    </w:p>
    <w:p w:rsidR="00000000" w:rsidRPr="00DD4C0B" w:rsidP="00DD4C0B">
      <w:pPr>
        <w:pStyle w:val="ListBullet"/>
      </w:pPr>
      <w:r w:rsidRPr="00DD4C0B">
        <w:t>implement appropriate action.</w:t>
      </w:r>
    </w:p>
    <w:p w:rsidR="00000000" w:rsidRPr="00DD4C0B" w:rsidP="00DD4C0B">
      <w:pPr>
        <w:pStyle w:val="BodyText"/>
      </w:pPr>
      <w:r w:rsidRPr="00DD4C0B">
        <w:t>Emphasis should be on the ability to stay ahead of the problem rather than to have to take drastic action in order to reco</w:t>
      </w:r>
      <w:r w:rsidRPr="00DD4C0B">
        <w:t xml:space="preserve">ver the situation. </w:t>
      </w:r>
    </w:p>
    <w:p w:rsidR="00000000" w:rsidRPr="00DD4C0B" w:rsidP="00DD4C0B">
      <w:pPr>
        <w:pStyle w:val="BodyText"/>
      </w:pPr>
      <w:r w:rsidRPr="00DD4C0B">
        <w:t>Consistent performance should be demonstrated. For example, look to see that:</w:t>
      </w:r>
    </w:p>
    <w:p w:rsidR="00000000" w:rsidRPr="00DD4C0B" w:rsidP="00DD4C0B">
      <w:pPr>
        <w:pStyle w:val="ListBullet"/>
      </w:pPr>
      <w:r w:rsidRPr="00DD4C0B">
        <w:t>the incident is evaluated appropriately</w:t>
      </w:r>
    </w:p>
    <w:p w:rsidR="00000000" w:rsidRPr="00DD4C0B" w:rsidP="00DD4C0B">
      <w:pPr>
        <w:pStyle w:val="ListBullet"/>
      </w:pPr>
      <w:r w:rsidRPr="00DD4C0B">
        <w:t>an appropriate response to the incident, and appropriate response equipment, is selected</w:t>
      </w:r>
    </w:p>
    <w:p w:rsidR="00000000" w:rsidRPr="00DD4C0B" w:rsidP="00DD4C0B">
      <w:pPr>
        <w:pStyle w:val="ListBullet"/>
      </w:pPr>
      <w:r w:rsidRPr="00DD4C0B">
        <w:t>the safety of persons is giv</w:t>
      </w:r>
      <w:r w:rsidRPr="00DD4C0B">
        <w:t>en the highest priority</w:t>
      </w:r>
    </w:p>
    <w:p w:rsidR="00000000" w:rsidRPr="00DD4C0B" w:rsidP="00DD4C0B">
      <w:pPr>
        <w:pStyle w:val="ListBullet"/>
      </w:pPr>
      <w:r w:rsidRPr="00DD4C0B">
        <w:t>actions taken are effective and do not cause escalation or other incidents</w:t>
      </w:r>
    </w:p>
    <w:p w:rsidR="00000000" w:rsidRPr="00DD4C0B" w:rsidP="00DD4C0B">
      <w:pPr>
        <w:pStyle w:val="ListBullet"/>
      </w:pPr>
      <w:r w:rsidRPr="00DD4C0B">
        <w:t>all reporting is completed in accordance with procedures.</w:t>
      </w:r>
    </w:p>
    <w:p w:rsidR="00000000" w:rsidRPr="00DD4C0B" w:rsidP="00DD4C0B">
      <w:pPr>
        <w:pStyle w:val="BodyText"/>
      </w:pPr>
      <w:r w:rsidRPr="00DD4C0B">
        <w:t>These assessment activities should cover a range of problems, including new, unusual and improbable</w:t>
      </w:r>
      <w:r w:rsidRPr="00DD4C0B">
        <w:t xml:space="preserve"> situations which may have been generated from past workplace incident history, incidents in similar workplaces around the world, hazard analysis activities and/or similar sources.</w:t>
      </w:r>
    </w:p>
    <w:p w:rsidR="00000000" w:rsidRPr="00DD4C0B" w:rsidP="00DD4C0B">
      <w:pPr>
        <w:pStyle w:val="BodyText"/>
      </w:pPr>
      <w:r w:rsidRPr="00DD4C0B">
        <w:rPr>
          <w:rStyle w:val="SpecialBold"/>
        </w:rPr>
        <w:t>Assessment method and context</w:t>
      </w:r>
    </w:p>
    <w:p w:rsidR="00000000" w:rsidRPr="00DD4C0B" w:rsidP="00DD4C0B">
      <w:pPr>
        <w:pStyle w:val="BodyText"/>
      </w:pPr>
      <w:r w:rsidRPr="00DD4C0B">
        <w:t>A holistic approach should be taken to the assessment.</w:t>
      </w:r>
    </w:p>
    <w:p w:rsidR="00000000" w:rsidRPr="00DD4C0B" w:rsidP="00DD4C0B">
      <w:pPr>
        <w:pStyle w:val="BodyText"/>
      </w:pPr>
      <w:r w:rsidRPr="00DD4C0B">
        <w:t>Assessors must be satisfied that the person can consistently perform the unit as a whole, as defined by the Elements, Performance Criteria and skills and knowledge.</w:t>
      </w:r>
    </w:p>
    <w:p w:rsidR="00000000" w:rsidRPr="00DD4C0B" w:rsidP="00DD4C0B">
      <w:pPr>
        <w:pStyle w:val="BodyText"/>
      </w:pPr>
      <w:r w:rsidRPr="00DD4C0B">
        <w:t>Competence in this unit may be asses</w:t>
      </w:r>
      <w:r w:rsidRPr="00DD4C0B">
        <w:t>sed:</w:t>
      </w:r>
    </w:p>
    <w:p w:rsidR="00000000" w:rsidRPr="00DD4C0B" w:rsidP="00DD4C0B">
      <w:pPr>
        <w:pStyle w:val="ListBullet"/>
      </w:pPr>
      <w:r w:rsidRPr="00DD4C0B">
        <w:t>in an appropriate, industrial scenario</w:t>
      </w:r>
    </w:p>
    <w:p w:rsidR="00000000" w:rsidRPr="00DD4C0B" w:rsidP="00DD4C0B">
      <w:pPr>
        <w:pStyle w:val="ListBullet"/>
      </w:pPr>
      <w:r w:rsidRPr="00DD4C0B">
        <w:t>in a situation allowing the generation of evidence of the ability to respond to problems</w:t>
      </w:r>
    </w:p>
    <w:p w:rsidR="00000000" w:rsidRPr="00DD4C0B" w:rsidP="00DD4C0B">
      <w:pPr>
        <w:pStyle w:val="ListBullet"/>
      </w:pPr>
      <w:r w:rsidRPr="00DD4C0B">
        <w:t>by using a suitable simulation and/or a range of case studies/scenarios</w:t>
      </w:r>
    </w:p>
    <w:p w:rsidR="00000000" w:rsidRPr="00DD4C0B" w:rsidP="00DD4C0B">
      <w:pPr>
        <w:pStyle w:val="ListBullet"/>
      </w:pPr>
      <w:r w:rsidRPr="00DD4C0B">
        <w:t>through a combination of these techniques.</w:t>
      </w:r>
    </w:p>
    <w:p w:rsidR="00000000" w:rsidRPr="00DD4C0B" w:rsidP="00DD4C0B">
      <w:pPr>
        <w:pStyle w:val="BodyText"/>
      </w:pPr>
      <w:r w:rsidRPr="00DD4C0B">
        <w:t>In all cases it is expected that practical assessment will be combined with targeted questioning to assess the underpinning knowledge and theoretical assessment will be combined with appropriate practical/simulation or similar assessment. Assessors need to</w:t>
      </w:r>
      <w:r w:rsidRPr="00DD4C0B">
        <w:t xml:space="preserve"> be aware of any cultural issues that may affect responses to questions.</w:t>
      </w:r>
    </w:p>
    <w:p w:rsidR="00000000" w:rsidRPr="00DD4C0B" w:rsidP="00DD4C0B">
      <w:pPr>
        <w:pStyle w:val="BodyText"/>
      </w:pPr>
      <w:r w:rsidRPr="00DD4C0B">
        <w:t>Assessment processes and techniques must be culturally appropriate and appropriate to the oracy, language and literacy capacity of the assessee and the work being performed.</w:t>
      </w:r>
    </w:p>
    <w:p w:rsidR="00000000" w:rsidRPr="00DD4C0B" w:rsidP="00DD4C0B">
      <w:pPr>
        <w:pStyle w:val="BodyText"/>
      </w:pPr>
      <w:r w:rsidRPr="00DD4C0B">
        <w:rPr>
          <w:rStyle w:val="SpecialBold"/>
        </w:rPr>
        <w:t xml:space="preserve">Specific </w:t>
      </w:r>
      <w:r w:rsidRPr="00DD4C0B">
        <w:rPr>
          <w:rStyle w:val="SpecialBold"/>
        </w:rPr>
        <w:t>resources for assessment</w:t>
      </w:r>
    </w:p>
    <w:p w:rsidR="00000000" w:rsidRPr="00DD4C0B" w:rsidP="00DD4C0B">
      <w:pPr>
        <w:pStyle w:val="BodyText"/>
      </w:pPr>
      <w:r w:rsidRPr="00DD4C0B">
        <w:t xml:space="preserve">This section should be read in conjunction with the Range Statement for this unit of competency. Resources required include suitable access to an operating plant or equipment that allows for appropriate and realistic simulation. A </w:t>
      </w:r>
      <w:r w:rsidRPr="00DD4C0B">
        <w:t>bank of case studies/scenarios and questions will also be required to the extent they form part of the assessment method. Questioning may take place either in the workplace, or in an adjacent, quiet facility such as an office or lunchroom. No other special</w:t>
      </w:r>
      <w:r w:rsidRPr="00DD4C0B">
        <w:t xml:space="preserve"> resources are required.</w:t>
      </w:r>
    </w:p>
    <w:p w:rsidR="00EA5781" w:rsidP="00DD4C0B">
      <w:pPr>
        <w:pStyle w:val="BodyText"/>
      </w:pPr>
      <w:r w:rsidRPr="00DD4C0B">
        <w:t>Access must be provided to appropriate learning and/or assessment support when required. Where applicable, physical resources should include equipment modified for people with disabilities.</w:t>
      </w:r>
    </w:p>
    <w:p w:rsidR="00EA5781" w:rsidP="00DD4C0B">
      <w:pPr>
        <w:pStyle w:val="BodyText"/>
      </w:pPr>
    </w:p>
    <w:p w:rsidR="00000000" w:rsidRPr="00DD4C0B" w:rsidP="00DD4C0B">
      <w:pPr>
        <w:pStyle w:val="Heading1"/>
      </w:pPr>
      <w:bookmarkStart w:id="11" w:name="O_101173"/>
      <w:bookmarkEnd w:id="11"/>
      <w:r w:rsidRPr="00DD4C0B">
        <w:t>Range Statement</w:t>
      </w:r>
    </w:p>
    <w:p w:rsidR="00000000" w:rsidRPr="00DD4C0B" w:rsidP="00DD4C0B">
      <w:pPr>
        <w:pStyle w:val="BodyText"/>
      </w:pPr>
      <w:r w:rsidRPr="00DD4C0B">
        <w:rPr>
          <w:rStyle w:val="SpecialBold"/>
        </w:rPr>
        <w:t>RANGE S</w:t>
      </w:r>
      <w:r w:rsidRPr="00DD4C0B">
        <w:rPr>
          <w:rStyle w:val="SpecialBold"/>
        </w:rPr>
        <w:t>TATEMENT</w:t>
      </w:r>
    </w:p>
    <w:p w:rsidR="00000000" w:rsidRPr="00DD4C0B" w:rsidP="00DD4C0B">
      <w:pPr>
        <w:pStyle w:val="BodyText"/>
      </w:pPr>
      <w:r w:rsidRPr="00DD4C0B">
        <w:t>The Range Statement relates to the unit of competency as a whole. It allows for different work environments and situations that may affect performance. Add any essential operating conditions that may be present with training and assessment dependi</w:t>
      </w:r>
      <w:r w:rsidRPr="00DD4C0B">
        <w:t>ng on the work situation, needs of the candidate, accessibility of the item, and local industry and regional contexts.</w:t>
      </w:r>
    </w:p>
    <w:p w:rsidR="00000000" w:rsidRPr="00DD4C0B" w:rsidP="00DD4C0B">
      <w:pPr>
        <w:pStyle w:val="BodyText"/>
      </w:pPr>
      <w:r w:rsidRPr="00DD4C0B">
        <w:t>Where reference is made to industry codes of practice, and/or Australian/international standards, the latest version must be used.</w:t>
      </w:r>
    </w:p>
    <w:p w:rsidR="00000000" w:rsidRPr="00DD4C0B" w:rsidP="00DD4C0B">
      <w:pPr>
        <w:pStyle w:val="BodyText"/>
      </w:pPr>
      <w:r w:rsidRPr="00DD4C0B">
        <w:rPr>
          <w:rStyle w:val="SpecialBold"/>
        </w:rPr>
        <w:t>Contex</w:t>
      </w:r>
      <w:r w:rsidRPr="00DD4C0B">
        <w:rPr>
          <w:rStyle w:val="SpecialBold"/>
        </w:rPr>
        <w:t>t</w:t>
      </w:r>
    </w:p>
    <w:p w:rsidR="00000000" w:rsidRPr="00DD4C0B" w:rsidP="00DD4C0B">
      <w:pPr>
        <w:pStyle w:val="BodyText"/>
      </w:pPr>
      <w:r w:rsidRPr="00DD4C0B">
        <w:t>This unit applies to all sectors of the industry.</w:t>
      </w:r>
    </w:p>
    <w:p w:rsidR="00000000" w:rsidRPr="00DD4C0B" w:rsidP="00DD4C0B">
      <w:pPr>
        <w:pStyle w:val="BodyText"/>
      </w:pPr>
      <w:r w:rsidRPr="00DD4C0B">
        <w:t>This unit will assist individuals to meet some of their obligations under the relevant State/Territory legislation. Responsibility for appropriate contextualisation and application of the unit to ensure c</w:t>
      </w:r>
      <w:r w:rsidRPr="00DD4C0B">
        <w:t>ompliance however, remains with the individual organisation.</w:t>
      </w:r>
    </w:p>
    <w:p w:rsidR="00000000" w:rsidRPr="00DD4C0B" w:rsidP="00DD4C0B">
      <w:pPr>
        <w:pStyle w:val="BodyText"/>
      </w:pPr>
      <w:r w:rsidRPr="00DD4C0B">
        <w:t>Organisations within the Chemical, Hydrocarbons and Oil Refining industries may find themselves falling under the provisions of various Major Hazard Facilities legislation. In developing this uni</w:t>
      </w:r>
      <w:r w:rsidRPr="00DD4C0B">
        <w:t xml:space="preserve">t consideration has been given to the requirements of Sections 8 and 9 of the National Standard for the Control of Major Hazard Facilities [NOHSC:1014(2002)] and the National Code of Practice for the Control of Major Hazard Facilities [NOHSC:2016(1996)]. </w:t>
      </w:r>
    </w:p>
    <w:p w:rsidR="00000000" w:rsidRPr="00DD4C0B" w:rsidP="00DD4C0B">
      <w:pPr>
        <w:pStyle w:val="BodyText"/>
      </w:pPr>
      <w:r w:rsidRPr="00DD4C0B">
        <w:rPr>
          <w:rStyle w:val="SpecialBold"/>
        </w:rPr>
        <w:t>Procedures</w:t>
      </w:r>
    </w:p>
    <w:p w:rsidR="00000000" w:rsidRPr="00DD4C0B" w:rsidP="00DD4C0B">
      <w:pPr>
        <w:pStyle w:val="BodyText"/>
      </w:pPr>
      <w:r w:rsidRPr="00DD4C0B">
        <w:t>All operations are performed in accordance with procedures.</w:t>
      </w:r>
    </w:p>
    <w:p w:rsidR="00000000" w:rsidRPr="00DD4C0B" w:rsidP="00DD4C0B">
      <w:pPr>
        <w:pStyle w:val="BodyText"/>
      </w:pPr>
      <w:r w:rsidRPr="00DD4C0B">
        <w:t xml:space="preserve">Procedures include all relevant workplace procedures, work instructions, temporary instructions and relevant industry and government codes and standards. </w:t>
      </w:r>
    </w:p>
    <w:p w:rsidR="00000000" w:rsidRPr="00DD4C0B" w:rsidP="00DD4C0B">
      <w:pPr>
        <w:pStyle w:val="BodyText"/>
      </w:pPr>
      <w:r w:rsidRPr="00DD4C0B">
        <w:t>All operations to which this u</w:t>
      </w:r>
      <w:r w:rsidRPr="00DD4C0B">
        <w:t>nit applies are subject to stringent Health, Safety and Environment (HSE) requirements, which may be imposed through State or Federal legislation, and these must not be compromised at any time. Where there is an apparent conflict between performance criter</w:t>
      </w:r>
      <w:r w:rsidRPr="00DD4C0B">
        <w:t>ia and HSE requirements, the HSE requirements take precedence.</w:t>
      </w:r>
    </w:p>
    <w:p w:rsidR="00000000" w:rsidRPr="00DD4C0B" w:rsidP="00DD4C0B">
      <w:pPr>
        <w:pStyle w:val="BodyText"/>
      </w:pPr>
      <w:r w:rsidRPr="00DD4C0B">
        <w:rPr>
          <w:rStyle w:val="SpecialBold"/>
        </w:rPr>
        <w:t>Tools and equipment</w:t>
      </w:r>
    </w:p>
    <w:p w:rsidR="00000000" w:rsidRPr="00DD4C0B" w:rsidP="00DD4C0B">
      <w:pPr>
        <w:pStyle w:val="BodyText"/>
      </w:pPr>
      <w:r w:rsidRPr="00DD4C0B">
        <w:t>This competency includes use of equipment and tools such as:</w:t>
      </w:r>
    </w:p>
    <w:p w:rsidR="00000000" w:rsidRPr="00DD4C0B" w:rsidP="00DD4C0B">
      <w:pPr>
        <w:pStyle w:val="ListBullet"/>
      </w:pPr>
      <w:r w:rsidRPr="00DD4C0B">
        <w:t xml:space="preserve">fire doors </w:t>
      </w:r>
    </w:p>
    <w:p w:rsidR="00000000" w:rsidRPr="00DD4C0B" w:rsidP="00DD4C0B">
      <w:pPr>
        <w:pStyle w:val="ListBullet"/>
      </w:pPr>
      <w:r w:rsidRPr="00DD4C0B">
        <w:t xml:space="preserve">fire sprinkler systems </w:t>
      </w:r>
    </w:p>
    <w:p w:rsidR="00000000" w:rsidRPr="00DD4C0B" w:rsidP="00DD4C0B">
      <w:pPr>
        <w:pStyle w:val="ListBullet"/>
      </w:pPr>
      <w:r w:rsidRPr="00DD4C0B">
        <w:t xml:space="preserve">fire alarm systems </w:t>
      </w:r>
    </w:p>
    <w:p w:rsidR="00000000" w:rsidRPr="00DD4C0B" w:rsidP="00DD4C0B">
      <w:pPr>
        <w:pStyle w:val="ListBullet"/>
      </w:pPr>
      <w:r w:rsidRPr="00DD4C0B">
        <w:t xml:space="preserve">First Aid kits </w:t>
      </w:r>
    </w:p>
    <w:p w:rsidR="00000000" w:rsidRPr="00DD4C0B" w:rsidP="00DD4C0B">
      <w:pPr>
        <w:pStyle w:val="ListBullet"/>
      </w:pPr>
      <w:r w:rsidRPr="00DD4C0B">
        <w:t xml:space="preserve">fire extinguishers </w:t>
      </w:r>
    </w:p>
    <w:p w:rsidR="00000000" w:rsidRPr="00DD4C0B" w:rsidP="00DD4C0B">
      <w:pPr>
        <w:pStyle w:val="ListBullet"/>
      </w:pPr>
      <w:r w:rsidRPr="00DD4C0B">
        <w:t xml:space="preserve">hose reels </w:t>
      </w:r>
    </w:p>
    <w:p w:rsidR="00000000" w:rsidRPr="00DD4C0B" w:rsidP="00DD4C0B">
      <w:pPr>
        <w:pStyle w:val="ListBullet"/>
      </w:pPr>
      <w:r w:rsidRPr="00DD4C0B">
        <w:t xml:space="preserve">smoke vents </w:t>
      </w:r>
    </w:p>
    <w:p w:rsidR="00000000" w:rsidRPr="00DD4C0B" w:rsidP="00DD4C0B">
      <w:pPr>
        <w:pStyle w:val="ListBullet"/>
      </w:pPr>
      <w:r w:rsidRPr="00DD4C0B">
        <w:t>spill control kits.</w:t>
      </w:r>
    </w:p>
    <w:p w:rsidR="00000000" w:rsidRPr="00DD4C0B" w:rsidP="00DD4C0B">
      <w:pPr>
        <w:pStyle w:val="BodyText"/>
      </w:pPr>
      <w:r w:rsidRPr="00DD4C0B">
        <w:rPr>
          <w:rStyle w:val="SpecialBold"/>
        </w:rPr>
        <w:t>Problems</w:t>
      </w:r>
    </w:p>
    <w:p w:rsidR="00000000" w:rsidRPr="00DD4C0B" w:rsidP="00DD4C0B">
      <w:pPr>
        <w:pStyle w:val="BodyText"/>
      </w:pPr>
      <w:r w:rsidRPr="00DD4C0B">
        <w:t>'Respond to routine problems' means 'apply known solutions to a limited range of predictable problems'.  Typical process and product problems may include:</w:t>
      </w:r>
    </w:p>
    <w:p w:rsidR="00000000" w:rsidRPr="00DD4C0B" w:rsidP="00DD4C0B">
      <w:pPr>
        <w:pStyle w:val="ListBullet"/>
      </w:pPr>
      <w:r w:rsidRPr="00DD4C0B">
        <w:t>determining the nature and size of the incident</w:t>
      </w:r>
    </w:p>
    <w:p w:rsidR="00000000" w:rsidRPr="00DD4C0B" w:rsidP="00DD4C0B">
      <w:pPr>
        <w:pStyle w:val="ListBullet"/>
      </w:pPr>
      <w:r w:rsidRPr="00DD4C0B">
        <w:t>predicting</w:t>
      </w:r>
      <w:r w:rsidRPr="00DD4C0B">
        <w:t xml:space="preserve"> the incident's likely development</w:t>
      </w:r>
    </w:p>
    <w:p w:rsidR="00000000" w:rsidRPr="00DD4C0B" w:rsidP="00DD4C0B">
      <w:pPr>
        <w:pStyle w:val="ListBullet"/>
      </w:pPr>
      <w:r w:rsidRPr="00DD4C0B">
        <w:t>lack of support in an incident</w:t>
      </w:r>
    </w:p>
    <w:p w:rsidR="00000000" w:rsidRPr="00DD4C0B" w:rsidP="00DD4C0B">
      <w:pPr>
        <w:pStyle w:val="ListBullet"/>
      </w:pPr>
      <w:r w:rsidRPr="00DD4C0B">
        <w:t xml:space="preserve">inappropriate or lack of a means of escape </w:t>
      </w:r>
    </w:p>
    <w:p w:rsidR="00EA5781" w:rsidP="00DD4C0B">
      <w:pPr>
        <w:pStyle w:val="ListBullet"/>
      </w:pPr>
      <w:r w:rsidRPr="00DD4C0B">
        <w:t>lack of availability of control equipment or facilities.</w:t>
      </w:r>
    </w:p>
    <w:p w:rsidR="00EA5781" w:rsidP="00DD4C0B">
      <w:pPr>
        <w:pStyle w:val="ListBullet"/>
      </w:pPr>
    </w:p>
    <w:p w:rsidR="00000000" w:rsidRPr="00DD4C0B" w:rsidP="00DD4C0B">
      <w:pPr>
        <w:pStyle w:val="Heading1"/>
      </w:pPr>
      <w:bookmarkStart w:id="12" w:name="O_101174"/>
      <w:bookmarkEnd w:id="12"/>
      <w:r w:rsidRPr="00DD4C0B">
        <w:t>Unit Sector(s)</w:t>
      </w:r>
    </w:p>
    <w:p w:rsidR="00000000" w:rsidRPr="00DD4C0B" w:rsidP="00DD4C0B">
      <w:pPr>
        <w:pStyle w:val="BodyText"/>
      </w:pPr>
      <w:r w:rsidRPr="00DD4C0B">
        <w:t>Not applicable.</w:t>
      </w:r>
    </w:p>
    <w:p w:rsidR="00000000" w:rsidRPr="00DD4C0B" w:rsidP="00DD4C0B"/>
    <w:sectPr w:rsidSect="00DD4C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5781" w:rsidP="00EA57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81" w:rsidP="00DD4C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A5781" w:rsidP="00DD4C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A5781" w:rsidP="00DD4C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5781" w:rsidP="00EA57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C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781" w:rsidP="00DD4C0B">
    <w:pPr>
      <w:pStyle w:val="Header"/>
      <w:framePr w:wrap="around"/>
    </w:pPr>
    <w:r>
      <w:fldChar w:fldCharType="begin"/>
    </w:r>
    <w:r>
      <w:instrText xml:space="preserve"> TITLE   \* MERGEFORMAT </w:instrText>
    </w:r>
    <w:r>
      <w:fldChar w:fldCharType="separate"/>
    </w:r>
    <w:r>
      <w:t>MSAPMOHS205A Control minor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A5781" w:rsidP="00DD4C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DC93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AE72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C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4C0B"/>
    <w:pPr>
      <w:spacing w:before="360" w:after="60"/>
      <w:outlineLvl w:val="0"/>
    </w:pPr>
    <w:rPr>
      <w:sz w:val="32"/>
    </w:rPr>
  </w:style>
  <w:style w:type="paragraph" w:styleId="Heading2">
    <w:name w:val="heading 2"/>
    <w:basedOn w:val="HeadingBase"/>
    <w:next w:val="BodyText"/>
    <w:link w:val="Heading2Char"/>
    <w:qFormat/>
    <w:rsid w:val="00DD4C0B"/>
    <w:pPr>
      <w:keepLines/>
      <w:spacing w:before="240" w:after="120"/>
      <w:outlineLvl w:val="1"/>
    </w:pPr>
    <w:rPr>
      <w:sz w:val="28"/>
      <w:szCs w:val="40"/>
    </w:rPr>
  </w:style>
  <w:style w:type="paragraph" w:styleId="Heading3">
    <w:name w:val="heading 3"/>
    <w:basedOn w:val="HeadingBase"/>
    <w:next w:val="BodyText"/>
    <w:link w:val="Heading3Char"/>
    <w:qFormat/>
    <w:rsid w:val="00DD4C0B"/>
    <w:pPr>
      <w:spacing w:before="180" w:after="120"/>
      <w:outlineLvl w:val="2"/>
    </w:pPr>
    <w:rPr>
      <w:spacing w:val="-10"/>
      <w:kern w:val="32"/>
    </w:rPr>
  </w:style>
  <w:style w:type="paragraph" w:styleId="Heading4">
    <w:name w:val="heading 4"/>
    <w:basedOn w:val="HeadingBase"/>
    <w:next w:val="BodyText"/>
    <w:link w:val="Heading4Char"/>
    <w:qFormat/>
    <w:rsid w:val="00DD4C0B"/>
    <w:pPr>
      <w:spacing w:before="160" w:after="120"/>
      <w:outlineLvl w:val="3"/>
    </w:pPr>
    <w:rPr>
      <w:sz w:val="22"/>
    </w:rPr>
  </w:style>
  <w:style w:type="paragraph" w:styleId="Heading5">
    <w:name w:val="heading 5"/>
    <w:basedOn w:val="HeadingBase"/>
    <w:next w:val="Normal"/>
    <w:link w:val="Heading5Char"/>
    <w:qFormat/>
    <w:rsid w:val="00DD4C0B"/>
    <w:pPr>
      <w:spacing w:before="80"/>
      <w:outlineLvl w:val="4"/>
    </w:pPr>
    <w:rPr>
      <w:color w:val="918585"/>
      <w:sz w:val="20"/>
    </w:rPr>
  </w:style>
  <w:style w:type="paragraph" w:styleId="Heading6">
    <w:name w:val="heading 6"/>
    <w:basedOn w:val="HeadingBase"/>
    <w:next w:val="Normal"/>
    <w:link w:val="Heading6Char"/>
    <w:qFormat/>
    <w:rsid w:val="00DD4C0B"/>
    <w:pPr>
      <w:spacing w:before="60"/>
      <w:outlineLvl w:val="5"/>
    </w:pPr>
    <w:rPr>
      <w:color w:val="918585"/>
      <w:sz w:val="20"/>
    </w:rPr>
  </w:style>
  <w:style w:type="paragraph" w:styleId="Heading7">
    <w:name w:val="heading 7"/>
    <w:basedOn w:val="Normal"/>
    <w:next w:val="Normal"/>
    <w:link w:val="Heading7Char"/>
    <w:qFormat/>
    <w:rsid w:val="00DD4C0B"/>
    <w:pPr>
      <w:ind w:left="720"/>
      <w:outlineLvl w:val="6"/>
    </w:pPr>
    <w:rPr>
      <w:i/>
    </w:rPr>
  </w:style>
  <w:style w:type="paragraph" w:styleId="Heading8">
    <w:name w:val="heading 8"/>
    <w:basedOn w:val="Normal"/>
    <w:next w:val="Normal"/>
    <w:link w:val="Heading8Char"/>
    <w:qFormat/>
    <w:rsid w:val="00DD4C0B"/>
    <w:pPr>
      <w:ind w:left="720"/>
      <w:outlineLvl w:val="7"/>
    </w:pPr>
    <w:rPr>
      <w:i/>
    </w:rPr>
  </w:style>
  <w:style w:type="paragraph" w:styleId="Heading9">
    <w:name w:val="heading 9"/>
    <w:basedOn w:val="Normal"/>
    <w:next w:val="Normal"/>
    <w:link w:val="Heading9Char"/>
    <w:qFormat/>
    <w:rsid w:val="00DD4C0B"/>
    <w:pPr>
      <w:ind w:left="720"/>
      <w:outlineLvl w:val="8"/>
    </w:pPr>
    <w:rPr>
      <w:i/>
    </w:rPr>
  </w:style>
  <w:style w:type="character" w:default="1" w:styleId="DefaultParagraphFont">
    <w:name w:val="Default Paragraph Font"/>
    <w:uiPriority w:val="1"/>
    <w:unhideWhenUsed/>
    <w:rsid w:val="00DD4C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C0B"/>
  </w:style>
  <w:style w:type="character" w:customStyle="1" w:styleId="Heading1Char">
    <w:name w:val="Heading 1 Char"/>
    <w:basedOn w:val="DefaultParagraphFont"/>
    <w:link w:val="Heading1"/>
    <w:rsid w:val="00DD4C0B"/>
    <w:rPr>
      <w:rFonts w:ascii="Times New Roman" w:eastAsia="Times New Roman" w:hAnsi="Times New Roman" w:cs="Times New Roman"/>
      <w:b/>
      <w:sz w:val="32"/>
      <w:szCs w:val="20"/>
      <w:lang w:eastAsia="en-US"/>
    </w:rPr>
  </w:style>
  <w:style w:type="paragraph" w:styleId="BodyText">
    <w:name w:val="Body Text"/>
    <w:basedOn w:val="Normal"/>
    <w:link w:val="BodyTextChar"/>
    <w:rsid w:val="00DD4C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4C0B"/>
    <w:rPr>
      <w:rFonts w:ascii="Times New Roman" w:eastAsia="Times New Roman" w:hAnsi="Times New Roman" w:cs="Times New Roman"/>
      <w:sz w:val="24"/>
      <w:lang w:val="en-US" w:eastAsia="en-US"/>
    </w:rPr>
  </w:style>
  <w:style w:type="paragraph" w:styleId="Footer">
    <w:name w:val="footer"/>
    <w:basedOn w:val="Normal"/>
    <w:link w:val="FooterChar"/>
    <w:rsid w:val="00DD4C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C0B"/>
    <w:rPr>
      <w:rFonts w:ascii="Times New Roman" w:eastAsia="Times New Roman" w:hAnsi="Times New Roman" w:cs="Times New Roman"/>
      <w:sz w:val="16"/>
      <w:lang w:val="en-US" w:eastAsia="en-US"/>
    </w:rPr>
  </w:style>
  <w:style w:type="paragraph" w:styleId="List">
    <w:name w:val="List"/>
    <w:basedOn w:val="BodyText"/>
    <w:next w:val="BodyText"/>
    <w:rsid w:val="00DD4C0B"/>
    <w:pPr>
      <w:tabs>
        <w:tab w:val="left" w:pos="340"/>
      </w:tabs>
      <w:spacing w:before="60" w:after="60"/>
      <w:ind w:left="340" w:hanging="340"/>
    </w:pPr>
  </w:style>
  <w:style w:type="paragraph" w:styleId="ListBullet">
    <w:name w:val="List Bullet"/>
    <w:basedOn w:val="List"/>
    <w:rsid w:val="00DD4C0B"/>
    <w:pPr>
      <w:numPr>
        <w:numId w:val="12"/>
      </w:numPr>
      <w:tabs>
        <w:tab w:val="clear" w:pos="340"/>
      </w:tabs>
      <w:spacing w:before="40" w:after="40"/>
    </w:pPr>
  </w:style>
  <w:style w:type="character" w:customStyle="1" w:styleId="SpecialBold">
    <w:name w:val="Special Bold"/>
    <w:basedOn w:val="DefaultParagraphFont"/>
    <w:rsid w:val="00DD4C0B"/>
    <w:rPr>
      <w:b/>
      <w:spacing w:val="0"/>
    </w:rPr>
  </w:style>
  <w:style w:type="paragraph" w:styleId="Header">
    <w:name w:val="header"/>
    <w:basedOn w:val="Normal"/>
    <w:link w:val="HeaderChar"/>
    <w:rsid w:val="00DD4C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C0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4C0B"/>
    <w:rPr>
      <w:i/>
    </w:rPr>
  </w:style>
  <w:style w:type="paragraph" w:customStyle="1" w:styleId="SuperHeading">
    <w:name w:val="SuperHeading"/>
    <w:basedOn w:val="Normal"/>
    <w:rsid w:val="00DD4C0B"/>
    <w:pPr>
      <w:spacing w:before="240" w:after="120"/>
      <w:outlineLvl w:val="0"/>
    </w:pPr>
    <w:rPr>
      <w:rFonts w:ascii="Times New Roman" w:hAnsi="Times New Roman"/>
      <w:b/>
      <w:sz w:val="28"/>
    </w:rPr>
  </w:style>
  <w:style w:type="paragraph" w:customStyle="1" w:styleId="AllowPageBreak">
    <w:name w:val="AllowPageBreak"/>
    <w:rsid w:val="00DD4C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C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C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C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C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C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C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4C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4C0B"/>
    <w:rPr>
      <w:rFonts w:ascii="Courier New" w:eastAsia="Times New Roman" w:hAnsi="Courier New" w:cs="Times New Roman"/>
      <w:i/>
      <w:szCs w:val="20"/>
      <w:lang w:val="en-US" w:eastAsia="en-US"/>
    </w:rPr>
  </w:style>
  <w:style w:type="paragraph" w:customStyle="1" w:styleId="HeadingBase">
    <w:name w:val="Heading Base"/>
    <w:rsid w:val="00DD4C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C0B"/>
    <w:pPr>
      <w:tabs>
        <w:tab w:val="right" w:leader="dot" w:pos="9072"/>
      </w:tabs>
      <w:ind w:left="567"/>
    </w:pPr>
    <w:rPr>
      <w:szCs w:val="22"/>
    </w:rPr>
  </w:style>
  <w:style w:type="paragraph" w:customStyle="1" w:styleId="TOCBase">
    <w:name w:val="TOC Base"/>
    <w:rsid w:val="00DD4C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C0B"/>
    <w:pPr>
      <w:tabs>
        <w:tab w:val="right" w:leader="dot" w:pos="9072"/>
      </w:tabs>
      <w:spacing w:before="40" w:after="40"/>
      <w:ind w:left="284"/>
    </w:pPr>
    <w:rPr>
      <w:rFonts w:ascii="Times New Roman" w:hAnsi="Times New Roman"/>
    </w:rPr>
  </w:style>
  <w:style w:type="paragraph" w:styleId="TOC1">
    <w:name w:val="toc 1"/>
    <w:basedOn w:val="TOCBase"/>
    <w:next w:val="Normal"/>
    <w:rsid w:val="00DD4C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4C0B"/>
    <w:pPr>
      <w:spacing w:before="5040"/>
      <w:jc w:val="center"/>
    </w:pPr>
    <w:rPr>
      <w:sz w:val="48"/>
      <w:szCs w:val="72"/>
      <w:lang w:val="en-US"/>
    </w:rPr>
  </w:style>
  <w:style w:type="character" w:customStyle="1" w:styleId="TitleChar">
    <w:name w:val="Title Char"/>
    <w:basedOn w:val="DefaultParagraphFont"/>
    <w:link w:val="Title"/>
    <w:rsid w:val="00DD4C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C0B"/>
    <w:pPr>
      <w:tabs>
        <w:tab w:val="left" w:pos="3600"/>
        <w:tab w:val="left" w:pos="3958"/>
      </w:tabs>
    </w:pPr>
  </w:style>
  <w:style w:type="paragraph" w:customStyle="1" w:styleId="Note">
    <w:name w:val="Note"/>
    <w:basedOn w:val="BodyText"/>
    <w:rsid w:val="00DD4C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C0B"/>
    <w:pPr>
      <w:framePr w:wrap="auto" w:hAnchor="text" w:y="6049"/>
    </w:pPr>
    <w:rPr>
      <w:color w:val="000000"/>
      <w:sz w:val="40"/>
    </w:rPr>
  </w:style>
  <w:style w:type="paragraph" w:customStyle="1" w:styleId="TOCTitle">
    <w:name w:val="TOCTitle"/>
    <w:basedOn w:val="Heading1"/>
    <w:rsid w:val="00DD4C0B"/>
    <w:pPr>
      <w:spacing w:after="240"/>
      <w:jc w:val="center"/>
      <w:outlineLvl w:val="9"/>
    </w:pPr>
    <w:rPr>
      <w:caps/>
    </w:rPr>
  </w:style>
  <w:style w:type="paragraph" w:customStyle="1" w:styleId="Version">
    <w:name w:val="Version"/>
    <w:rsid w:val="00DD4C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4C0B"/>
    <w:pPr>
      <w:numPr>
        <w:numId w:val="13"/>
      </w:numPr>
      <w:tabs>
        <w:tab w:val="clear" w:pos="680"/>
      </w:tabs>
    </w:pPr>
  </w:style>
  <w:style w:type="paragraph" w:styleId="Index1">
    <w:name w:val="index 1"/>
    <w:basedOn w:val="Normal"/>
    <w:next w:val="Normal"/>
    <w:semiHidden/>
    <w:rsid w:val="00DD4C0B"/>
    <w:pPr>
      <w:keepNext w:val="0"/>
      <w:tabs>
        <w:tab w:val="right" w:pos="4176"/>
      </w:tabs>
      <w:ind w:left="198" w:hanging="198"/>
    </w:pPr>
    <w:rPr>
      <w:rFonts w:ascii="Garamond" w:hAnsi="Garamond"/>
    </w:rPr>
  </w:style>
  <w:style w:type="paragraph" w:styleId="IndexHeading">
    <w:name w:val="index heading"/>
    <w:basedOn w:val="Normal"/>
    <w:next w:val="Index1"/>
    <w:semiHidden/>
    <w:rsid w:val="00DD4C0B"/>
    <w:pPr>
      <w:spacing w:before="120" w:after="120"/>
    </w:pPr>
    <w:rPr>
      <w:rFonts w:ascii="Arial" w:hAnsi="Arial"/>
      <w:b/>
      <w:color w:val="918585"/>
      <w:sz w:val="24"/>
    </w:rPr>
  </w:style>
  <w:style w:type="paragraph" w:customStyle="1" w:styleId="Chapter">
    <w:name w:val="Chapter"/>
    <w:basedOn w:val="Normal"/>
    <w:rsid w:val="00DD4C0B"/>
    <w:pPr>
      <w:spacing w:before="240"/>
    </w:pPr>
    <w:rPr>
      <w:rFonts w:ascii="Times New Roman" w:hAnsi="Times New Roman"/>
      <w:smallCaps/>
      <w:spacing w:val="80"/>
      <w:sz w:val="28"/>
    </w:rPr>
  </w:style>
  <w:style w:type="paragraph" w:customStyle="1" w:styleId="InChapter">
    <w:name w:val="InChapter"/>
    <w:basedOn w:val="Heading3"/>
    <w:rsid w:val="00DD4C0B"/>
    <w:pPr>
      <w:spacing w:after="240"/>
      <w:outlineLvl w:val="9"/>
    </w:pPr>
    <w:rPr>
      <w:noProof/>
    </w:rPr>
  </w:style>
  <w:style w:type="paragraph" w:styleId="Index2">
    <w:name w:val="index 2"/>
    <w:basedOn w:val="Normal"/>
    <w:next w:val="Normal"/>
    <w:semiHidden/>
    <w:rsid w:val="00DD4C0B"/>
    <w:pPr>
      <w:tabs>
        <w:tab w:val="right" w:pos="4176"/>
      </w:tabs>
      <w:ind w:left="568" w:hanging="284"/>
    </w:pPr>
    <w:rPr>
      <w:rFonts w:ascii="Garamond" w:hAnsi="Garamond"/>
    </w:rPr>
  </w:style>
  <w:style w:type="paragraph" w:customStyle="1" w:styleId="Byline">
    <w:name w:val="Byline"/>
    <w:rsid w:val="00DD4C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C0B"/>
    <w:pPr>
      <w:tabs>
        <w:tab w:val="clear" w:pos="3600"/>
        <w:tab w:val="clear" w:pos="3958"/>
      </w:tabs>
      <w:jc w:val="right"/>
    </w:pPr>
  </w:style>
  <w:style w:type="paragraph" w:styleId="Caption">
    <w:name w:val="caption"/>
    <w:basedOn w:val="BodyText"/>
    <w:next w:val="Normal"/>
    <w:qFormat/>
    <w:rsid w:val="00DD4C0B"/>
    <w:pPr>
      <w:framePr w:w="2268" w:hSpace="181" w:vSpace="181" w:wrap="around" w:vAnchor="text" w:hAnchor="page" w:x="1135" w:y="285" w:anchorLock="1"/>
    </w:pPr>
    <w:rPr>
      <w:i/>
    </w:rPr>
  </w:style>
  <w:style w:type="paragraph" w:customStyle="1" w:styleId="MiniTOCTitle">
    <w:name w:val="MiniTOCTitle"/>
    <w:basedOn w:val="Heading4"/>
    <w:rsid w:val="00DD4C0B"/>
    <w:pPr>
      <w:spacing w:before="240"/>
      <w:outlineLvl w:val="9"/>
    </w:pPr>
    <w:rPr>
      <w:noProof/>
      <w:sz w:val="24"/>
    </w:rPr>
  </w:style>
  <w:style w:type="paragraph" w:customStyle="1" w:styleId="MiniTOCItem">
    <w:name w:val="MiniTOCItem"/>
    <w:basedOn w:val="ListBullet"/>
    <w:rsid w:val="00DD4C0B"/>
    <w:pPr>
      <w:numPr>
        <w:numId w:val="0"/>
      </w:numPr>
      <w:tabs>
        <w:tab w:val="right" w:leader="dot" w:pos="6521"/>
      </w:tabs>
      <w:spacing w:before="0" w:after="0"/>
    </w:pPr>
  </w:style>
  <w:style w:type="paragraph" w:customStyle="1" w:styleId="TOFTitle">
    <w:name w:val="TOFTitle"/>
    <w:basedOn w:val="TOCTitle"/>
    <w:rsid w:val="00DD4C0B"/>
  </w:style>
  <w:style w:type="paragraph" w:styleId="TableofFigures">
    <w:name w:val="table of figures"/>
    <w:basedOn w:val="Normal"/>
    <w:next w:val="Normal"/>
    <w:semiHidden/>
    <w:rsid w:val="00DD4C0B"/>
    <w:pPr>
      <w:tabs>
        <w:tab w:val="right" w:leader="dot" w:pos="9072"/>
      </w:tabs>
      <w:ind w:left="970" w:hanging="403"/>
    </w:pPr>
    <w:rPr>
      <w:rFonts w:ascii="Times New Roman" w:hAnsi="Times New Roman"/>
      <w:b/>
    </w:rPr>
  </w:style>
  <w:style w:type="paragraph" w:styleId="ListNumber">
    <w:name w:val="List Number"/>
    <w:basedOn w:val="List"/>
    <w:rsid w:val="00DD4C0B"/>
    <w:pPr>
      <w:numPr>
        <w:numId w:val="10"/>
      </w:numPr>
    </w:pPr>
  </w:style>
  <w:style w:type="character" w:customStyle="1" w:styleId="WingdingSymbols">
    <w:name w:val="Wingding Symbols"/>
    <w:rsid w:val="00DD4C0B"/>
    <w:rPr>
      <w:rFonts w:ascii="Wingdings" w:hAnsi="Wingdings"/>
    </w:rPr>
  </w:style>
  <w:style w:type="paragraph" w:customStyle="1" w:styleId="TableHeading">
    <w:name w:val="Table Heading"/>
    <w:basedOn w:val="HeadingBase"/>
    <w:rsid w:val="00DD4C0B"/>
    <w:pPr>
      <w:keepLines/>
      <w:pBdr>
        <w:bottom w:val="single" w:sz="6" w:space="1" w:color="918585"/>
      </w:pBdr>
      <w:spacing w:before="240"/>
    </w:pPr>
  </w:style>
  <w:style w:type="character" w:customStyle="1" w:styleId="HotSpot">
    <w:name w:val="HotSpot"/>
    <w:rsid w:val="00DD4C0B"/>
    <w:rPr>
      <w:color w:val="0033CC"/>
      <w:u w:val="none"/>
    </w:rPr>
  </w:style>
  <w:style w:type="paragraph" w:customStyle="1" w:styleId="BodyTextRight">
    <w:name w:val="Body Text Right"/>
    <w:basedOn w:val="BodyText"/>
    <w:rsid w:val="00DD4C0B"/>
    <w:pPr>
      <w:spacing w:before="0" w:after="0"/>
      <w:jc w:val="right"/>
    </w:pPr>
  </w:style>
  <w:style w:type="paragraph" w:styleId="Index3">
    <w:name w:val="index 3"/>
    <w:basedOn w:val="ListNumber2"/>
    <w:next w:val="Normal"/>
    <w:semiHidden/>
    <w:rsid w:val="00DD4C0B"/>
    <w:pPr>
      <w:numPr>
        <w:numId w:val="0"/>
      </w:numPr>
      <w:tabs>
        <w:tab w:val="right" w:leader="dot" w:pos="4176"/>
      </w:tabs>
    </w:pPr>
  </w:style>
  <w:style w:type="paragraph" w:styleId="ListNumber2">
    <w:name w:val="List Number 2"/>
    <w:basedOn w:val="List2"/>
    <w:rsid w:val="00DD4C0B"/>
    <w:pPr>
      <w:numPr>
        <w:numId w:val="9"/>
      </w:numPr>
      <w:tabs>
        <w:tab w:val="clear" w:pos="1060"/>
      </w:tabs>
    </w:pPr>
  </w:style>
  <w:style w:type="paragraph" w:customStyle="1" w:styleId="MarginNote">
    <w:name w:val="Margin Note"/>
    <w:basedOn w:val="BodyText"/>
    <w:rsid w:val="00DD4C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C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C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4C0B"/>
    <w:rPr>
      <w:sz w:val="32"/>
    </w:rPr>
  </w:style>
  <w:style w:type="paragraph" w:customStyle="1" w:styleId="HeadingProcedure">
    <w:name w:val="Heading Procedure"/>
    <w:basedOn w:val="HeadingBase"/>
    <w:next w:val="Normal"/>
    <w:rsid w:val="00DD4C0B"/>
    <w:pPr>
      <w:tabs>
        <w:tab w:val="left" w:pos="0"/>
      </w:tabs>
      <w:spacing w:before="120" w:after="60"/>
    </w:pPr>
    <w:rPr>
      <w:i/>
      <w:color w:val="918585"/>
      <w:sz w:val="22"/>
    </w:rPr>
  </w:style>
  <w:style w:type="paragraph" w:customStyle="1" w:styleId="TableBodyText">
    <w:name w:val="Table Body Text"/>
    <w:basedOn w:val="BodyText"/>
    <w:rsid w:val="00DD4C0B"/>
    <w:pPr>
      <w:spacing w:before="60" w:after="60"/>
    </w:pPr>
  </w:style>
  <w:style w:type="paragraph" w:styleId="ListContinue">
    <w:name w:val="List Continue"/>
    <w:basedOn w:val="List"/>
    <w:rsid w:val="00DD4C0B"/>
    <w:pPr>
      <w:ind w:firstLine="0"/>
    </w:pPr>
  </w:style>
  <w:style w:type="paragraph" w:customStyle="1" w:styleId="ListNote">
    <w:name w:val="List Note"/>
    <w:basedOn w:val="List"/>
    <w:rsid w:val="00DD4C0B"/>
    <w:pPr>
      <w:pBdr>
        <w:top w:val="single" w:sz="6" w:space="2" w:color="918585"/>
        <w:bottom w:val="single" w:sz="6" w:space="2" w:color="918585"/>
      </w:pBdr>
      <w:tabs>
        <w:tab w:val="left" w:pos="1021"/>
      </w:tabs>
      <w:ind w:firstLine="0"/>
    </w:pPr>
  </w:style>
  <w:style w:type="paragraph" w:customStyle="1" w:styleId="Warning">
    <w:name w:val="Warning"/>
    <w:basedOn w:val="BodyText"/>
    <w:rsid w:val="00DD4C0B"/>
    <w:pPr>
      <w:shd w:val="clear" w:color="auto" w:fill="D9D9D9"/>
      <w:tabs>
        <w:tab w:val="left" w:pos="992"/>
      </w:tabs>
      <w:ind w:left="119" w:right="119"/>
    </w:pPr>
    <w:rPr>
      <w:sz w:val="20"/>
    </w:rPr>
  </w:style>
  <w:style w:type="paragraph" w:customStyle="1" w:styleId="MarginIcons">
    <w:name w:val="Margin Icons"/>
    <w:basedOn w:val="BodyText"/>
    <w:rsid w:val="00DD4C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C0B"/>
    <w:rPr>
      <w:rFonts w:ascii="Courier New" w:hAnsi="Courier New"/>
    </w:rPr>
  </w:style>
  <w:style w:type="paragraph" w:customStyle="1" w:styleId="NoteBullet">
    <w:name w:val="Note Bullet"/>
    <w:basedOn w:val="Note"/>
    <w:rsid w:val="00DD4C0B"/>
    <w:pPr>
      <w:tabs>
        <w:tab w:val="clear" w:pos="680"/>
      </w:tabs>
      <w:spacing w:before="60" w:after="60"/>
    </w:pPr>
  </w:style>
  <w:style w:type="paragraph" w:customStyle="1" w:styleId="SubHeading2">
    <w:name w:val="SubHeading2"/>
    <w:basedOn w:val="HeadingBase"/>
    <w:rsid w:val="00DD4C0B"/>
    <w:pPr>
      <w:spacing w:before="240" w:after="60"/>
    </w:pPr>
    <w:rPr>
      <w:sz w:val="20"/>
    </w:rPr>
  </w:style>
  <w:style w:type="paragraph" w:customStyle="1" w:styleId="SubHeading1">
    <w:name w:val="SubHeading1"/>
    <w:basedOn w:val="HeadingBase"/>
    <w:rsid w:val="00DD4C0B"/>
    <w:pPr>
      <w:spacing w:before="240" w:after="60"/>
    </w:pPr>
    <w:rPr>
      <w:color w:val="918585"/>
      <w:sz w:val="22"/>
    </w:rPr>
  </w:style>
  <w:style w:type="paragraph" w:customStyle="1" w:styleId="SideHeading">
    <w:name w:val="Side Heading"/>
    <w:basedOn w:val="HeadingBase"/>
    <w:rsid w:val="00DD4C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C0B"/>
    <w:pPr>
      <w:tabs>
        <w:tab w:val="num" w:pos="360"/>
      </w:tabs>
    </w:pPr>
  </w:style>
  <w:style w:type="paragraph" w:styleId="PlainText">
    <w:name w:val="Plain Text"/>
    <w:basedOn w:val="Normal"/>
    <w:link w:val="PlainTextChar"/>
    <w:rsid w:val="00DD4C0B"/>
    <w:rPr>
      <w:sz w:val="20"/>
    </w:rPr>
  </w:style>
  <w:style w:type="character" w:customStyle="1" w:styleId="PlainTextChar">
    <w:name w:val="Plain Text Char"/>
    <w:basedOn w:val="DefaultParagraphFont"/>
    <w:link w:val="PlainText"/>
    <w:rsid w:val="00DD4C0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4C0B"/>
    <w:rPr>
      <w:b/>
      <w:smallCaps/>
    </w:rPr>
  </w:style>
  <w:style w:type="paragraph" w:customStyle="1" w:styleId="TableListNumber">
    <w:name w:val="Table List Number"/>
    <w:basedOn w:val="ListNumber"/>
    <w:rsid w:val="00DD4C0B"/>
    <w:pPr>
      <w:numPr>
        <w:numId w:val="0"/>
      </w:numPr>
    </w:pPr>
  </w:style>
  <w:style w:type="paragraph" w:styleId="TOC4">
    <w:name w:val="toc 4"/>
    <w:basedOn w:val="TOCBase"/>
    <w:next w:val="Normal"/>
    <w:semiHidden/>
    <w:rsid w:val="00DD4C0B"/>
    <w:pPr>
      <w:tabs>
        <w:tab w:val="right" w:leader="dot" w:pos="9071"/>
      </w:tabs>
      <w:ind w:left="1701"/>
    </w:pPr>
  </w:style>
  <w:style w:type="paragraph" w:customStyle="1" w:styleId="ListAlpha">
    <w:name w:val="List Alpha"/>
    <w:basedOn w:val="List"/>
    <w:rsid w:val="00DD4C0B"/>
    <w:pPr>
      <w:numPr>
        <w:numId w:val="8"/>
      </w:numPr>
    </w:pPr>
  </w:style>
  <w:style w:type="paragraph" w:customStyle="1" w:styleId="ListAlpha2">
    <w:name w:val="List Alpha 2"/>
    <w:basedOn w:val="List2"/>
    <w:rsid w:val="00DD4C0B"/>
    <w:pPr>
      <w:numPr>
        <w:numId w:val="7"/>
      </w:numPr>
    </w:pPr>
  </w:style>
  <w:style w:type="paragraph" w:styleId="List2">
    <w:name w:val="List 2"/>
    <w:basedOn w:val="BodyText"/>
    <w:rsid w:val="00DD4C0B"/>
    <w:pPr>
      <w:tabs>
        <w:tab w:val="left" w:pos="680"/>
      </w:tabs>
      <w:spacing w:before="60" w:after="60"/>
      <w:ind w:left="680" w:hanging="340"/>
    </w:pPr>
  </w:style>
  <w:style w:type="paragraph" w:styleId="List3">
    <w:name w:val="List 3"/>
    <w:basedOn w:val="BodyText"/>
    <w:rsid w:val="00DD4C0B"/>
    <w:pPr>
      <w:tabs>
        <w:tab w:val="left" w:pos="1021"/>
      </w:tabs>
      <w:spacing w:before="60" w:after="60"/>
      <w:ind w:left="1020" w:hanging="340"/>
    </w:pPr>
  </w:style>
  <w:style w:type="paragraph" w:styleId="List4">
    <w:name w:val="List 4"/>
    <w:basedOn w:val="BodyText"/>
    <w:rsid w:val="00DD4C0B"/>
    <w:pPr>
      <w:tabs>
        <w:tab w:val="left" w:pos="1361"/>
      </w:tabs>
      <w:spacing w:before="60" w:after="60"/>
      <w:ind w:left="1361" w:hanging="340"/>
    </w:pPr>
  </w:style>
  <w:style w:type="paragraph" w:styleId="List5">
    <w:name w:val="List 5"/>
    <w:basedOn w:val="BodyText"/>
    <w:rsid w:val="00DD4C0B"/>
    <w:pPr>
      <w:tabs>
        <w:tab w:val="left" w:pos="1701"/>
      </w:tabs>
      <w:spacing w:before="60" w:after="60"/>
      <w:ind w:left="1701" w:hanging="340"/>
    </w:pPr>
  </w:style>
  <w:style w:type="paragraph" w:styleId="ListBullet3">
    <w:name w:val="List Bullet 3"/>
    <w:basedOn w:val="List3"/>
    <w:rsid w:val="00DD4C0B"/>
    <w:pPr>
      <w:numPr>
        <w:numId w:val="14"/>
      </w:numPr>
      <w:tabs>
        <w:tab w:val="clear" w:pos="1021"/>
      </w:tabs>
      <w:ind w:left="1037" w:hanging="357"/>
    </w:pPr>
  </w:style>
  <w:style w:type="paragraph" w:styleId="ListBullet4">
    <w:name w:val="List Bullet 4"/>
    <w:basedOn w:val="List4"/>
    <w:rsid w:val="00DD4C0B"/>
    <w:pPr>
      <w:numPr>
        <w:numId w:val="2"/>
      </w:numPr>
    </w:pPr>
  </w:style>
  <w:style w:type="paragraph" w:styleId="ListBullet5">
    <w:name w:val="List Bullet 5"/>
    <w:basedOn w:val="List5"/>
    <w:rsid w:val="00DD4C0B"/>
    <w:pPr>
      <w:numPr>
        <w:numId w:val="3"/>
      </w:numPr>
    </w:pPr>
  </w:style>
  <w:style w:type="paragraph" w:styleId="ListContinue2">
    <w:name w:val="List Continue 2"/>
    <w:basedOn w:val="List2"/>
    <w:rsid w:val="00DD4C0B"/>
    <w:pPr>
      <w:ind w:firstLine="0"/>
    </w:pPr>
  </w:style>
  <w:style w:type="paragraph" w:styleId="ListContinue3">
    <w:name w:val="List Continue 3"/>
    <w:basedOn w:val="List3"/>
    <w:rsid w:val="00DD4C0B"/>
    <w:pPr>
      <w:ind w:left="1021" w:firstLine="0"/>
    </w:pPr>
  </w:style>
  <w:style w:type="paragraph" w:styleId="ListContinue4">
    <w:name w:val="List Continue 4"/>
    <w:basedOn w:val="List4"/>
    <w:rsid w:val="00DD4C0B"/>
    <w:pPr>
      <w:ind w:firstLine="0"/>
    </w:pPr>
  </w:style>
  <w:style w:type="paragraph" w:styleId="ListContinue5">
    <w:name w:val="List Continue 5"/>
    <w:basedOn w:val="List5"/>
    <w:rsid w:val="00DD4C0B"/>
    <w:pPr>
      <w:ind w:firstLine="0"/>
    </w:pPr>
  </w:style>
  <w:style w:type="paragraph" w:styleId="ListNumber3">
    <w:name w:val="List Number 3"/>
    <w:basedOn w:val="List3"/>
    <w:rsid w:val="00DD4C0B"/>
    <w:pPr>
      <w:numPr>
        <w:numId w:val="4"/>
      </w:numPr>
    </w:pPr>
  </w:style>
  <w:style w:type="paragraph" w:styleId="ListNumber4">
    <w:name w:val="List Number 4"/>
    <w:basedOn w:val="List4"/>
    <w:rsid w:val="00DD4C0B"/>
    <w:pPr>
      <w:numPr>
        <w:numId w:val="5"/>
      </w:numPr>
    </w:pPr>
  </w:style>
  <w:style w:type="paragraph" w:styleId="ListNumber5">
    <w:name w:val="List Number 5"/>
    <w:basedOn w:val="List5"/>
    <w:rsid w:val="00DD4C0B"/>
    <w:pPr>
      <w:numPr>
        <w:numId w:val="6"/>
      </w:numPr>
    </w:pPr>
  </w:style>
  <w:style w:type="paragraph" w:styleId="BlockText">
    <w:name w:val="Block Text"/>
    <w:basedOn w:val="Normal"/>
    <w:rsid w:val="00DD4C0B"/>
    <w:pPr>
      <w:spacing w:after="120"/>
      <w:ind w:left="1440" w:right="1440"/>
    </w:pPr>
  </w:style>
  <w:style w:type="character" w:customStyle="1" w:styleId="Subscript">
    <w:name w:val="Subscript"/>
    <w:basedOn w:val="DefaultParagraphFont"/>
    <w:rsid w:val="00DD4C0B"/>
    <w:rPr>
      <w:sz w:val="16"/>
      <w:vertAlign w:val="subscript"/>
    </w:rPr>
  </w:style>
  <w:style w:type="character" w:customStyle="1" w:styleId="Superscript">
    <w:name w:val="Superscript"/>
    <w:basedOn w:val="DefaultParagraphFont"/>
    <w:rsid w:val="00DD4C0B"/>
    <w:rPr>
      <w:sz w:val="16"/>
      <w:vertAlign w:val="superscript"/>
    </w:rPr>
  </w:style>
  <w:style w:type="character" w:customStyle="1" w:styleId="Symbols">
    <w:name w:val="Symbols"/>
    <w:basedOn w:val="DefaultParagraphFont"/>
    <w:rsid w:val="00DD4C0B"/>
    <w:rPr>
      <w:rFonts w:ascii="Symbol" w:hAnsi="Symbol"/>
    </w:rPr>
  </w:style>
  <w:style w:type="character" w:customStyle="1" w:styleId="MenuOptions">
    <w:name w:val="Menu Options"/>
    <w:basedOn w:val="DefaultParagraphFont"/>
    <w:rsid w:val="00DD4C0B"/>
    <w:rPr>
      <w:rFonts w:ascii="Arial Narrow" w:hAnsi="Arial Narrow"/>
      <w:smallCaps/>
    </w:rPr>
  </w:style>
  <w:style w:type="character" w:customStyle="1" w:styleId="Buttons">
    <w:name w:val="Buttons"/>
    <w:basedOn w:val="DefaultParagraphFont"/>
    <w:rsid w:val="00DD4C0B"/>
    <w:rPr>
      <w:b/>
    </w:rPr>
  </w:style>
  <w:style w:type="character" w:customStyle="1" w:styleId="Underlined">
    <w:name w:val="Underlined"/>
    <w:basedOn w:val="DefaultParagraphFont"/>
    <w:rsid w:val="00DD4C0B"/>
    <w:rPr>
      <w:u w:val="single"/>
    </w:rPr>
  </w:style>
  <w:style w:type="paragraph" w:customStyle="1" w:styleId="TableBodyTextRight">
    <w:name w:val="Table Body Text Right"/>
    <w:basedOn w:val="TableBodyText"/>
    <w:rsid w:val="00DD4C0B"/>
    <w:pPr>
      <w:widowControl w:val="0"/>
      <w:autoSpaceDE w:val="0"/>
      <w:autoSpaceDN w:val="0"/>
      <w:adjustRightInd w:val="0"/>
      <w:jc w:val="right"/>
    </w:pPr>
    <w:rPr>
      <w:rFonts w:cs="Arial"/>
      <w:szCs w:val="18"/>
    </w:rPr>
  </w:style>
  <w:style w:type="paragraph" w:customStyle="1" w:styleId="CopyrightText">
    <w:name w:val="Copyright Text"/>
    <w:basedOn w:val="BodyText"/>
    <w:rsid w:val="00DD4C0B"/>
    <w:rPr>
      <w:sz w:val="18"/>
    </w:rPr>
  </w:style>
  <w:style w:type="paragraph" w:customStyle="1" w:styleId="BodySmallRight">
    <w:name w:val="Body Small Right"/>
    <w:basedOn w:val="BodyTextRight"/>
    <w:rsid w:val="00DD4C0B"/>
    <w:rPr>
      <w:sz w:val="18"/>
      <w:szCs w:val="18"/>
    </w:rPr>
  </w:style>
  <w:style w:type="paragraph" w:customStyle="1" w:styleId="MarginEdition">
    <w:name w:val="Margin Edition"/>
    <w:basedOn w:val="MarginNote"/>
    <w:rsid w:val="00DD4C0B"/>
    <w:pPr>
      <w:spacing w:before="0" w:after="0"/>
    </w:pPr>
    <w:rPr>
      <w:rFonts w:ascii="Times New Roman" w:hAnsi="Times New Roman"/>
      <w:color w:val="999999"/>
    </w:rPr>
  </w:style>
  <w:style w:type="paragraph" w:customStyle="1" w:styleId="Spacer">
    <w:name w:val="Spacer"/>
    <w:basedOn w:val="Normal"/>
    <w:rsid w:val="00DD4C0B"/>
    <w:rPr>
      <w:sz w:val="2"/>
      <w:szCs w:val="2"/>
    </w:rPr>
  </w:style>
  <w:style w:type="character" w:customStyle="1" w:styleId="Small">
    <w:name w:val="Small"/>
    <w:basedOn w:val="DefaultParagraphFont"/>
    <w:rsid w:val="00DD4C0B"/>
    <w:rPr>
      <w:sz w:val="16"/>
    </w:rPr>
  </w:style>
  <w:style w:type="paragraph" w:customStyle="1" w:styleId="WideTable">
    <w:name w:val="Wide Table"/>
    <w:basedOn w:val="Normal"/>
    <w:rsid w:val="00DD4C0B"/>
    <w:pPr>
      <w:ind w:left="-1418"/>
    </w:pPr>
    <w:rPr>
      <w:sz w:val="2"/>
      <w:szCs w:val="2"/>
    </w:rPr>
  </w:style>
  <w:style w:type="character" w:styleId="PageNumber">
    <w:name w:val="page number"/>
    <w:basedOn w:val="DefaultParagraphFont"/>
    <w:rsid w:val="00DD4C0B"/>
  </w:style>
  <w:style w:type="paragraph" w:styleId="Quote">
    <w:name w:val="Quote"/>
    <w:basedOn w:val="Heading1"/>
    <w:link w:val="QuoteChar"/>
    <w:qFormat/>
    <w:rsid w:val="00DD4C0B"/>
    <w:rPr>
      <w:b w:val="0"/>
      <w:sz w:val="72"/>
      <w:szCs w:val="72"/>
      <w:lang w:val="en-NZ"/>
    </w:rPr>
  </w:style>
  <w:style w:type="character" w:customStyle="1" w:styleId="QuoteChar">
    <w:name w:val="Quote Char"/>
    <w:basedOn w:val="DefaultParagraphFont"/>
    <w:link w:val="Quote"/>
    <w:rsid w:val="00DD4C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C0B"/>
    <w:pPr>
      <w:pageBreakBefore/>
    </w:pPr>
  </w:style>
  <w:style w:type="paragraph" w:customStyle="1" w:styleId="Border">
    <w:name w:val="Border"/>
    <w:basedOn w:val="Normal"/>
    <w:qFormat/>
    <w:rsid w:val="00DD4C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C0B"/>
    <w:rPr>
      <w:b/>
      <w:bCs/>
      <w:i/>
      <w:iCs/>
      <w:color w:val="auto"/>
    </w:rPr>
  </w:style>
  <w:style w:type="paragraph" w:styleId="IntenseQuote">
    <w:name w:val="Intense Quote"/>
    <w:basedOn w:val="Normal"/>
    <w:next w:val="Normal"/>
    <w:link w:val="IntenseQuoteChar"/>
    <w:uiPriority w:val="30"/>
    <w:qFormat/>
    <w:rsid w:val="00DD4C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C0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4C0B"/>
    <w:rPr>
      <w:smallCaps/>
      <w:color w:val="auto"/>
      <w:u w:val="single"/>
    </w:rPr>
  </w:style>
  <w:style w:type="character" w:styleId="IntenseReference">
    <w:name w:val="Intense Reference"/>
    <w:basedOn w:val="DefaultParagraphFont"/>
    <w:uiPriority w:val="32"/>
    <w:qFormat/>
    <w:rsid w:val="00DD4C0B"/>
    <w:rPr>
      <w:b/>
      <w:bCs/>
      <w:smallCaps/>
      <w:color w:val="auto"/>
      <w:spacing w:val="5"/>
      <w:u w:val="single"/>
    </w:rPr>
  </w:style>
  <w:style w:type="paragraph" w:customStyle="1" w:styleId="2ColumnHeading">
    <w:name w:val="2Column Heading"/>
    <w:basedOn w:val="BodyText"/>
    <w:qFormat/>
    <w:rsid w:val="00DD4C0B"/>
    <w:pPr>
      <w:spacing w:after="60"/>
      <w:ind w:left="-2268"/>
    </w:pPr>
    <w:rPr>
      <w:b/>
    </w:rPr>
  </w:style>
  <w:style w:type="paragraph" w:customStyle="1" w:styleId="Heading1TOC">
    <w:name w:val="Heading1 TOC"/>
    <w:basedOn w:val="Normal"/>
    <w:qFormat/>
    <w:rsid w:val="00DD4C0B"/>
    <w:pPr>
      <w:spacing w:before="240" w:after="120"/>
    </w:pPr>
    <w:rPr>
      <w:rFonts w:ascii="Times New Roman" w:hAnsi="Times New Roman"/>
      <w:b/>
      <w:sz w:val="32"/>
    </w:rPr>
  </w:style>
  <w:style w:type="paragraph" w:customStyle="1" w:styleId="Heading2TOC">
    <w:name w:val="Heading2 TOC"/>
    <w:basedOn w:val="Normal"/>
    <w:qFormat/>
    <w:rsid w:val="00DD4C0B"/>
    <w:pPr>
      <w:spacing w:before="240" w:after="60"/>
    </w:pPr>
    <w:rPr>
      <w:rFonts w:ascii="Times New Roman" w:hAnsi="Times New Roman"/>
      <w:b/>
      <w:sz w:val="28"/>
    </w:rPr>
  </w:style>
  <w:style w:type="character" w:customStyle="1" w:styleId="Underline">
    <w:name w:val="Underline"/>
    <w:basedOn w:val="DefaultParagraphFont"/>
    <w:qFormat/>
    <w:rsid w:val="00DD4C0B"/>
    <w:rPr>
      <w:u w:val="single"/>
    </w:rPr>
  </w:style>
  <w:style w:type="character" w:customStyle="1" w:styleId="BoldandItalics">
    <w:name w:val="Bold and Italics"/>
    <w:qFormat/>
    <w:rsid w:val="00DD4C0B"/>
    <w:rPr>
      <w:b/>
      <w:i/>
      <w:u w:val="none"/>
    </w:rPr>
  </w:style>
  <w:style w:type="paragraph" w:styleId="BalloonText">
    <w:name w:val="Balloon Text"/>
    <w:basedOn w:val="Normal"/>
    <w:link w:val="BalloonTextChar"/>
    <w:rsid w:val="00DD4C0B"/>
    <w:rPr>
      <w:rFonts w:ascii="Tahoma" w:hAnsi="Tahoma" w:cs="Tahoma"/>
      <w:sz w:val="16"/>
      <w:szCs w:val="16"/>
    </w:rPr>
  </w:style>
  <w:style w:type="character" w:customStyle="1" w:styleId="BalloonTextChar">
    <w:name w:val="Balloon Text Char"/>
    <w:basedOn w:val="DefaultParagraphFont"/>
    <w:link w:val="BalloonText"/>
    <w:rsid w:val="00DD4C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4C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4C0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1554</Words>
  <Characters>9105</Characters>
  <Application>Microsoft Office Word</Application>
  <DocSecurity>0</DocSecurity>
  <Lines>226</Lines>
  <Paragraphs>142</Paragraphs>
  <ScaleCrop>false</ScaleCrop>
  <Company>Author-it Software Corporation Ltd.</Company>
  <LinksUpToDate>false</LinksUpToDate>
  <CharactersWithSpaces>10590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MSAPMOHS205A Control minor incidents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2012-05-26T03:57:00Z</dcterms:created>
  <dcterms:modified xsi:type="dcterms:W3CDTF">2012-05-26T03:57:00Z</dcterms:modified>
</cp:coreProperties>
</file>