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71BB" w:rsidP="00EC71BB">
      <w:pPr>
        <w:pStyle w:val="Title"/>
      </w:pPr>
      <w:r>
        <w:fldChar w:fldCharType="begin"/>
      </w:r>
      <w:r>
        <w:instrText xml:space="preserve"> TITLE   \* MERGEFORMAT </w:instrText>
      </w:r>
      <w:r>
        <w:fldChar w:fldCharType="separate"/>
      </w:r>
      <w:r>
        <w:t>MSACMT632A Analyse cost implications of maintenance strategy</w:t>
      </w:r>
      <w:r>
        <w:fldChar w:fldCharType="end"/>
      </w:r>
    </w:p>
    <w:p w:rsidR="00EC71BB" w:rsidP="00EC71BB">
      <w:pPr>
        <w:pStyle w:val="Version"/>
        <w:sectPr w:rsidSect="005253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25377" w:rsidP="00525377">
      <w:pPr>
        <w:pStyle w:val="SuperHeading"/>
      </w:pPr>
      <w:r w:rsidRPr="00525377">
        <w:t>MSACMT632A Analyse cost implications of maintenance strategy</w:t>
      </w:r>
    </w:p>
    <w:p w:rsidR="00000000" w:rsidRPr="00525377" w:rsidP="00525377">
      <w:pPr>
        <w:pStyle w:val="SuperHeading"/>
      </w:pPr>
    </w:p>
    <w:p w:rsidR="00000000" w:rsidRPr="00525377" w:rsidP="00525377">
      <w:pPr>
        <w:pStyle w:val="Heading1"/>
      </w:pPr>
      <w:bookmarkStart w:id="1" w:name="O_100815"/>
      <w:bookmarkEnd w:id="1"/>
      <w:r w:rsidRPr="00525377">
        <w:t>Modification History</w:t>
      </w:r>
    </w:p>
    <w:p w:rsidR="00000000" w:rsidRPr="00525377" w:rsidP="00525377">
      <w:pPr>
        <w:pStyle w:val="BodyText"/>
      </w:pPr>
      <w:r w:rsidRPr="00525377">
        <w:t>Not applicable.</w:t>
      </w:r>
    </w:p>
    <w:p w:rsidR="00000000" w:rsidRPr="00525377" w:rsidP="00525377">
      <w:pPr>
        <w:pStyle w:val="AllowPageBreak"/>
      </w:pPr>
    </w:p>
    <w:p w:rsidR="00000000" w:rsidRPr="00525377" w:rsidP="00525377">
      <w:pPr>
        <w:pStyle w:val="Heading1"/>
      </w:pPr>
      <w:bookmarkStart w:id="2" w:name="O_100816"/>
      <w:bookmarkEnd w:id="2"/>
      <w:r w:rsidRPr="00525377">
        <w:t>Unit Descriptor</w:t>
      </w:r>
    </w:p>
    <w:tbl>
      <w:tblPr>
        <w:tblW w:w="0" w:type="auto"/>
        <w:tblLayout w:type="fixed"/>
        <w:tblCellMar>
          <w:left w:w="62" w:type="dxa"/>
          <w:right w:w="62" w:type="dxa"/>
        </w:tblCellMar>
        <w:tblLook w:val="0000"/>
      </w:tblPr>
      <w:tblGrid>
        <w:gridCol w:w="2937"/>
        <w:gridCol w:w="5585"/>
      </w:tblGrid>
      <w:tr w:rsidTr="00EC71BB">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377">
            <w:pPr>
              <w:pStyle w:val="BodyText"/>
              <w:rPr>
                <w:lang w:val="en-NZ"/>
              </w:rPr>
            </w:pPr>
            <w:r w:rsidRPr="00525377">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377" w:rsidP="00525377">
            <w:pPr>
              <w:pStyle w:val="BodyText"/>
            </w:pPr>
            <w:r w:rsidRPr="00525377">
              <w:t>This unit covers the knowledge and skills needed to analyse the cost implications of diff</w:t>
            </w:r>
            <w:r w:rsidRPr="00525377">
              <w:t>erent maintenance strategies and to adjust adopt the strategy to minimise or eliminate unnecessary costs.</w:t>
            </w:r>
          </w:p>
        </w:tc>
      </w:tr>
    </w:tbl>
    <w:p w:rsidR="00000000" w:rsidRPr="00525377" w:rsidP="00525377">
      <w:pPr>
        <w:pStyle w:val="BodyText"/>
      </w:pPr>
    </w:p>
    <w:p w:rsidR="00000000" w:rsidRPr="00525377" w:rsidP="00525377">
      <w:pPr>
        <w:pStyle w:val="AllowPageBreak"/>
      </w:pPr>
    </w:p>
    <w:p w:rsidR="00000000" w:rsidRPr="00525377" w:rsidP="00525377">
      <w:pPr>
        <w:pStyle w:val="Heading1"/>
      </w:pPr>
      <w:bookmarkStart w:id="3" w:name="O_100817"/>
      <w:bookmarkEnd w:id="3"/>
      <w:r w:rsidRPr="00525377">
        <w:t>Application of the Unit</w:t>
      </w:r>
    </w:p>
    <w:tbl>
      <w:tblPr>
        <w:tblW w:w="0" w:type="auto"/>
        <w:tblLayout w:type="fixed"/>
        <w:tblCellMar>
          <w:left w:w="62" w:type="dxa"/>
          <w:right w:w="62" w:type="dxa"/>
        </w:tblCellMar>
        <w:tblLook w:val="0000"/>
      </w:tblPr>
      <w:tblGrid>
        <w:gridCol w:w="2937"/>
        <w:gridCol w:w="5585"/>
      </w:tblGrid>
      <w:tr w:rsidTr="00EC71BB">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377">
            <w:pPr>
              <w:pStyle w:val="BodyText"/>
              <w:rPr>
                <w:lang w:val="en-NZ"/>
              </w:rPr>
            </w:pPr>
            <w:r w:rsidRPr="00525377">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377" w:rsidP="00525377">
            <w:pPr>
              <w:pStyle w:val="BodyText"/>
            </w:pPr>
            <w:r w:rsidRPr="00525377">
              <w:t>In a typical scenario, an org</w:t>
            </w:r>
            <w:r w:rsidRPr="00525377">
              <w:t xml:space="preserve">anisation is selecting or reviewing its proactive maintenance strategy. While technical factors are significant in the choice of maintenance strategy and tools, cost factors will also impact on the selection of a maintenance strategy. This unit covers the </w:t>
            </w:r>
            <w:r w:rsidRPr="00525377">
              <w:t xml:space="preserve">cost analysis of maintenance strategies and complements the technical analysis covered in </w:t>
            </w:r>
            <w:r w:rsidRPr="00525377">
              <w:rPr>
                <w:rStyle w:val="Emphasis"/>
              </w:rPr>
              <w:t>MSACMT681A Develop a proactive maintenance strategy</w:t>
            </w:r>
            <w:r w:rsidRPr="00525377">
              <w:t>. The technical analysis may be performed by the same or a different person to the person under</w:t>
            </w:r>
            <w:r w:rsidRPr="00525377">
              <w:t xml:space="preserve">taking the cost analysis. </w:t>
            </w:r>
          </w:p>
          <w:p w:rsidR="00000000" w:rsidRPr="00525377" w:rsidP="00525377">
            <w:pPr>
              <w:pStyle w:val="BodyText"/>
            </w:pPr>
            <w:r w:rsidRPr="00525377">
              <w:t xml:space="preserve">This unit primarily requires the application of skills associated with communication in gathering, analysing and applying costing information and consulting with maintenance personnel. Problem solving, initiative and enterprise, </w:t>
            </w:r>
            <w:r w:rsidRPr="00525377">
              <w:t xml:space="preserve">and planning and organising are required to analyse and estimate the cost of maintenance strategies. </w:t>
            </w:r>
          </w:p>
        </w:tc>
      </w:tr>
    </w:tbl>
    <w:p w:rsidR="00000000" w:rsidRPr="00525377" w:rsidP="00525377">
      <w:pPr>
        <w:pStyle w:val="BodyText"/>
      </w:pPr>
    </w:p>
    <w:p w:rsidR="00000000" w:rsidRPr="00525377" w:rsidP="00525377">
      <w:pPr>
        <w:pStyle w:val="AllowPageBreak"/>
      </w:pPr>
    </w:p>
    <w:p w:rsidR="00000000" w:rsidRPr="00525377" w:rsidP="00525377">
      <w:pPr>
        <w:pStyle w:val="Heading1"/>
      </w:pPr>
      <w:bookmarkStart w:id="4" w:name="O_100818"/>
      <w:bookmarkEnd w:id="4"/>
      <w:r w:rsidRPr="00525377">
        <w:t>Licensing/Regulatory Information</w:t>
      </w:r>
    </w:p>
    <w:p w:rsidR="00000000" w:rsidRPr="00525377" w:rsidP="00525377">
      <w:pPr>
        <w:pStyle w:val="BodyText"/>
      </w:pPr>
      <w:r w:rsidRPr="00525377">
        <w:t>Not applicable.</w:t>
      </w:r>
    </w:p>
    <w:p w:rsidR="00000000" w:rsidRPr="00525377" w:rsidP="00525377">
      <w:pPr>
        <w:pStyle w:val="AllowPageBreak"/>
      </w:pPr>
    </w:p>
    <w:p w:rsidR="00000000" w:rsidRPr="00525377" w:rsidP="00525377">
      <w:pPr>
        <w:pStyle w:val="Heading1"/>
      </w:pPr>
      <w:bookmarkStart w:id="5" w:name="O_100820"/>
      <w:bookmarkEnd w:id="5"/>
      <w:r w:rsidRPr="00525377">
        <w:t>Pre-Requisites</w:t>
      </w:r>
    </w:p>
    <w:tbl>
      <w:tblPr>
        <w:tblW w:w="0" w:type="auto"/>
        <w:tblLayout w:type="fixed"/>
        <w:tblCellMar>
          <w:left w:w="62" w:type="dxa"/>
          <w:right w:w="62" w:type="dxa"/>
        </w:tblCellMar>
        <w:tblLook w:val="0000"/>
      </w:tblPr>
      <w:tblGrid>
        <w:gridCol w:w="2937"/>
        <w:gridCol w:w="5585"/>
      </w:tblGrid>
      <w:tr w:rsidTr="00EC71BB">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377">
            <w:pPr>
              <w:pStyle w:val="BodyText"/>
              <w:rPr>
                <w:lang w:val="en-NZ"/>
              </w:rPr>
            </w:pPr>
            <w:r w:rsidRPr="00525377">
              <w:rPr>
                <w:rStyle w:val="SpecialBold"/>
              </w:rPr>
              <w:t>Prerequisite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377" w:rsidP="00525377">
            <w:pPr>
              <w:pStyle w:val="BodyText"/>
            </w:pPr>
          </w:p>
        </w:tc>
      </w:tr>
    </w:tbl>
    <w:p w:rsidR="00000000" w:rsidRPr="00525377" w:rsidP="00525377">
      <w:pPr>
        <w:pStyle w:val="BodyText"/>
      </w:pPr>
    </w:p>
    <w:p w:rsidR="00000000" w:rsidRPr="00525377" w:rsidP="00525377">
      <w:pPr>
        <w:pStyle w:val="AllowPageBreak"/>
      </w:pPr>
    </w:p>
    <w:p w:rsidR="00000000" w:rsidRPr="00525377" w:rsidP="00525377">
      <w:pPr>
        <w:pStyle w:val="Heading1"/>
      </w:pPr>
      <w:bookmarkStart w:id="6" w:name="O_100819"/>
      <w:bookmarkEnd w:id="6"/>
      <w:r w:rsidRPr="00525377">
        <w:t>Employability Skills Information</w:t>
      </w:r>
    </w:p>
    <w:tbl>
      <w:tblPr>
        <w:tblW w:w="0" w:type="auto"/>
        <w:tblLayout w:type="fixed"/>
        <w:tblCellMar>
          <w:left w:w="62" w:type="dxa"/>
          <w:right w:w="62" w:type="dxa"/>
        </w:tblCellMar>
        <w:tblLook w:val="0000"/>
      </w:tblPr>
      <w:tblGrid>
        <w:gridCol w:w="2937"/>
        <w:gridCol w:w="5585"/>
      </w:tblGrid>
      <w:tr w:rsidTr="00EC71BB">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377">
            <w:pPr>
              <w:pStyle w:val="BodyText"/>
              <w:rPr>
                <w:lang w:val="en-NZ"/>
              </w:rPr>
            </w:pPr>
            <w:r w:rsidRPr="00525377">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377" w:rsidP="00525377">
            <w:pPr>
              <w:pStyle w:val="BodyText"/>
            </w:pPr>
            <w:r w:rsidRPr="00525377">
              <w:t>This unit contains employability skills.</w:t>
            </w:r>
          </w:p>
        </w:tc>
      </w:tr>
    </w:tbl>
    <w:p w:rsidR="00000000" w:rsidRPr="00525377" w:rsidP="00525377">
      <w:pPr>
        <w:pStyle w:val="BodyText"/>
      </w:pPr>
    </w:p>
    <w:p w:rsidR="00000000" w:rsidRPr="00525377" w:rsidP="00525377">
      <w:pPr>
        <w:pStyle w:val="AllowPageBreak"/>
      </w:pPr>
    </w:p>
    <w:p w:rsidR="00000000" w:rsidRPr="00525377" w:rsidP="00525377">
      <w:pPr>
        <w:pStyle w:val="Heading1"/>
      </w:pPr>
      <w:bookmarkStart w:id="7" w:name="O_100821"/>
      <w:bookmarkEnd w:id="7"/>
      <w:r w:rsidRPr="00525377">
        <w:t>Elements and Performance Criteria Pre-Content</w:t>
      </w:r>
    </w:p>
    <w:tbl>
      <w:tblPr>
        <w:tblW w:w="0" w:type="auto"/>
        <w:tblLayout w:type="fixed"/>
        <w:tblCellMar>
          <w:left w:w="62" w:type="dxa"/>
          <w:right w:w="62" w:type="dxa"/>
        </w:tblCellMar>
        <w:tblLook w:val="0000"/>
      </w:tblPr>
      <w:tblGrid>
        <w:gridCol w:w="2921"/>
        <w:gridCol w:w="5584"/>
      </w:tblGrid>
      <w:tr w:rsidTr="00EC71BB">
        <w:tblPrEx>
          <w:tblW w:w="0" w:type="auto"/>
          <w:tblLayout w:type="fixed"/>
          <w:tblCellMar>
            <w:left w:w="62" w:type="dxa"/>
            <w:right w:w="62" w:type="dxa"/>
          </w:tblCellMar>
          <w:tblLook w:val="0000"/>
        </w:tblPrEx>
        <w:tc>
          <w:tcPr>
            <w:tcW w:w="2921"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5377">
            <w:pPr>
              <w:pStyle w:val="BodyText"/>
              <w:rPr>
                <w:lang w:val="en-NZ"/>
              </w:rPr>
            </w:pPr>
            <w:r w:rsidRPr="00525377">
              <w:t>Elements describe the essential outcomes of a unit of competency.</w:t>
            </w:r>
          </w:p>
        </w:tc>
        <w:tc>
          <w:tcPr>
            <w:tcW w:w="558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525377" w:rsidP="00525377">
            <w:pPr>
              <w:pStyle w:val="BodyText"/>
            </w:pPr>
            <w:r w:rsidRPr="00525377">
              <w:t xml:space="preserve">Performance Criteria describe </w:t>
            </w:r>
            <w:r w:rsidRPr="00525377">
              <w:t>the performance needed to demonstrate achievement of the Element. Where bold italicised text is used, further information is detailed in the required skills and knowledge section and the Range Statement. Assessment of performance is to be consistent with t</w:t>
            </w:r>
            <w:r w:rsidRPr="00525377">
              <w:t>he Evidence Guide.</w:t>
            </w:r>
          </w:p>
        </w:tc>
      </w:tr>
    </w:tbl>
    <w:p w:rsidR="00000000" w:rsidRPr="00525377" w:rsidP="00525377">
      <w:pPr>
        <w:pStyle w:val="BodyText"/>
      </w:pPr>
    </w:p>
    <w:p w:rsidR="00000000" w:rsidRPr="00525377" w:rsidP="00525377">
      <w:pPr>
        <w:pStyle w:val="AllowPageBreak"/>
      </w:pPr>
    </w:p>
    <w:p w:rsidR="00000000" w:rsidRPr="00525377" w:rsidP="00525377">
      <w:pPr>
        <w:pStyle w:val="Heading1"/>
      </w:pPr>
      <w:bookmarkStart w:id="8" w:name="O_100822"/>
      <w:bookmarkEnd w:id="8"/>
      <w:r w:rsidRPr="00525377">
        <w:t>Elements and Performance Criteria</w:t>
      </w:r>
    </w:p>
    <w:tbl>
      <w:tblPr>
        <w:tblW w:w="0" w:type="auto"/>
        <w:tblLayout w:type="fixed"/>
        <w:tblCellMar>
          <w:left w:w="62" w:type="dxa"/>
          <w:right w:w="62" w:type="dxa"/>
        </w:tblCellMar>
        <w:tblLook w:val="0000"/>
      </w:tblPr>
      <w:tblGrid>
        <w:gridCol w:w="2921"/>
        <w:gridCol w:w="5584"/>
      </w:tblGrid>
      <w:tr w:rsidTr="00EC71BB">
        <w:tblPrEx>
          <w:tblW w:w="0" w:type="auto"/>
          <w:tblLayout w:type="fixed"/>
          <w:tblCellMar>
            <w:left w:w="62" w:type="dxa"/>
            <w:right w:w="62" w:type="dxa"/>
          </w:tblCellMar>
          <w:tblLook w:val="0000"/>
        </w:tblPrEx>
        <w:trPr>
          <w:tblHeader/>
        </w:trPr>
        <w:tc>
          <w:tcPr>
            <w:tcW w:w="2921"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525377" w:rsidP="00525377">
            <w:pPr>
              <w:pStyle w:val="BodyText"/>
            </w:pPr>
            <w:r w:rsidRPr="00525377">
              <w:rPr>
                <w:rStyle w:val="SpecialBold"/>
              </w:rPr>
              <w:t>ELEMENT</w:t>
            </w:r>
          </w:p>
        </w:tc>
        <w:tc>
          <w:tcPr>
            <w:tcW w:w="558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5377">
            <w:pPr>
              <w:pStyle w:val="BodyText"/>
              <w:rPr>
                <w:lang w:val="en-NZ"/>
              </w:rPr>
            </w:pPr>
            <w:r w:rsidRPr="00525377">
              <w:rPr>
                <w:rStyle w:val="SpecialBold"/>
              </w:rPr>
              <w:t>PERFORMANCE CRITERIA</w:t>
            </w:r>
          </w:p>
        </w:tc>
      </w:tr>
      <w:tr w:rsidTr="00EC71BB">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377">
            <w:pPr>
              <w:pStyle w:val="List"/>
              <w:rPr>
                <w:lang w:val="en-NZ"/>
              </w:rPr>
            </w:pPr>
            <w:r w:rsidRPr="00525377">
              <w:t>1.</w:t>
            </w:r>
            <w:r w:rsidRPr="00525377">
              <w:tab/>
              <w:t>Analyse cost components of maintenance</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377" w:rsidP="00525377">
            <w:pPr>
              <w:pStyle w:val="List2"/>
            </w:pPr>
            <w:r w:rsidRPr="00525377">
              <w:t>1.1.</w:t>
            </w:r>
            <w:r w:rsidRPr="00525377">
              <w:tab/>
              <w:t>Determine cost of failure of plant/equipment</w:t>
            </w:r>
          </w:p>
          <w:p w:rsidR="00000000" w:rsidRPr="00525377" w:rsidP="00525377">
            <w:pPr>
              <w:pStyle w:val="List2"/>
            </w:pPr>
            <w:r w:rsidRPr="00525377">
              <w:t>1.2.</w:t>
            </w:r>
            <w:r w:rsidRPr="00525377">
              <w:tab/>
              <w:t>Determine cost of a planned shut d</w:t>
            </w:r>
            <w:r w:rsidRPr="00525377">
              <w:t>own, maintain, start up activity</w:t>
            </w:r>
          </w:p>
          <w:p w:rsidR="00000000" w:rsidRPr="00525377" w:rsidP="00525377">
            <w:pPr>
              <w:pStyle w:val="List2"/>
            </w:pPr>
            <w:r w:rsidRPr="00525377">
              <w:t>1.3.</w:t>
            </w:r>
            <w:r w:rsidRPr="00525377">
              <w:tab/>
              <w:t>Determine cost of maintenance activity for a planned activity</w:t>
            </w:r>
          </w:p>
          <w:p w:rsidR="00000000" w:rsidRPr="00525377" w:rsidP="00525377">
            <w:pPr>
              <w:pStyle w:val="List2"/>
            </w:pPr>
            <w:r w:rsidRPr="00525377">
              <w:t>1.4.</w:t>
            </w:r>
            <w:r w:rsidRPr="00525377">
              <w:tab/>
              <w:t>Determine cost of maintenance activity for an unplanned activity</w:t>
            </w:r>
          </w:p>
          <w:p w:rsidR="00000000" w:rsidRPr="00525377" w:rsidP="00525377">
            <w:pPr>
              <w:pStyle w:val="List2"/>
            </w:pPr>
            <w:r w:rsidRPr="00525377">
              <w:t>1.5.</w:t>
            </w:r>
            <w:r w:rsidRPr="00525377">
              <w:tab/>
              <w:t>Determine costs of condition monitoring</w:t>
            </w:r>
          </w:p>
          <w:p w:rsidR="00000000" w:rsidP="00525377">
            <w:pPr>
              <w:pStyle w:val="List2"/>
              <w:rPr>
                <w:lang w:val="en-NZ"/>
              </w:rPr>
            </w:pPr>
            <w:r w:rsidRPr="00525377">
              <w:t>1.6.</w:t>
            </w:r>
            <w:r w:rsidRPr="00525377">
              <w:tab/>
              <w:t>Identify cost implications for maint</w:t>
            </w:r>
            <w:r w:rsidRPr="00525377">
              <w:t>enance strategy</w:t>
            </w:r>
          </w:p>
        </w:tc>
      </w:tr>
      <w:tr w:rsidTr="00EC71BB">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377">
            <w:pPr>
              <w:pStyle w:val="List"/>
              <w:rPr>
                <w:lang w:val="en-NZ"/>
              </w:rPr>
            </w:pPr>
            <w:r w:rsidRPr="00525377">
              <w:t>2.</w:t>
            </w:r>
            <w:r w:rsidRPr="00525377">
              <w:tab/>
              <w:t>Estimate life cycle costs of plant/ equipment</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377" w:rsidP="00525377">
            <w:pPr>
              <w:pStyle w:val="List2"/>
            </w:pPr>
            <w:r w:rsidRPr="00525377">
              <w:t>2.1.</w:t>
            </w:r>
            <w:r w:rsidRPr="00525377">
              <w:tab/>
              <w:t>Determine initial capital cost</w:t>
            </w:r>
          </w:p>
          <w:p w:rsidR="00000000" w:rsidRPr="00525377" w:rsidP="00525377">
            <w:pPr>
              <w:pStyle w:val="List2"/>
            </w:pPr>
            <w:r w:rsidRPr="00525377">
              <w:t>2.2.</w:t>
            </w:r>
            <w:r w:rsidRPr="00525377">
              <w:tab/>
              <w:t>Estimate servicing, maintenance and repair costs</w:t>
            </w:r>
          </w:p>
          <w:p w:rsidR="00000000" w:rsidRPr="00525377" w:rsidP="00525377">
            <w:pPr>
              <w:pStyle w:val="List2"/>
            </w:pPr>
            <w:r w:rsidRPr="00525377">
              <w:t>2.3.</w:t>
            </w:r>
            <w:r w:rsidRPr="00525377">
              <w:tab/>
              <w:t>Estimate production and other costs associated with service, maintenance and repair</w:t>
            </w:r>
          </w:p>
          <w:p w:rsidR="00000000" w:rsidRPr="00525377" w:rsidP="00525377">
            <w:pPr>
              <w:pStyle w:val="List2"/>
            </w:pPr>
            <w:r w:rsidRPr="00525377">
              <w:t>2.4.</w:t>
            </w:r>
            <w:r w:rsidRPr="00525377">
              <w:tab/>
            </w:r>
            <w:r w:rsidRPr="00525377">
              <w:t>Determine depreciation and other applicable allowances</w:t>
            </w:r>
          </w:p>
          <w:p w:rsidR="00000000" w:rsidRPr="00525377" w:rsidP="00525377">
            <w:pPr>
              <w:pStyle w:val="List2"/>
            </w:pPr>
            <w:r w:rsidRPr="00525377">
              <w:t>2.5.</w:t>
            </w:r>
            <w:r w:rsidRPr="00525377">
              <w:tab/>
              <w:t>Estimate ancillary costs such as training, commissioning, productivity loss</w:t>
            </w:r>
          </w:p>
          <w:p w:rsidR="00000000" w:rsidRPr="00525377" w:rsidP="00525377">
            <w:pPr>
              <w:pStyle w:val="List2"/>
            </w:pPr>
            <w:r w:rsidRPr="00525377">
              <w:t>2.6.</w:t>
            </w:r>
            <w:r w:rsidRPr="00525377">
              <w:tab/>
              <w:t>Estimate technological life and costs of changing to current technology/costs of retaining obsolete equipment</w:t>
            </w:r>
          </w:p>
          <w:p w:rsidR="00000000" w:rsidRPr="00525377" w:rsidP="00525377">
            <w:pPr>
              <w:pStyle w:val="List2"/>
            </w:pPr>
            <w:r w:rsidRPr="00525377">
              <w:t>2.7.</w:t>
            </w:r>
            <w:r w:rsidRPr="00525377">
              <w:tab/>
            </w:r>
            <w:r w:rsidRPr="00525377">
              <w:t>Estimate annualised costs in present value terms.</w:t>
            </w:r>
          </w:p>
          <w:p w:rsidR="00000000" w:rsidP="00525377">
            <w:pPr>
              <w:pStyle w:val="List2"/>
              <w:rPr>
                <w:lang w:val="en-NZ"/>
              </w:rPr>
            </w:pPr>
            <w:r w:rsidRPr="00525377">
              <w:t>2.8.</w:t>
            </w:r>
            <w:r w:rsidRPr="00525377">
              <w:tab/>
              <w:t>Identify life cycle cost implications for strategy.</w:t>
            </w:r>
          </w:p>
        </w:tc>
      </w:tr>
      <w:tr w:rsidTr="00EC71BB">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377">
            <w:pPr>
              <w:pStyle w:val="List"/>
              <w:rPr>
                <w:lang w:val="en-NZ"/>
              </w:rPr>
            </w:pPr>
            <w:r w:rsidRPr="00525377">
              <w:t>3.</w:t>
            </w:r>
            <w:r w:rsidRPr="00525377">
              <w:tab/>
              <w:t>Liaise with proactive maintenance strategy developer</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377" w:rsidP="00525377">
            <w:pPr>
              <w:pStyle w:val="List2"/>
            </w:pPr>
            <w:r w:rsidRPr="00525377">
              <w:t>3.1.</w:t>
            </w:r>
            <w:r w:rsidRPr="00525377">
              <w:tab/>
              <w:t>Identify cost implications for different strategies</w:t>
            </w:r>
          </w:p>
          <w:p w:rsidR="00000000" w:rsidRPr="00525377" w:rsidP="00525377">
            <w:pPr>
              <w:pStyle w:val="List2"/>
            </w:pPr>
            <w:r w:rsidRPr="00525377">
              <w:t>3.2.</w:t>
            </w:r>
            <w:r w:rsidRPr="00525377">
              <w:tab/>
              <w:t>Negotiate a strategy which min</w:t>
            </w:r>
            <w:r w:rsidRPr="00525377">
              <w:t>imises total costs</w:t>
            </w:r>
          </w:p>
          <w:p w:rsidR="00000000" w:rsidRPr="00525377" w:rsidP="00525377">
            <w:pPr>
              <w:pStyle w:val="List2"/>
            </w:pPr>
            <w:r w:rsidRPr="00525377">
              <w:t>3.3.</w:t>
            </w:r>
            <w:r w:rsidRPr="00525377">
              <w:tab/>
              <w:t>Monitor the implementation of the strategy to ensure the costs are minimised</w:t>
            </w:r>
          </w:p>
          <w:p w:rsidR="00000000" w:rsidRPr="00525377" w:rsidP="00525377">
            <w:pPr>
              <w:pStyle w:val="List2"/>
            </w:pPr>
            <w:r w:rsidRPr="00525377">
              <w:t>3.4.</w:t>
            </w:r>
            <w:r w:rsidRPr="00525377">
              <w:tab/>
              <w:t>Make required adjustments</w:t>
            </w:r>
          </w:p>
        </w:tc>
      </w:tr>
    </w:tbl>
    <w:p w:rsidR="00000000" w:rsidRPr="00525377" w:rsidP="00525377">
      <w:pPr>
        <w:pStyle w:val="BodyText"/>
      </w:pPr>
    </w:p>
    <w:p w:rsidR="00000000" w:rsidRPr="00525377" w:rsidP="00525377">
      <w:pPr>
        <w:pStyle w:val="AllowPageBreak"/>
      </w:pPr>
    </w:p>
    <w:p w:rsidR="00000000" w:rsidRPr="00525377" w:rsidP="00525377">
      <w:pPr>
        <w:pStyle w:val="Heading1"/>
      </w:pPr>
      <w:bookmarkStart w:id="9" w:name="O_100823"/>
      <w:bookmarkEnd w:id="9"/>
      <w:r w:rsidRPr="00525377">
        <w:t>Required Skills and Knowledge</w:t>
      </w:r>
    </w:p>
    <w:tbl>
      <w:tblPr>
        <w:tblW w:w="0" w:type="auto"/>
        <w:tblLayout w:type="fixed"/>
        <w:tblCellMar>
          <w:left w:w="62" w:type="dxa"/>
          <w:right w:w="62" w:type="dxa"/>
        </w:tblCellMar>
        <w:tblLook w:val="0000"/>
      </w:tblPr>
      <w:tblGrid>
        <w:gridCol w:w="8513"/>
      </w:tblGrid>
      <w:tr w:rsidTr="00EC71BB">
        <w:tblPrEx>
          <w:tblW w:w="0" w:type="auto"/>
          <w:tblLayout w:type="fixed"/>
          <w:tblCellMar>
            <w:left w:w="62" w:type="dxa"/>
            <w:right w:w="62" w:type="dxa"/>
          </w:tblCellMar>
          <w:tblLook w:val="0000"/>
        </w:tblPrEx>
        <w:trPr>
          <w:tblHeader/>
        </w:trPr>
        <w:tc>
          <w:tcPr>
            <w:tcW w:w="8513"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5377">
            <w:pPr>
              <w:pStyle w:val="BodyText"/>
              <w:rPr>
                <w:lang w:val="en-NZ"/>
              </w:rPr>
            </w:pPr>
            <w:r w:rsidRPr="00525377">
              <w:rPr>
                <w:rStyle w:val="SpecialBold"/>
              </w:rPr>
              <w:t>REQUIRED SKILLS AND KNOWLEDGE</w:t>
            </w:r>
          </w:p>
        </w:tc>
      </w:tr>
      <w:tr w:rsidTr="00EC71BB">
        <w:tblPrEx>
          <w:tblW w:w="0" w:type="auto"/>
          <w:tblLayout w:type="fixed"/>
          <w:tblCellMar>
            <w:left w:w="62" w:type="dxa"/>
            <w:right w:w="62" w:type="dxa"/>
          </w:tblCellMar>
          <w:tblLook w:val="0000"/>
        </w:tblPrEx>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5377">
            <w:pPr>
              <w:pStyle w:val="BodyText"/>
              <w:rPr>
                <w:lang w:val="en-NZ"/>
              </w:rPr>
            </w:pPr>
            <w:r w:rsidRPr="00525377">
              <w:t>This section describes the skills and knowledge required for this unit.</w:t>
            </w:r>
          </w:p>
        </w:tc>
      </w:tr>
      <w:tr w:rsidTr="00EC71BB">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377">
            <w:pPr>
              <w:pStyle w:val="BodyText"/>
              <w:rPr>
                <w:lang w:val="en-NZ"/>
              </w:rPr>
            </w:pPr>
            <w:r w:rsidRPr="00525377">
              <w:rPr>
                <w:rStyle w:val="SpecialBold"/>
              </w:rPr>
              <w:t>Required skills</w:t>
            </w:r>
          </w:p>
        </w:tc>
      </w:tr>
      <w:tr w:rsidTr="00EC71BB">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377" w:rsidP="00525377">
            <w:pPr>
              <w:pStyle w:val="ListBullet"/>
            </w:pPr>
            <w:r w:rsidRPr="00525377">
              <w:t>calculation</w:t>
            </w:r>
          </w:p>
          <w:p w:rsidR="00000000" w:rsidRPr="00525377" w:rsidP="00525377">
            <w:pPr>
              <w:pStyle w:val="ListBullet"/>
            </w:pPr>
            <w:r w:rsidRPr="00525377">
              <w:t>analysis</w:t>
            </w:r>
          </w:p>
          <w:p w:rsidR="00000000" w:rsidP="00525377">
            <w:pPr>
              <w:pStyle w:val="ListBullet"/>
              <w:rPr>
                <w:lang w:val="en-NZ"/>
              </w:rPr>
            </w:pPr>
            <w:r w:rsidRPr="00525377">
              <w:t>problem solving</w:t>
            </w:r>
          </w:p>
        </w:tc>
      </w:tr>
      <w:tr w:rsidTr="00EC71BB">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377">
            <w:pPr>
              <w:pStyle w:val="BodyText"/>
              <w:rPr>
                <w:lang w:val="en-NZ"/>
              </w:rPr>
            </w:pPr>
            <w:r w:rsidRPr="00525377">
              <w:rPr>
                <w:rStyle w:val="SpecialBold"/>
              </w:rPr>
              <w:t>Required knowledge</w:t>
            </w:r>
          </w:p>
        </w:tc>
      </w:tr>
      <w:tr w:rsidTr="00EC71BB">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377" w:rsidP="00525377">
            <w:pPr>
              <w:pStyle w:val="ListBullet"/>
            </w:pPr>
            <w:r w:rsidRPr="00525377">
              <w:t>cost components of maintenance</w:t>
            </w:r>
          </w:p>
          <w:p w:rsidR="00000000" w:rsidRPr="00525377" w:rsidP="00525377">
            <w:pPr>
              <w:pStyle w:val="ListBullet"/>
            </w:pPr>
            <w:r w:rsidRPr="00525377">
              <w:t>interrelationship of cost components and maintenance activities</w:t>
            </w:r>
          </w:p>
        </w:tc>
      </w:tr>
    </w:tbl>
    <w:p w:rsidR="00000000" w:rsidRPr="00525377" w:rsidP="00525377">
      <w:pPr>
        <w:pStyle w:val="BodyText"/>
      </w:pPr>
    </w:p>
    <w:p w:rsidR="00000000" w:rsidRPr="00525377" w:rsidP="00525377">
      <w:pPr>
        <w:pStyle w:val="AllowPageBreak"/>
      </w:pPr>
    </w:p>
    <w:p w:rsidR="00000000" w:rsidRPr="00525377" w:rsidP="00525377">
      <w:pPr>
        <w:pStyle w:val="Heading1"/>
      </w:pPr>
      <w:bookmarkStart w:id="10" w:name="O_100824"/>
      <w:bookmarkEnd w:id="10"/>
      <w:r w:rsidRPr="00525377">
        <w:t>Evidence Guide</w:t>
      </w:r>
    </w:p>
    <w:tbl>
      <w:tblPr>
        <w:tblW w:w="0" w:type="auto"/>
        <w:tblCellMar>
          <w:left w:w="62" w:type="dxa"/>
          <w:right w:w="62" w:type="dxa"/>
        </w:tblCellMar>
        <w:tblLook w:val="0000"/>
      </w:tblPr>
      <w:tblGrid>
        <w:gridCol w:w="3204"/>
        <w:gridCol w:w="5992"/>
      </w:tblGrid>
      <w:tr w:rsidTr="00EC71BB">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5377">
            <w:pPr>
              <w:pStyle w:val="BodyText"/>
              <w:rPr>
                <w:lang w:val="en-NZ"/>
              </w:rPr>
            </w:pPr>
            <w:r w:rsidRPr="00525377">
              <w:rPr>
                <w:rStyle w:val="SpecialBold"/>
              </w:rPr>
              <w:t>EVIDENCE GUIDE</w:t>
            </w:r>
          </w:p>
        </w:tc>
      </w:tr>
      <w:tr w:rsidTr="00EC71BB">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5377">
            <w:pPr>
              <w:pStyle w:val="BodyText"/>
              <w:rPr>
                <w:lang w:val="en-NZ"/>
              </w:rPr>
            </w:pPr>
            <w:r w:rsidRPr="00525377">
              <w:t>The Evidence Guide describes the underpinning knowledge and skills that must be demonstrated to prove competence. it is essential for assessment and must be read in con</w:t>
            </w:r>
            <w:r w:rsidRPr="00525377">
              <w:t>junction with the performance criteria, the range statement and the assessment guidelines of the relevant training package</w:t>
            </w:r>
          </w:p>
        </w:tc>
      </w:tr>
      <w:tr w:rsidTr="00EC71BB">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5377">
            <w:pPr>
              <w:pStyle w:val="BodyText"/>
              <w:rPr>
                <w:lang w:val="en-NZ"/>
              </w:rPr>
            </w:pPr>
            <w:r w:rsidRPr="00525377">
              <w:rPr>
                <w:rStyle w:val="SpecialBold"/>
              </w:rPr>
              <w:t>Overview of assessment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377">
            <w:pPr>
              <w:pStyle w:val="BodyText"/>
              <w:rPr>
                <w:lang w:val="en-NZ"/>
              </w:rPr>
            </w:pPr>
            <w:r w:rsidRPr="00525377">
              <w:t>The person will analyse and determine cost components for maintenance strategies. The strategie</w:t>
            </w:r>
            <w:r w:rsidRPr="00525377">
              <w:t>s implemented will be cost effective.</w:t>
            </w:r>
          </w:p>
        </w:tc>
      </w:tr>
      <w:tr w:rsidTr="00EC71B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377">
            <w:pPr>
              <w:pStyle w:val="BodyText"/>
              <w:rPr>
                <w:lang w:val="en-NZ"/>
              </w:rPr>
            </w:pPr>
            <w:r w:rsidRPr="00525377">
              <w:rPr>
                <w:rStyle w:val="SpecialBold"/>
              </w:rPr>
              <w:t>What are the specific resource requirements for this unit</w:t>
            </w:r>
            <w:r w:rsidRPr="00525377">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377">
            <w:pPr>
              <w:pStyle w:val="BodyText"/>
              <w:rPr>
                <w:lang w:val="en-NZ"/>
              </w:rPr>
            </w:pPr>
            <w:r w:rsidRPr="00525377">
              <w:t>Access to a workplace implementing competitive manufacturing strategies. No other specific resources are required.</w:t>
            </w:r>
          </w:p>
        </w:tc>
      </w:tr>
      <w:tr w:rsidTr="00EC71B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377">
            <w:pPr>
              <w:pStyle w:val="BodyText"/>
              <w:rPr>
                <w:lang w:val="en-NZ"/>
              </w:rPr>
            </w:pPr>
            <w:r w:rsidRPr="00525377">
              <w:rPr>
                <w:rStyle w:val="SpecialBold"/>
              </w:rPr>
              <w:t>In what context should assessment occur</w:t>
            </w:r>
            <w:r w:rsidRPr="00525377">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377">
            <w:pPr>
              <w:pStyle w:val="BodyText"/>
              <w:rPr>
                <w:lang w:val="en-NZ"/>
              </w:rPr>
            </w:pPr>
            <w:r w:rsidRPr="00525377">
              <w:t>Assessment will need to occur in a workplace.</w:t>
            </w:r>
          </w:p>
        </w:tc>
      </w:tr>
      <w:tr w:rsidTr="00EC71B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377">
            <w:pPr>
              <w:pStyle w:val="BodyText"/>
              <w:rPr>
                <w:lang w:val="en-NZ"/>
              </w:rPr>
            </w:pPr>
            <w:r w:rsidRPr="00525377">
              <w:rPr>
                <w:rStyle w:val="SpecialBold"/>
              </w:rPr>
              <w:t>Are there any other units which could or should be assessed with this unit or which relate directly to this unit</w:t>
            </w:r>
            <w:r w:rsidRPr="00525377">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377">
            <w:pPr>
              <w:pStyle w:val="BodyText"/>
              <w:rPr>
                <w:lang w:val="en-NZ"/>
              </w:rPr>
            </w:pPr>
            <w:r w:rsidRPr="00525377">
              <w:t>This unit may be assessed concurrently with appropriate units.</w:t>
            </w:r>
          </w:p>
        </w:tc>
      </w:tr>
      <w:tr w:rsidTr="00EC71B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377">
            <w:pPr>
              <w:pStyle w:val="BodyText"/>
              <w:rPr>
                <w:lang w:val="en-NZ"/>
              </w:rPr>
            </w:pPr>
            <w:r w:rsidRPr="00525377">
              <w:rPr>
                <w:rStyle w:val="SpecialBold"/>
              </w:rPr>
              <w:t>What method of assessment shoul</w:t>
            </w:r>
            <w:r w:rsidRPr="00525377">
              <w:rPr>
                <w:rStyle w:val="SpecialBold"/>
              </w:rPr>
              <w:t>d apply</w:t>
            </w:r>
            <w:r w:rsidRPr="00525377">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377" w:rsidP="00525377">
            <w:pPr>
              <w:pStyle w:val="BodyText"/>
            </w:pPr>
            <w:r w:rsidRPr="00525377">
              <w:t>Assessors must be satisfied that the person can consistently perform the unit as a whole, as defined by the Elements, Performance Criteria, skills and knowledge. A holistic approach should be taken to the assessment.</w:t>
            </w:r>
          </w:p>
          <w:p w:rsidR="00000000" w:rsidRPr="00525377" w:rsidP="00525377">
            <w:pPr>
              <w:pStyle w:val="BodyText"/>
            </w:pPr>
            <w:r w:rsidRPr="00525377">
              <w:t>Assessors should gather suffic</w:t>
            </w:r>
            <w:r w:rsidRPr="00525377">
              <w:t>ient, fair, valid, reliable, authentic and current evidence from a range of sources. Sources of evidence may include direct observation, reports from supervisors, peers and colleagues, project work, samples, organisation records and questioning. Assessment</w:t>
            </w:r>
            <w:r w:rsidRPr="00525377">
              <w:t xml:space="preserve"> should not require language, literacy or numeracy skills beyond those required for the unit.</w:t>
            </w:r>
          </w:p>
          <w:p w:rsidR="00000000" w:rsidRPr="00525377" w:rsidP="00525377">
            <w:pPr>
              <w:pStyle w:val="BodyText"/>
            </w:pPr>
            <w:r w:rsidRPr="00525377">
              <w:t>The assessee will have access to all techniques, procedures, information, resources and aids which would normally be available in the workplace.</w:t>
            </w:r>
          </w:p>
          <w:p w:rsidR="00000000" w:rsidP="00525377">
            <w:pPr>
              <w:pStyle w:val="BodyText"/>
              <w:rPr>
                <w:lang w:val="en-NZ"/>
              </w:rPr>
            </w:pPr>
            <w:r w:rsidRPr="00525377">
              <w:t>The method of ass</w:t>
            </w:r>
            <w:r w:rsidRPr="00525377">
              <w:t>essment should be discussed and agreed with the assessee prior to the commencement of the assessment.</w:t>
            </w:r>
          </w:p>
        </w:tc>
      </w:tr>
      <w:tr w:rsidTr="00EC71B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377">
            <w:pPr>
              <w:pStyle w:val="BodyText"/>
              <w:rPr>
                <w:lang w:val="en-NZ"/>
              </w:rPr>
            </w:pPr>
            <w:r w:rsidRPr="00525377">
              <w:rPr>
                <w:rStyle w:val="SpecialBold"/>
              </w:rPr>
              <w:t>What evidence is required for demonstration of consistent performance</w:t>
            </w:r>
            <w:r w:rsidRPr="00525377">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377" w:rsidP="00525377">
            <w:pPr>
              <w:pStyle w:val="BodyText"/>
            </w:pPr>
            <w:r w:rsidRPr="00525377">
              <w:t>Evidence from a single optimisation may be adequate, although generally analyses of a few products with different cost structures or customer benefit structures would be required.</w:t>
            </w:r>
          </w:p>
        </w:tc>
      </w:tr>
    </w:tbl>
    <w:p w:rsidR="00000000" w:rsidRPr="00525377" w:rsidP="00525377">
      <w:pPr>
        <w:pStyle w:val="BodyText"/>
      </w:pPr>
    </w:p>
    <w:p w:rsidR="00000000" w:rsidRPr="00525377" w:rsidP="00525377">
      <w:pPr>
        <w:pStyle w:val="AllowPageBreak"/>
      </w:pPr>
    </w:p>
    <w:p w:rsidR="00000000" w:rsidRPr="00525377" w:rsidP="00525377">
      <w:pPr>
        <w:pStyle w:val="Heading1"/>
      </w:pPr>
      <w:bookmarkStart w:id="11" w:name="O_100825"/>
      <w:bookmarkEnd w:id="11"/>
      <w:r w:rsidRPr="00525377">
        <w:t>Range Statement</w:t>
      </w:r>
    </w:p>
    <w:tbl>
      <w:tblPr>
        <w:tblW w:w="0" w:type="auto"/>
        <w:tblLayout w:type="fixed"/>
        <w:tblCellMar>
          <w:left w:w="62" w:type="dxa"/>
          <w:right w:w="62" w:type="dxa"/>
        </w:tblCellMar>
        <w:tblLook w:val="0000"/>
      </w:tblPr>
      <w:tblGrid>
        <w:gridCol w:w="2936"/>
        <w:gridCol w:w="5575"/>
        <w:gridCol w:w="9"/>
      </w:tblGrid>
      <w:tr w:rsidTr="00EC71BB">
        <w:tblPrEx>
          <w:tblW w:w="0" w:type="auto"/>
          <w:tblLayout w:type="fixed"/>
          <w:tblCellMar>
            <w:left w:w="62" w:type="dxa"/>
            <w:right w:w="62" w:type="dxa"/>
          </w:tblCellMar>
          <w:tblLook w:val="0000"/>
        </w:tblPrEx>
        <w:trPr>
          <w:gridAfter w:val="1"/>
          <w:wAfter w:w="9" w:type="dxa"/>
          <w:tblHeader/>
        </w:trPr>
        <w:tc>
          <w:tcPr>
            <w:tcW w:w="8511"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5377">
            <w:pPr>
              <w:pStyle w:val="BodyText"/>
              <w:rPr>
                <w:lang w:val="en-NZ"/>
              </w:rPr>
            </w:pPr>
            <w:r w:rsidRPr="00525377">
              <w:rPr>
                <w:rStyle w:val="SpecialBold"/>
              </w:rPr>
              <w:t>RANGE STATEMENT</w:t>
            </w:r>
          </w:p>
        </w:tc>
      </w:tr>
      <w:tr w:rsidTr="00EC71BB">
        <w:tblPrEx>
          <w:tblW w:w="0" w:type="auto"/>
          <w:tblLayout w:type="fixed"/>
          <w:tblCellMar>
            <w:left w:w="62" w:type="dxa"/>
            <w:right w:w="62" w:type="dxa"/>
          </w:tblCellMar>
          <w:tblLook w:val="0000"/>
        </w:tblPrEx>
        <w:trPr>
          <w:gridAfter w:val="1"/>
          <w:wAfter w:w="9" w:type="dxa"/>
        </w:trPr>
        <w:tc>
          <w:tcPr>
            <w:tcW w:w="8511"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5377">
            <w:pPr>
              <w:pStyle w:val="BodyText"/>
              <w:rPr>
                <w:lang w:val="en-NZ"/>
              </w:rPr>
            </w:pPr>
            <w:r w:rsidRPr="00525377">
              <w:t>The range statement relates to the unit of competency as a whole. It allows for different work environments and situations that may affect performance. Bold italicised wording, if used in the performance criteria, is detailed below. Essential operating con</w:t>
            </w:r>
            <w:r w:rsidRPr="00525377">
              <w:t>ditions that may be present with training and assessment (depending on the work situation, needs of the candidate, accessibility of the item, and local industry and regional contexts) may also be included.</w:t>
            </w:r>
          </w:p>
        </w:tc>
      </w:tr>
      <w:tr w:rsidTr="00EC71BB">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377">
            <w:pPr>
              <w:pStyle w:val="BodyText"/>
              <w:rPr>
                <w:lang w:val="en-NZ"/>
              </w:rPr>
            </w:pPr>
            <w:r w:rsidRPr="00525377">
              <w:rPr>
                <w:rStyle w:val="SpecialBold"/>
              </w:rPr>
              <w:t>Maintenance strateg</w:t>
            </w:r>
            <w:r w:rsidRPr="00525377">
              <w:rPr>
                <w:rStyle w:val="SpecialBold"/>
              </w:rPr>
              <w:t>ies and techniques may include</w:t>
            </w:r>
            <w:r w:rsidRPr="00525377">
              <w:t>:</w:t>
            </w:r>
          </w:p>
        </w:tc>
        <w:tc>
          <w:tcPr>
            <w:tcW w:w="5584"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525377" w:rsidP="00525377">
            <w:pPr>
              <w:pStyle w:val="ListBullet"/>
            </w:pPr>
            <w:r w:rsidRPr="00525377">
              <w:t>Total Productive Maintenance (TPM)</w:t>
            </w:r>
          </w:p>
          <w:p w:rsidR="00000000" w:rsidRPr="00525377" w:rsidP="00525377">
            <w:pPr>
              <w:pStyle w:val="ListBullet"/>
            </w:pPr>
            <w:r w:rsidRPr="00525377">
              <w:t>Reliability Centred Maintenance (RCM)</w:t>
            </w:r>
          </w:p>
          <w:p w:rsidR="00000000" w:rsidRPr="00525377" w:rsidP="00525377">
            <w:pPr>
              <w:pStyle w:val="ListBullet"/>
            </w:pPr>
            <w:r w:rsidRPr="00525377">
              <w:t>Root Cause Analysis (RCA)</w:t>
            </w:r>
          </w:p>
          <w:p w:rsidR="00000000" w:rsidRPr="00525377" w:rsidP="00525377">
            <w:pPr>
              <w:pStyle w:val="ListBullet"/>
            </w:pPr>
            <w:r w:rsidRPr="00525377">
              <w:t>Mean Time Between Failures (MBTF)</w:t>
            </w:r>
          </w:p>
          <w:p w:rsidR="00000000" w:rsidRPr="00525377" w:rsidP="00525377">
            <w:pPr>
              <w:pStyle w:val="ListBullet"/>
            </w:pPr>
            <w:r w:rsidRPr="00525377">
              <w:t>Failure Mode and Effects Analysis (FMEA)</w:t>
            </w:r>
          </w:p>
          <w:p w:rsidR="00000000" w:rsidRPr="00525377" w:rsidP="00525377">
            <w:pPr>
              <w:pStyle w:val="ListBullet"/>
            </w:pPr>
            <w:r w:rsidRPr="00525377">
              <w:t>Condition monitoring</w:t>
            </w:r>
          </w:p>
          <w:p w:rsidR="00000000" w:rsidRPr="00525377" w:rsidP="00525377">
            <w:pPr>
              <w:pStyle w:val="BodyText"/>
            </w:pPr>
            <w:r w:rsidRPr="00525377">
              <w:rPr>
                <w:rStyle w:val="BoldandItalics"/>
              </w:rPr>
              <w:t>Total Preventative Maintenan</w:t>
            </w:r>
            <w:r w:rsidRPr="00525377">
              <w:rPr>
                <w:rStyle w:val="BoldandItalics"/>
              </w:rPr>
              <w:t>ce</w:t>
            </w:r>
            <w:r w:rsidRPr="00525377">
              <w:t>/</w:t>
            </w:r>
            <w:r w:rsidRPr="00525377">
              <w:rPr>
                <w:rStyle w:val="BoldandItalics"/>
              </w:rPr>
              <w:t>Total Productive Maintenance</w:t>
            </w:r>
            <w:r w:rsidRPr="00525377">
              <w:t xml:space="preserve"> (</w:t>
            </w:r>
            <w:r w:rsidRPr="00525377">
              <w:rPr>
                <w:rStyle w:val="BoldandItalics"/>
              </w:rPr>
              <w:t>TPM</w:t>
            </w:r>
            <w:r w:rsidRPr="00525377">
              <w:t xml:space="preserve">) is an application of total quality management to maintenance with the intention of increasing reliability, getting it right first time and increasing </w:t>
            </w:r>
            <w:r w:rsidRPr="00525377">
              <w:rPr>
                <w:rStyle w:val="BoldandItalics"/>
              </w:rPr>
              <w:t>OEE</w:t>
            </w:r>
            <w:r w:rsidRPr="00525377">
              <w:t>.</w:t>
            </w:r>
          </w:p>
          <w:p w:rsidR="00000000" w:rsidRPr="00525377" w:rsidP="00525377">
            <w:pPr>
              <w:pStyle w:val="BodyText"/>
            </w:pPr>
            <w:r w:rsidRPr="00525377">
              <w:rPr>
                <w:rStyle w:val="BoldandItalics"/>
              </w:rPr>
              <w:t>Reliability Centred Maintenance</w:t>
            </w:r>
            <w:r w:rsidRPr="00525377">
              <w:t xml:space="preserve"> (</w:t>
            </w:r>
            <w:r w:rsidRPr="00525377">
              <w:rPr>
                <w:rStyle w:val="BoldandItalics"/>
              </w:rPr>
              <w:t>RCM</w:t>
            </w:r>
            <w:r w:rsidRPr="00525377">
              <w:t>) moves maintenance from re</w:t>
            </w:r>
            <w:r w:rsidRPr="00525377">
              <w:t xml:space="preserve">active, or even planned/programmed towards a focus on </w:t>
            </w:r>
            <w:r w:rsidRPr="00525377">
              <w:rPr>
                <w:rStyle w:val="BoldandItalics"/>
              </w:rPr>
              <w:t>uptime</w:t>
            </w:r>
            <w:r w:rsidRPr="00525377">
              <w:t xml:space="preserve"> and </w:t>
            </w:r>
            <w:r w:rsidRPr="00525377">
              <w:rPr>
                <w:rStyle w:val="BoldandItalics"/>
              </w:rPr>
              <w:t>OEE</w:t>
            </w:r>
          </w:p>
          <w:p w:rsidR="00000000" w:rsidRPr="00525377" w:rsidP="00525377">
            <w:pPr>
              <w:pStyle w:val="BodyText"/>
            </w:pPr>
            <w:r w:rsidRPr="00525377">
              <w:rPr>
                <w:rStyle w:val="BoldandItalics"/>
              </w:rPr>
              <w:t>RCA</w:t>
            </w:r>
            <w:r w:rsidRPr="00525377">
              <w:t xml:space="preserve"> There are many possible causes of any problem. Eliminating some will have no impact, others will ameliorate the problem. However elimination of the </w:t>
            </w:r>
            <w:r w:rsidRPr="00525377">
              <w:rPr>
                <w:rStyle w:val="BoldandItalics"/>
              </w:rPr>
              <w:t>root cause</w:t>
            </w:r>
            <w:r w:rsidRPr="00525377">
              <w:t xml:space="preserve"> will eliminate the probl</w:t>
            </w:r>
            <w:r w:rsidRPr="00525377">
              <w:t xml:space="preserve">em. There should only be one </w:t>
            </w:r>
            <w:r w:rsidRPr="00525377">
              <w:rPr>
                <w:rStyle w:val="BoldandItalics"/>
              </w:rPr>
              <w:t>root cause</w:t>
            </w:r>
            <w:r w:rsidRPr="00525377">
              <w:t xml:space="preserve"> for any problem and so the analysis should continue until this one cause is found. Elimination of the </w:t>
            </w:r>
            <w:r w:rsidRPr="00525377">
              <w:rPr>
                <w:rStyle w:val="BoldandItalics"/>
              </w:rPr>
              <w:t>root cause</w:t>
            </w:r>
            <w:r w:rsidRPr="00525377">
              <w:t xml:space="preserve"> permanently eliminates the problem. </w:t>
            </w:r>
          </w:p>
          <w:p w:rsidR="00000000" w:rsidRPr="00525377" w:rsidP="00525377">
            <w:pPr>
              <w:pStyle w:val="BodyText"/>
            </w:pPr>
            <w:r w:rsidRPr="00525377">
              <w:rPr>
                <w:rStyle w:val="BoldandItalics"/>
              </w:rPr>
              <w:t>Uptime</w:t>
            </w:r>
            <w:r w:rsidRPr="00525377">
              <w:t xml:space="preserve"> refers to the overall availability of the plant - it is the</w:t>
            </w:r>
            <w:r w:rsidRPr="00525377">
              <w:t xml:space="preserve"> inverse of downtime - or the unavailability of the plant. Ideal uptime is 100%. </w:t>
            </w:r>
          </w:p>
          <w:p w:rsidR="00000000" w:rsidRPr="00525377" w:rsidP="00525377">
            <w:pPr>
              <w:pStyle w:val="BodyText"/>
            </w:pPr>
            <w:r w:rsidRPr="00525377">
              <w:rPr>
                <w:rStyle w:val="BoldandItalics"/>
              </w:rPr>
              <w:t>Overall equipment efficiency</w:t>
            </w:r>
            <w:r w:rsidRPr="00525377">
              <w:t xml:space="preserve"> (</w:t>
            </w:r>
            <w:r w:rsidRPr="00525377">
              <w:rPr>
                <w:rStyle w:val="BoldandItalics"/>
              </w:rPr>
              <w:t>OEE</w:t>
            </w:r>
            <w:r w:rsidRPr="00525377">
              <w:t xml:space="preserve">) is the combination of the main factors causing loss of productive capacity from equipment/plant and is: </w:t>
            </w:r>
          </w:p>
          <w:p w:rsidR="00000000" w:rsidRPr="00525377" w:rsidP="00525377">
            <w:pPr>
              <w:pStyle w:val="BodyText"/>
            </w:pPr>
            <w:r w:rsidRPr="00525377">
              <w:rPr>
                <w:rStyle w:val="Emphasis"/>
              </w:rPr>
              <w:t>OEE</w:t>
            </w:r>
            <w:r w:rsidRPr="00525377">
              <w:t xml:space="preserve"> = </w:t>
            </w:r>
            <w:r w:rsidRPr="00525377">
              <w:rPr>
                <w:rStyle w:val="Emphasis"/>
              </w:rPr>
              <w:t>availability x performance x</w:t>
            </w:r>
            <w:r w:rsidRPr="00525377">
              <w:rPr>
                <w:rStyle w:val="Emphasis"/>
              </w:rPr>
              <w:t xml:space="preserve"> quality rate</w:t>
            </w:r>
          </w:p>
          <w:p w:rsidR="00000000" w:rsidRPr="00525377" w:rsidP="00525377">
            <w:pPr>
              <w:pStyle w:val="BodyText"/>
            </w:pPr>
            <w:r w:rsidRPr="00525377">
              <w:t>where:</w:t>
            </w:r>
          </w:p>
          <w:p w:rsidR="00000000" w:rsidRPr="00525377" w:rsidP="00525377">
            <w:pPr>
              <w:pStyle w:val="ListBullet"/>
            </w:pPr>
            <w:r w:rsidRPr="00525377">
              <w:t>availability takes into account losses due to breakdown, set up and adjustments</w:t>
            </w:r>
          </w:p>
          <w:p w:rsidR="00000000" w:rsidRPr="00525377" w:rsidP="00525377">
            <w:pPr>
              <w:pStyle w:val="ListBullet"/>
            </w:pPr>
            <w:r w:rsidRPr="00525377">
              <w:t>performance takes into account losses due to minor stoppages, reduced speed and idling</w:t>
            </w:r>
          </w:p>
          <w:p w:rsidR="00000000" w:rsidRPr="00525377" w:rsidP="00525377">
            <w:pPr>
              <w:pStyle w:val="ListBullet"/>
            </w:pPr>
            <w:r w:rsidRPr="00525377">
              <w:t>quality rate takes into account losses due to rejects, re-works and start up waste.</w:t>
            </w:r>
          </w:p>
          <w:p w:rsidR="00000000" w:rsidRPr="00525377" w:rsidP="00525377">
            <w:pPr>
              <w:pStyle w:val="BodyText"/>
            </w:pPr>
            <w:r w:rsidRPr="00525377">
              <w:rPr>
                <w:rStyle w:val="BoldandItalics"/>
              </w:rPr>
              <w:t>Mean time between failure</w:t>
            </w:r>
            <w:r w:rsidRPr="00525377">
              <w:t xml:space="preserve"> (</w:t>
            </w:r>
            <w:r w:rsidRPr="00525377">
              <w:rPr>
                <w:rStyle w:val="BoldandItalics"/>
              </w:rPr>
              <w:t>MBTF</w:t>
            </w:r>
            <w:r w:rsidRPr="00525377">
              <w:t xml:space="preserve">) is one key measure of the effectiveness of a maintenance procedure, and is an indicator as to whether </w:t>
            </w:r>
            <w:r w:rsidRPr="00525377">
              <w:rPr>
                <w:rStyle w:val="BoldandItalics"/>
              </w:rPr>
              <w:t>root causes</w:t>
            </w:r>
            <w:r w:rsidRPr="00525377">
              <w:t xml:space="preserve"> are being found and resol</w:t>
            </w:r>
            <w:r w:rsidRPr="00525377">
              <w:t xml:space="preserve">ved. If </w:t>
            </w:r>
            <w:r w:rsidRPr="00525377">
              <w:rPr>
                <w:rStyle w:val="BoldandItalics"/>
              </w:rPr>
              <w:t>MBTF</w:t>
            </w:r>
            <w:r w:rsidRPr="00525377">
              <w:t xml:space="preserve"> is reducing, then it is an indicator that the maintenance regime is failing. </w:t>
            </w:r>
          </w:p>
          <w:p w:rsidR="00000000" w:rsidRPr="00525377" w:rsidP="00525377">
            <w:pPr>
              <w:pStyle w:val="BodyText"/>
            </w:pPr>
            <w:r w:rsidRPr="00525377">
              <w:rPr>
                <w:rStyle w:val="BoldandItalics"/>
              </w:rPr>
              <w:t>Failure Mode and Effects Analysis</w:t>
            </w:r>
            <w:r w:rsidRPr="00525377">
              <w:t xml:space="preserve"> (</w:t>
            </w:r>
            <w:r w:rsidRPr="00525377">
              <w:rPr>
                <w:rStyle w:val="BoldandItalics"/>
              </w:rPr>
              <w:t>FMEA</w:t>
            </w:r>
            <w:r w:rsidRPr="00525377">
              <w:t>) is a systematic approach that identifies potential failure modes in a system, product, or manufacturing/assembly operation c</w:t>
            </w:r>
            <w:r w:rsidRPr="00525377">
              <w:t xml:space="preserve">aused by either design or manufacturing/assembly process deficiencies. It also identifies critical or significant design or process characteristics that require special controls to prevent or detect failure modes. </w:t>
            </w:r>
            <w:r w:rsidRPr="00525377">
              <w:rPr>
                <w:rStyle w:val="BoldandItalics"/>
              </w:rPr>
              <w:t>FMEA</w:t>
            </w:r>
            <w:r w:rsidRPr="00525377">
              <w:t xml:space="preserve"> is a tool used to prevent problems fr</w:t>
            </w:r>
            <w:r w:rsidRPr="00525377">
              <w:t xml:space="preserve">om occurring. </w:t>
            </w:r>
          </w:p>
          <w:p w:rsidR="00000000" w:rsidRPr="00525377" w:rsidP="00525377">
            <w:pPr>
              <w:pStyle w:val="BodyText"/>
            </w:pPr>
            <w:r w:rsidRPr="00525377">
              <w:t xml:space="preserve">Some industry sectors have highly adapted forms of </w:t>
            </w:r>
            <w:r w:rsidRPr="00525377">
              <w:rPr>
                <w:rStyle w:val="BoldandItalics"/>
              </w:rPr>
              <w:t>FMEA</w:t>
            </w:r>
            <w:r w:rsidRPr="00525377">
              <w:t xml:space="preserve"> and may practice traditional </w:t>
            </w:r>
            <w:r w:rsidRPr="00525377">
              <w:rPr>
                <w:rStyle w:val="BoldandItalics"/>
              </w:rPr>
              <w:t>FMEA</w:t>
            </w:r>
            <w:r w:rsidRPr="00525377">
              <w:t xml:space="preserve"> in say their routine maintenance while using another technique (such as </w:t>
            </w:r>
            <w:r w:rsidRPr="00525377">
              <w:rPr>
                <w:rStyle w:val="BoldandItalics"/>
              </w:rPr>
              <w:t>HAZOP</w:t>
            </w:r>
            <w:r w:rsidRPr="00525377">
              <w:t xml:space="preserve">) for design and modification. </w:t>
            </w:r>
          </w:p>
          <w:p w:rsidR="00000000" w:rsidRPr="00525377" w:rsidP="00525377">
            <w:pPr>
              <w:pStyle w:val="BodyText"/>
            </w:pPr>
            <w:r w:rsidRPr="00525377">
              <w:rPr>
                <w:rStyle w:val="BoldandItalics"/>
              </w:rPr>
              <w:t>Hazard and Operability Studies</w:t>
            </w:r>
            <w:r w:rsidRPr="00525377">
              <w:t xml:space="preserve"> (</w:t>
            </w:r>
            <w:r w:rsidRPr="00525377">
              <w:rPr>
                <w:rStyle w:val="BoldandItalics"/>
              </w:rPr>
              <w:t>HAZOP</w:t>
            </w:r>
            <w:r w:rsidRPr="00525377">
              <w:t xml:space="preserve">) is </w:t>
            </w:r>
            <w:r w:rsidRPr="00525377">
              <w:t xml:space="preserve">a form of </w:t>
            </w:r>
            <w:r w:rsidRPr="00525377">
              <w:rPr>
                <w:rStyle w:val="BoldandItalics"/>
              </w:rPr>
              <w:t>FMEA</w:t>
            </w:r>
            <w:r w:rsidRPr="00525377">
              <w:t xml:space="preserve"> which has been practiced by the process industries for over 30 years and examines the implications of changes in process conditions to process stability. </w:t>
            </w:r>
          </w:p>
          <w:p w:rsidR="00000000" w:rsidRPr="00525377" w:rsidP="00525377">
            <w:pPr>
              <w:pStyle w:val="BodyText"/>
            </w:pPr>
            <w:r w:rsidRPr="00525377">
              <w:rPr>
                <w:rStyle w:val="BoldandItalics"/>
              </w:rPr>
              <w:t>Condition monitoring</w:t>
            </w:r>
            <w:r w:rsidRPr="00525377">
              <w:t xml:space="preserve"> involves often quite sophisticated monitoring of equipment includ</w:t>
            </w:r>
            <w:r w:rsidRPr="00525377">
              <w:t xml:space="preserve">ing such things as vibration monitoring, instrumental analysis of lubricating oil etc to determine the current state of the equipment, monitor the change in this condition and predict when it needs servicing/maintenance to maintain reliability. </w:t>
            </w:r>
          </w:p>
        </w:tc>
      </w:tr>
    </w:tbl>
    <w:p w:rsidR="00EC71BB" w:rsidP="00525377">
      <w:pPr>
        <w:pStyle w:val="BodyText"/>
      </w:pPr>
    </w:p>
    <w:p w:rsidR="00EC71BB" w:rsidP="00525377">
      <w:pPr>
        <w:pStyle w:val="BodyText"/>
      </w:pPr>
    </w:p>
    <w:p w:rsidR="00000000" w:rsidRPr="00525377" w:rsidP="00525377">
      <w:pPr>
        <w:pStyle w:val="Heading1"/>
      </w:pPr>
      <w:bookmarkStart w:id="12" w:name="O_100826"/>
      <w:bookmarkEnd w:id="12"/>
      <w:r w:rsidRPr="00525377">
        <w:t>Unit Sector(s)</w:t>
      </w:r>
    </w:p>
    <w:tbl>
      <w:tblPr>
        <w:tblW w:w="0" w:type="auto"/>
        <w:tblLayout w:type="fixed"/>
        <w:tblCellMar>
          <w:left w:w="62" w:type="dxa"/>
          <w:right w:w="62" w:type="dxa"/>
        </w:tblCellMar>
        <w:tblLook w:val="0000"/>
      </w:tblPr>
      <w:tblGrid>
        <w:gridCol w:w="2937"/>
        <w:gridCol w:w="5585"/>
      </w:tblGrid>
      <w:tr w:rsidTr="00EC71BB">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377">
            <w:pPr>
              <w:pStyle w:val="BodyText"/>
              <w:rPr>
                <w:lang w:val="en-NZ"/>
              </w:rPr>
            </w:pPr>
            <w:r w:rsidRPr="00525377">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377" w:rsidP="00525377">
            <w:pPr>
              <w:pStyle w:val="BodyText"/>
            </w:pPr>
            <w:r w:rsidRPr="00525377">
              <w:t>CM Tools</w:t>
            </w:r>
          </w:p>
        </w:tc>
      </w:tr>
    </w:tbl>
    <w:p w:rsidR="00000000" w:rsidRPr="00525377" w:rsidP="00525377">
      <w:pPr>
        <w:pStyle w:val="BodyText"/>
      </w:pPr>
    </w:p>
    <w:p w:rsidR="00000000" w:rsidRPr="00525377" w:rsidP="00525377">
      <w:pPr>
        <w:pStyle w:val="AllowPageBreak"/>
      </w:pPr>
    </w:p>
    <w:p w:rsidR="00000000" w:rsidRPr="00525377" w:rsidP="00525377">
      <w:pPr>
        <w:pStyle w:val="Heading1"/>
      </w:pPr>
      <w:bookmarkStart w:id="13" w:name="O_159231"/>
      <w:bookmarkEnd w:id="13"/>
      <w:r w:rsidRPr="00525377">
        <w:t>Co-requisite units</w:t>
      </w:r>
    </w:p>
    <w:tbl>
      <w:tblPr>
        <w:tblW w:w="0" w:type="auto"/>
        <w:tblLayout w:type="fixed"/>
        <w:tblCellMar>
          <w:left w:w="62" w:type="dxa"/>
          <w:right w:w="62" w:type="dxa"/>
        </w:tblCellMar>
        <w:tblLook w:val="0000"/>
      </w:tblPr>
      <w:tblGrid>
        <w:gridCol w:w="2937"/>
        <w:gridCol w:w="5585"/>
      </w:tblGrid>
      <w:tr w:rsidTr="00EC71BB">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377">
            <w:pPr>
              <w:pStyle w:val="BodyText"/>
              <w:rPr>
                <w:lang w:val="en-NZ"/>
              </w:rPr>
            </w:pPr>
            <w:r w:rsidRPr="00525377">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377" w:rsidP="00525377">
            <w:pPr>
              <w:pStyle w:val="BodyText"/>
            </w:pPr>
          </w:p>
        </w:tc>
      </w:tr>
    </w:tbl>
    <w:p w:rsidR="00000000" w:rsidRPr="00525377" w:rsidP="00525377">
      <w:pPr>
        <w:pStyle w:val="BodyText"/>
      </w:pPr>
    </w:p>
    <w:p w:rsidR="00000000" w:rsidRPr="00525377" w:rsidP="00525377">
      <w:pPr>
        <w:pStyle w:val="AllowPageBreak"/>
      </w:pPr>
    </w:p>
    <w:p w:rsidR="00000000" w:rsidRPr="00525377" w:rsidP="00525377">
      <w:pPr>
        <w:pStyle w:val="Heading1"/>
      </w:pPr>
      <w:bookmarkStart w:id="14" w:name="O_159232"/>
      <w:bookmarkEnd w:id="14"/>
      <w:r w:rsidRPr="00525377">
        <w:t>Functional area</w:t>
      </w:r>
    </w:p>
    <w:tbl>
      <w:tblPr>
        <w:tblW w:w="0" w:type="auto"/>
        <w:tblLayout w:type="fixed"/>
        <w:tblCellMar>
          <w:left w:w="62" w:type="dxa"/>
          <w:right w:w="62" w:type="dxa"/>
        </w:tblCellMar>
        <w:tblLook w:val="0000"/>
      </w:tblPr>
      <w:tblGrid>
        <w:gridCol w:w="2937"/>
        <w:gridCol w:w="5585"/>
      </w:tblGrid>
      <w:tr w:rsidTr="00EC71BB">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377">
            <w:pPr>
              <w:pStyle w:val="BodyText"/>
              <w:rPr>
                <w:lang w:val="en-NZ"/>
              </w:rPr>
            </w:pPr>
            <w:r w:rsidRPr="00525377">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377" w:rsidP="00525377">
            <w:pPr>
              <w:pStyle w:val="BodyText"/>
            </w:pPr>
          </w:p>
        </w:tc>
      </w:tr>
    </w:tbl>
    <w:p w:rsidR="00000000" w:rsidRPr="00525377" w:rsidP="00525377">
      <w:pPr>
        <w:pStyle w:val="BodyText"/>
      </w:pPr>
    </w:p>
    <w:p w:rsidR="00000000" w:rsidRPr="00525377" w:rsidP="00525377"/>
    <w:sectPr w:rsidSect="005253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3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71BB" w:rsidP="00EC71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3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1BB" w:rsidP="005253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C71BB" w:rsidP="005253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C71BB" w:rsidP="005253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3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71BB" w:rsidP="00EC71B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3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1BB" w:rsidP="00525377">
    <w:pPr>
      <w:pStyle w:val="Header"/>
      <w:framePr w:wrap="around"/>
    </w:pPr>
    <w:r>
      <w:fldChar w:fldCharType="begin"/>
    </w:r>
    <w:r>
      <w:instrText xml:space="preserve"> TITLE   \* MERGEFORMAT </w:instrText>
    </w:r>
    <w:r>
      <w:fldChar w:fldCharType="separate"/>
    </w:r>
    <w:r>
      <w:t>MSACMT632A Analyse cost implications of maintenance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C71BB" w:rsidP="005253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7234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8C16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53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25377"/>
    <w:pPr>
      <w:spacing w:before="360" w:after="60"/>
      <w:outlineLvl w:val="0"/>
    </w:pPr>
    <w:rPr>
      <w:sz w:val="32"/>
    </w:rPr>
  </w:style>
  <w:style w:type="paragraph" w:styleId="Heading2">
    <w:name w:val="heading 2"/>
    <w:basedOn w:val="HeadingBase"/>
    <w:next w:val="BodyText"/>
    <w:link w:val="Heading2Char"/>
    <w:qFormat/>
    <w:rsid w:val="00525377"/>
    <w:pPr>
      <w:keepLines/>
      <w:spacing w:before="240" w:after="120"/>
      <w:outlineLvl w:val="1"/>
    </w:pPr>
    <w:rPr>
      <w:sz w:val="28"/>
      <w:szCs w:val="40"/>
    </w:rPr>
  </w:style>
  <w:style w:type="paragraph" w:styleId="Heading3">
    <w:name w:val="heading 3"/>
    <w:basedOn w:val="HeadingBase"/>
    <w:next w:val="BodyText"/>
    <w:link w:val="Heading3Char"/>
    <w:qFormat/>
    <w:rsid w:val="00525377"/>
    <w:pPr>
      <w:spacing w:before="180" w:after="120"/>
      <w:outlineLvl w:val="2"/>
    </w:pPr>
    <w:rPr>
      <w:spacing w:val="-10"/>
      <w:kern w:val="32"/>
    </w:rPr>
  </w:style>
  <w:style w:type="paragraph" w:styleId="Heading4">
    <w:name w:val="heading 4"/>
    <w:basedOn w:val="HeadingBase"/>
    <w:next w:val="BodyText"/>
    <w:link w:val="Heading4Char"/>
    <w:qFormat/>
    <w:rsid w:val="00525377"/>
    <w:pPr>
      <w:spacing w:before="160" w:after="120"/>
      <w:outlineLvl w:val="3"/>
    </w:pPr>
    <w:rPr>
      <w:sz w:val="22"/>
    </w:rPr>
  </w:style>
  <w:style w:type="paragraph" w:styleId="Heading5">
    <w:name w:val="heading 5"/>
    <w:basedOn w:val="HeadingBase"/>
    <w:next w:val="Normal"/>
    <w:link w:val="Heading5Char"/>
    <w:qFormat/>
    <w:rsid w:val="00525377"/>
    <w:pPr>
      <w:spacing w:before="80"/>
      <w:outlineLvl w:val="4"/>
    </w:pPr>
    <w:rPr>
      <w:color w:val="918585"/>
      <w:sz w:val="20"/>
    </w:rPr>
  </w:style>
  <w:style w:type="paragraph" w:styleId="Heading6">
    <w:name w:val="heading 6"/>
    <w:basedOn w:val="HeadingBase"/>
    <w:next w:val="Normal"/>
    <w:link w:val="Heading6Char"/>
    <w:qFormat/>
    <w:rsid w:val="00525377"/>
    <w:pPr>
      <w:spacing w:before="60"/>
      <w:outlineLvl w:val="5"/>
    </w:pPr>
    <w:rPr>
      <w:color w:val="918585"/>
      <w:sz w:val="20"/>
    </w:rPr>
  </w:style>
  <w:style w:type="paragraph" w:styleId="Heading7">
    <w:name w:val="heading 7"/>
    <w:basedOn w:val="Normal"/>
    <w:next w:val="Normal"/>
    <w:link w:val="Heading7Char"/>
    <w:qFormat/>
    <w:rsid w:val="00525377"/>
    <w:pPr>
      <w:ind w:left="720"/>
      <w:outlineLvl w:val="6"/>
    </w:pPr>
    <w:rPr>
      <w:i/>
    </w:rPr>
  </w:style>
  <w:style w:type="paragraph" w:styleId="Heading8">
    <w:name w:val="heading 8"/>
    <w:basedOn w:val="Normal"/>
    <w:next w:val="Normal"/>
    <w:link w:val="Heading8Char"/>
    <w:qFormat/>
    <w:rsid w:val="00525377"/>
    <w:pPr>
      <w:ind w:left="720"/>
      <w:outlineLvl w:val="7"/>
    </w:pPr>
    <w:rPr>
      <w:i/>
    </w:rPr>
  </w:style>
  <w:style w:type="paragraph" w:styleId="Heading9">
    <w:name w:val="heading 9"/>
    <w:basedOn w:val="Normal"/>
    <w:next w:val="Normal"/>
    <w:link w:val="Heading9Char"/>
    <w:qFormat/>
    <w:rsid w:val="00525377"/>
    <w:pPr>
      <w:ind w:left="720"/>
      <w:outlineLvl w:val="8"/>
    </w:pPr>
    <w:rPr>
      <w:i/>
    </w:rPr>
  </w:style>
  <w:style w:type="character" w:default="1" w:styleId="DefaultParagraphFont">
    <w:name w:val="Default Paragraph Font"/>
    <w:uiPriority w:val="1"/>
    <w:unhideWhenUsed/>
    <w:rsid w:val="005253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5377"/>
  </w:style>
  <w:style w:type="character" w:customStyle="1" w:styleId="Heading1Char">
    <w:name w:val="Heading 1 Char"/>
    <w:basedOn w:val="DefaultParagraphFont"/>
    <w:link w:val="Heading1"/>
    <w:rsid w:val="00525377"/>
    <w:rPr>
      <w:rFonts w:ascii="Times New Roman" w:eastAsia="Times New Roman" w:hAnsi="Times New Roman" w:cs="Times New Roman"/>
      <w:b/>
      <w:sz w:val="32"/>
      <w:szCs w:val="20"/>
      <w:lang w:eastAsia="en-US"/>
    </w:rPr>
  </w:style>
  <w:style w:type="paragraph" w:styleId="BodyText">
    <w:name w:val="Body Text"/>
    <w:basedOn w:val="Normal"/>
    <w:link w:val="BodyTextChar"/>
    <w:rsid w:val="005253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5377"/>
    <w:rPr>
      <w:rFonts w:ascii="Times New Roman" w:eastAsia="Times New Roman" w:hAnsi="Times New Roman" w:cs="Times New Roman"/>
      <w:sz w:val="24"/>
      <w:lang w:val="en-US" w:eastAsia="en-US"/>
    </w:rPr>
  </w:style>
  <w:style w:type="paragraph" w:styleId="Footer">
    <w:name w:val="footer"/>
    <w:basedOn w:val="Normal"/>
    <w:link w:val="FooterChar"/>
    <w:rsid w:val="005253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5377"/>
    <w:rPr>
      <w:rFonts w:ascii="Times New Roman" w:eastAsia="Times New Roman" w:hAnsi="Times New Roman" w:cs="Times New Roman"/>
      <w:sz w:val="16"/>
      <w:lang w:val="en-US" w:eastAsia="en-US"/>
    </w:rPr>
  </w:style>
  <w:style w:type="paragraph" w:styleId="List">
    <w:name w:val="List"/>
    <w:basedOn w:val="BodyText"/>
    <w:next w:val="BodyText"/>
    <w:rsid w:val="00525377"/>
    <w:pPr>
      <w:tabs>
        <w:tab w:val="left" w:pos="340"/>
      </w:tabs>
      <w:spacing w:before="60" w:after="60"/>
      <w:ind w:left="340" w:hanging="340"/>
    </w:pPr>
  </w:style>
  <w:style w:type="paragraph" w:styleId="ListBullet">
    <w:name w:val="List Bullet"/>
    <w:basedOn w:val="List"/>
    <w:rsid w:val="00525377"/>
    <w:pPr>
      <w:numPr>
        <w:numId w:val="12"/>
      </w:numPr>
      <w:tabs>
        <w:tab w:val="clear" w:pos="340"/>
      </w:tabs>
      <w:spacing w:before="40" w:after="40"/>
    </w:pPr>
  </w:style>
  <w:style w:type="character" w:customStyle="1" w:styleId="SpecialBold">
    <w:name w:val="Special Bold"/>
    <w:basedOn w:val="DefaultParagraphFont"/>
    <w:rsid w:val="00525377"/>
    <w:rPr>
      <w:b/>
      <w:spacing w:val="0"/>
    </w:rPr>
  </w:style>
  <w:style w:type="paragraph" w:styleId="Header">
    <w:name w:val="header"/>
    <w:basedOn w:val="Normal"/>
    <w:link w:val="HeaderChar"/>
    <w:rsid w:val="005253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537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25377"/>
    <w:rPr>
      <w:i/>
    </w:rPr>
  </w:style>
  <w:style w:type="paragraph" w:customStyle="1" w:styleId="SuperHeading">
    <w:name w:val="SuperHeading"/>
    <w:basedOn w:val="Normal"/>
    <w:rsid w:val="00525377"/>
    <w:pPr>
      <w:spacing w:before="240" w:after="120"/>
      <w:outlineLvl w:val="0"/>
    </w:pPr>
    <w:rPr>
      <w:rFonts w:ascii="Times New Roman" w:hAnsi="Times New Roman"/>
      <w:b/>
      <w:sz w:val="28"/>
    </w:rPr>
  </w:style>
  <w:style w:type="paragraph" w:customStyle="1" w:styleId="AllowPageBreak">
    <w:name w:val="AllowPageBreak"/>
    <w:rsid w:val="0052537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25377"/>
    <w:pPr>
      <w:tabs>
        <w:tab w:val="left" w:pos="680"/>
      </w:tabs>
      <w:spacing w:before="60" w:after="60"/>
      <w:ind w:left="680" w:hanging="340"/>
    </w:pPr>
  </w:style>
  <w:style w:type="character" w:customStyle="1" w:styleId="BoldandItalics">
    <w:name w:val="Bold and Italics"/>
    <w:qFormat/>
    <w:rsid w:val="00525377"/>
    <w:rPr>
      <w:b/>
      <w:i/>
      <w:u w:val="none"/>
    </w:rPr>
  </w:style>
  <w:style w:type="character" w:customStyle="1" w:styleId="Heading2Char">
    <w:name w:val="Heading 2 Char"/>
    <w:basedOn w:val="DefaultParagraphFont"/>
    <w:link w:val="Heading2"/>
    <w:rsid w:val="005253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53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53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53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53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53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253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25377"/>
    <w:rPr>
      <w:rFonts w:ascii="Courier New" w:eastAsia="Times New Roman" w:hAnsi="Courier New" w:cs="Times New Roman"/>
      <w:i/>
      <w:szCs w:val="20"/>
      <w:lang w:val="en-US" w:eastAsia="en-US"/>
    </w:rPr>
  </w:style>
  <w:style w:type="paragraph" w:customStyle="1" w:styleId="HeadingBase">
    <w:name w:val="Heading Base"/>
    <w:rsid w:val="005253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5377"/>
    <w:pPr>
      <w:tabs>
        <w:tab w:val="right" w:leader="dot" w:pos="9072"/>
      </w:tabs>
      <w:ind w:left="567"/>
    </w:pPr>
    <w:rPr>
      <w:szCs w:val="22"/>
    </w:rPr>
  </w:style>
  <w:style w:type="paragraph" w:customStyle="1" w:styleId="TOCBase">
    <w:name w:val="TOC Base"/>
    <w:rsid w:val="005253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5377"/>
    <w:pPr>
      <w:tabs>
        <w:tab w:val="right" w:leader="dot" w:pos="9072"/>
      </w:tabs>
      <w:spacing w:before="40" w:after="40"/>
      <w:ind w:left="284"/>
    </w:pPr>
    <w:rPr>
      <w:rFonts w:ascii="Times New Roman" w:hAnsi="Times New Roman"/>
    </w:rPr>
  </w:style>
  <w:style w:type="paragraph" w:styleId="TOC1">
    <w:name w:val="toc 1"/>
    <w:basedOn w:val="TOCBase"/>
    <w:next w:val="Normal"/>
    <w:rsid w:val="005253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5377"/>
    <w:pPr>
      <w:spacing w:before="5040"/>
      <w:jc w:val="center"/>
    </w:pPr>
    <w:rPr>
      <w:sz w:val="48"/>
      <w:szCs w:val="72"/>
      <w:lang w:val="en-US"/>
    </w:rPr>
  </w:style>
  <w:style w:type="character" w:customStyle="1" w:styleId="TitleChar">
    <w:name w:val="Title Char"/>
    <w:basedOn w:val="DefaultParagraphFont"/>
    <w:link w:val="Title"/>
    <w:rsid w:val="005253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5377"/>
    <w:pPr>
      <w:tabs>
        <w:tab w:val="left" w:pos="3600"/>
        <w:tab w:val="left" w:pos="3958"/>
      </w:tabs>
    </w:pPr>
  </w:style>
  <w:style w:type="paragraph" w:customStyle="1" w:styleId="Note">
    <w:name w:val="Note"/>
    <w:basedOn w:val="BodyText"/>
    <w:rsid w:val="005253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5377"/>
    <w:pPr>
      <w:framePr w:wrap="auto" w:hAnchor="text" w:y="6049"/>
    </w:pPr>
    <w:rPr>
      <w:color w:val="000000"/>
      <w:sz w:val="40"/>
    </w:rPr>
  </w:style>
  <w:style w:type="paragraph" w:customStyle="1" w:styleId="TOCTitle">
    <w:name w:val="TOCTitle"/>
    <w:basedOn w:val="Heading1"/>
    <w:rsid w:val="00525377"/>
    <w:pPr>
      <w:spacing w:after="240"/>
      <w:jc w:val="center"/>
      <w:outlineLvl w:val="9"/>
    </w:pPr>
    <w:rPr>
      <w:caps/>
    </w:rPr>
  </w:style>
  <w:style w:type="paragraph" w:customStyle="1" w:styleId="Version">
    <w:name w:val="Version"/>
    <w:rsid w:val="005253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5377"/>
    <w:pPr>
      <w:numPr>
        <w:numId w:val="13"/>
      </w:numPr>
      <w:tabs>
        <w:tab w:val="clear" w:pos="680"/>
      </w:tabs>
    </w:pPr>
  </w:style>
  <w:style w:type="paragraph" w:styleId="Index1">
    <w:name w:val="index 1"/>
    <w:basedOn w:val="Normal"/>
    <w:next w:val="Normal"/>
    <w:semiHidden/>
    <w:rsid w:val="00525377"/>
    <w:pPr>
      <w:keepNext w:val="0"/>
      <w:tabs>
        <w:tab w:val="right" w:pos="4176"/>
      </w:tabs>
      <w:ind w:left="198" w:hanging="198"/>
    </w:pPr>
    <w:rPr>
      <w:rFonts w:ascii="Garamond" w:hAnsi="Garamond"/>
    </w:rPr>
  </w:style>
  <w:style w:type="paragraph" w:styleId="IndexHeading">
    <w:name w:val="index heading"/>
    <w:basedOn w:val="Normal"/>
    <w:next w:val="Index1"/>
    <w:semiHidden/>
    <w:rsid w:val="00525377"/>
    <w:pPr>
      <w:spacing w:before="120" w:after="120"/>
    </w:pPr>
    <w:rPr>
      <w:rFonts w:ascii="Arial" w:hAnsi="Arial"/>
      <w:b/>
      <w:color w:val="918585"/>
      <w:sz w:val="24"/>
    </w:rPr>
  </w:style>
  <w:style w:type="paragraph" w:customStyle="1" w:styleId="Chapter">
    <w:name w:val="Chapter"/>
    <w:basedOn w:val="Normal"/>
    <w:rsid w:val="00525377"/>
    <w:pPr>
      <w:spacing w:before="240"/>
    </w:pPr>
    <w:rPr>
      <w:rFonts w:ascii="Times New Roman" w:hAnsi="Times New Roman"/>
      <w:smallCaps/>
      <w:spacing w:val="80"/>
      <w:sz w:val="28"/>
    </w:rPr>
  </w:style>
  <w:style w:type="paragraph" w:customStyle="1" w:styleId="InChapter">
    <w:name w:val="InChapter"/>
    <w:basedOn w:val="Heading3"/>
    <w:rsid w:val="00525377"/>
    <w:pPr>
      <w:spacing w:after="240"/>
      <w:outlineLvl w:val="9"/>
    </w:pPr>
    <w:rPr>
      <w:noProof/>
    </w:rPr>
  </w:style>
  <w:style w:type="paragraph" w:styleId="Index2">
    <w:name w:val="index 2"/>
    <w:basedOn w:val="Normal"/>
    <w:next w:val="Normal"/>
    <w:semiHidden/>
    <w:rsid w:val="00525377"/>
    <w:pPr>
      <w:tabs>
        <w:tab w:val="right" w:pos="4176"/>
      </w:tabs>
      <w:ind w:left="568" w:hanging="284"/>
    </w:pPr>
    <w:rPr>
      <w:rFonts w:ascii="Garamond" w:hAnsi="Garamond"/>
    </w:rPr>
  </w:style>
  <w:style w:type="paragraph" w:customStyle="1" w:styleId="Byline">
    <w:name w:val="Byline"/>
    <w:rsid w:val="005253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5377"/>
    <w:pPr>
      <w:tabs>
        <w:tab w:val="clear" w:pos="3600"/>
        <w:tab w:val="clear" w:pos="3958"/>
      </w:tabs>
      <w:jc w:val="right"/>
    </w:pPr>
  </w:style>
  <w:style w:type="paragraph" w:styleId="Caption">
    <w:name w:val="caption"/>
    <w:basedOn w:val="BodyText"/>
    <w:next w:val="Normal"/>
    <w:qFormat/>
    <w:rsid w:val="00525377"/>
    <w:pPr>
      <w:framePr w:w="2268" w:hSpace="181" w:vSpace="181" w:wrap="around" w:vAnchor="text" w:hAnchor="page" w:x="1135" w:y="285" w:anchorLock="1"/>
    </w:pPr>
    <w:rPr>
      <w:i/>
    </w:rPr>
  </w:style>
  <w:style w:type="paragraph" w:customStyle="1" w:styleId="MiniTOCTitle">
    <w:name w:val="MiniTOCTitle"/>
    <w:basedOn w:val="Heading4"/>
    <w:rsid w:val="00525377"/>
    <w:pPr>
      <w:spacing w:before="240"/>
      <w:outlineLvl w:val="9"/>
    </w:pPr>
    <w:rPr>
      <w:noProof/>
      <w:sz w:val="24"/>
    </w:rPr>
  </w:style>
  <w:style w:type="paragraph" w:customStyle="1" w:styleId="MiniTOCItem">
    <w:name w:val="MiniTOCItem"/>
    <w:basedOn w:val="ListBullet"/>
    <w:rsid w:val="00525377"/>
    <w:pPr>
      <w:numPr>
        <w:numId w:val="0"/>
      </w:numPr>
      <w:tabs>
        <w:tab w:val="right" w:leader="dot" w:pos="6521"/>
      </w:tabs>
      <w:spacing w:before="0" w:after="0"/>
    </w:pPr>
  </w:style>
  <w:style w:type="paragraph" w:customStyle="1" w:styleId="TOFTitle">
    <w:name w:val="TOFTitle"/>
    <w:basedOn w:val="TOCTitle"/>
    <w:rsid w:val="00525377"/>
  </w:style>
  <w:style w:type="paragraph" w:styleId="TableofFigures">
    <w:name w:val="table of figures"/>
    <w:basedOn w:val="Normal"/>
    <w:next w:val="Normal"/>
    <w:semiHidden/>
    <w:rsid w:val="00525377"/>
    <w:pPr>
      <w:tabs>
        <w:tab w:val="right" w:leader="dot" w:pos="9072"/>
      </w:tabs>
      <w:ind w:left="970" w:hanging="403"/>
    </w:pPr>
    <w:rPr>
      <w:rFonts w:ascii="Times New Roman" w:hAnsi="Times New Roman"/>
      <w:b/>
    </w:rPr>
  </w:style>
  <w:style w:type="paragraph" w:styleId="ListNumber">
    <w:name w:val="List Number"/>
    <w:basedOn w:val="List"/>
    <w:rsid w:val="00525377"/>
    <w:pPr>
      <w:numPr>
        <w:numId w:val="10"/>
      </w:numPr>
    </w:pPr>
  </w:style>
  <w:style w:type="character" w:customStyle="1" w:styleId="WingdingSymbols">
    <w:name w:val="Wingding Symbols"/>
    <w:rsid w:val="00525377"/>
    <w:rPr>
      <w:rFonts w:ascii="Wingdings" w:hAnsi="Wingdings"/>
    </w:rPr>
  </w:style>
  <w:style w:type="paragraph" w:customStyle="1" w:styleId="TableHeading">
    <w:name w:val="Table Heading"/>
    <w:basedOn w:val="HeadingBase"/>
    <w:rsid w:val="00525377"/>
    <w:pPr>
      <w:keepLines/>
      <w:pBdr>
        <w:bottom w:val="single" w:sz="6" w:space="1" w:color="918585"/>
      </w:pBdr>
      <w:spacing w:before="240"/>
    </w:pPr>
  </w:style>
  <w:style w:type="character" w:customStyle="1" w:styleId="HotSpot">
    <w:name w:val="HotSpot"/>
    <w:rsid w:val="00525377"/>
    <w:rPr>
      <w:color w:val="0033CC"/>
      <w:u w:val="none"/>
    </w:rPr>
  </w:style>
  <w:style w:type="paragraph" w:customStyle="1" w:styleId="BodyTextRight">
    <w:name w:val="Body Text Right"/>
    <w:basedOn w:val="BodyText"/>
    <w:rsid w:val="00525377"/>
    <w:pPr>
      <w:spacing w:before="0" w:after="0"/>
      <w:jc w:val="right"/>
    </w:pPr>
  </w:style>
  <w:style w:type="paragraph" w:styleId="Index3">
    <w:name w:val="index 3"/>
    <w:basedOn w:val="ListNumber2"/>
    <w:next w:val="Normal"/>
    <w:semiHidden/>
    <w:rsid w:val="00525377"/>
    <w:pPr>
      <w:numPr>
        <w:numId w:val="0"/>
      </w:numPr>
      <w:tabs>
        <w:tab w:val="right" w:leader="dot" w:pos="4176"/>
      </w:tabs>
    </w:pPr>
  </w:style>
  <w:style w:type="paragraph" w:styleId="ListNumber2">
    <w:name w:val="List Number 2"/>
    <w:basedOn w:val="List2"/>
    <w:rsid w:val="00525377"/>
    <w:pPr>
      <w:numPr>
        <w:numId w:val="9"/>
      </w:numPr>
      <w:tabs>
        <w:tab w:val="clear" w:pos="1060"/>
      </w:tabs>
    </w:pPr>
  </w:style>
  <w:style w:type="paragraph" w:customStyle="1" w:styleId="MarginNote">
    <w:name w:val="Margin Note"/>
    <w:basedOn w:val="BodyText"/>
    <w:rsid w:val="005253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53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53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25377"/>
    <w:rPr>
      <w:sz w:val="32"/>
    </w:rPr>
  </w:style>
  <w:style w:type="paragraph" w:customStyle="1" w:styleId="HeadingProcedure">
    <w:name w:val="Heading Procedure"/>
    <w:basedOn w:val="HeadingBase"/>
    <w:next w:val="Normal"/>
    <w:rsid w:val="00525377"/>
    <w:pPr>
      <w:tabs>
        <w:tab w:val="left" w:pos="0"/>
      </w:tabs>
      <w:spacing w:before="120" w:after="60"/>
    </w:pPr>
    <w:rPr>
      <w:i/>
      <w:color w:val="918585"/>
      <w:sz w:val="22"/>
    </w:rPr>
  </w:style>
  <w:style w:type="paragraph" w:customStyle="1" w:styleId="TableBodyText">
    <w:name w:val="Table Body Text"/>
    <w:basedOn w:val="BodyText"/>
    <w:rsid w:val="00525377"/>
    <w:pPr>
      <w:spacing w:before="60" w:after="60"/>
    </w:pPr>
  </w:style>
  <w:style w:type="paragraph" w:styleId="ListContinue">
    <w:name w:val="List Continue"/>
    <w:basedOn w:val="List"/>
    <w:rsid w:val="00525377"/>
    <w:pPr>
      <w:ind w:firstLine="0"/>
    </w:pPr>
  </w:style>
  <w:style w:type="paragraph" w:customStyle="1" w:styleId="ListNote">
    <w:name w:val="List Note"/>
    <w:basedOn w:val="List"/>
    <w:rsid w:val="00525377"/>
    <w:pPr>
      <w:pBdr>
        <w:top w:val="single" w:sz="6" w:space="2" w:color="918585"/>
        <w:bottom w:val="single" w:sz="6" w:space="2" w:color="918585"/>
      </w:pBdr>
      <w:tabs>
        <w:tab w:val="left" w:pos="1021"/>
      </w:tabs>
      <w:ind w:firstLine="0"/>
    </w:pPr>
  </w:style>
  <w:style w:type="paragraph" w:customStyle="1" w:styleId="Warning">
    <w:name w:val="Warning"/>
    <w:basedOn w:val="BodyText"/>
    <w:rsid w:val="00525377"/>
    <w:pPr>
      <w:shd w:val="clear" w:color="auto" w:fill="D9D9D9"/>
      <w:tabs>
        <w:tab w:val="left" w:pos="992"/>
      </w:tabs>
      <w:ind w:left="119" w:right="119"/>
    </w:pPr>
    <w:rPr>
      <w:sz w:val="20"/>
    </w:rPr>
  </w:style>
  <w:style w:type="paragraph" w:customStyle="1" w:styleId="MarginIcons">
    <w:name w:val="Margin Icons"/>
    <w:basedOn w:val="BodyText"/>
    <w:rsid w:val="005253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5377"/>
    <w:rPr>
      <w:rFonts w:ascii="Courier New" w:hAnsi="Courier New"/>
    </w:rPr>
  </w:style>
  <w:style w:type="paragraph" w:customStyle="1" w:styleId="NoteBullet">
    <w:name w:val="Note Bullet"/>
    <w:basedOn w:val="Note"/>
    <w:rsid w:val="00525377"/>
    <w:pPr>
      <w:tabs>
        <w:tab w:val="clear" w:pos="680"/>
      </w:tabs>
      <w:spacing w:before="60" w:after="60"/>
    </w:pPr>
  </w:style>
  <w:style w:type="paragraph" w:customStyle="1" w:styleId="SubHeading2">
    <w:name w:val="SubHeading2"/>
    <w:basedOn w:val="HeadingBase"/>
    <w:rsid w:val="00525377"/>
    <w:pPr>
      <w:spacing w:before="240" w:after="60"/>
    </w:pPr>
    <w:rPr>
      <w:sz w:val="20"/>
    </w:rPr>
  </w:style>
  <w:style w:type="paragraph" w:customStyle="1" w:styleId="SubHeading1">
    <w:name w:val="SubHeading1"/>
    <w:basedOn w:val="HeadingBase"/>
    <w:rsid w:val="00525377"/>
    <w:pPr>
      <w:spacing w:before="240" w:after="60"/>
    </w:pPr>
    <w:rPr>
      <w:color w:val="918585"/>
      <w:sz w:val="22"/>
    </w:rPr>
  </w:style>
  <w:style w:type="paragraph" w:customStyle="1" w:styleId="SideHeading">
    <w:name w:val="Side Heading"/>
    <w:basedOn w:val="HeadingBase"/>
    <w:rsid w:val="005253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5377"/>
    <w:pPr>
      <w:tabs>
        <w:tab w:val="num" w:pos="360"/>
      </w:tabs>
    </w:pPr>
  </w:style>
  <w:style w:type="paragraph" w:styleId="PlainText">
    <w:name w:val="Plain Text"/>
    <w:basedOn w:val="Normal"/>
    <w:link w:val="PlainTextChar"/>
    <w:rsid w:val="00525377"/>
    <w:rPr>
      <w:sz w:val="20"/>
    </w:rPr>
  </w:style>
  <w:style w:type="character" w:customStyle="1" w:styleId="PlainTextChar">
    <w:name w:val="Plain Text Char"/>
    <w:basedOn w:val="DefaultParagraphFont"/>
    <w:link w:val="PlainText"/>
    <w:rsid w:val="0052537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25377"/>
    <w:rPr>
      <w:b/>
      <w:smallCaps/>
    </w:rPr>
  </w:style>
  <w:style w:type="paragraph" w:customStyle="1" w:styleId="TableListNumber">
    <w:name w:val="Table List Number"/>
    <w:basedOn w:val="ListNumber"/>
    <w:rsid w:val="00525377"/>
    <w:pPr>
      <w:numPr>
        <w:numId w:val="0"/>
      </w:numPr>
    </w:pPr>
  </w:style>
  <w:style w:type="paragraph" w:styleId="TOC4">
    <w:name w:val="toc 4"/>
    <w:basedOn w:val="TOCBase"/>
    <w:next w:val="Normal"/>
    <w:semiHidden/>
    <w:rsid w:val="00525377"/>
    <w:pPr>
      <w:tabs>
        <w:tab w:val="right" w:leader="dot" w:pos="9071"/>
      </w:tabs>
      <w:ind w:left="1701"/>
    </w:pPr>
  </w:style>
  <w:style w:type="paragraph" w:customStyle="1" w:styleId="ListAlpha">
    <w:name w:val="List Alpha"/>
    <w:basedOn w:val="List"/>
    <w:rsid w:val="00525377"/>
    <w:pPr>
      <w:numPr>
        <w:numId w:val="8"/>
      </w:numPr>
    </w:pPr>
  </w:style>
  <w:style w:type="paragraph" w:customStyle="1" w:styleId="ListAlpha2">
    <w:name w:val="List Alpha 2"/>
    <w:basedOn w:val="List2"/>
    <w:rsid w:val="00525377"/>
    <w:pPr>
      <w:numPr>
        <w:numId w:val="7"/>
      </w:numPr>
    </w:pPr>
  </w:style>
  <w:style w:type="paragraph" w:styleId="List3">
    <w:name w:val="List 3"/>
    <w:basedOn w:val="BodyText"/>
    <w:rsid w:val="00525377"/>
    <w:pPr>
      <w:tabs>
        <w:tab w:val="left" w:pos="1021"/>
      </w:tabs>
      <w:spacing w:before="60" w:after="60"/>
      <w:ind w:left="1020" w:hanging="340"/>
    </w:pPr>
  </w:style>
  <w:style w:type="paragraph" w:styleId="List4">
    <w:name w:val="List 4"/>
    <w:basedOn w:val="BodyText"/>
    <w:rsid w:val="00525377"/>
    <w:pPr>
      <w:tabs>
        <w:tab w:val="left" w:pos="1361"/>
      </w:tabs>
      <w:spacing w:before="60" w:after="60"/>
      <w:ind w:left="1361" w:hanging="340"/>
    </w:pPr>
  </w:style>
  <w:style w:type="paragraph" w:styleId="List5">
    <w:name w:val="List 5"/>
    <w:basedOn w:val="BodyText"/>
    <w:rsid w:val="00525377"/>
    <w:pPr>
      <w:tabs>
        <w:tab w:val="left" w:pos="1701"/>
      </w:tabs>
      <w:spacing w:before="60" w:after="60"/>
      <w:ind w:left="1701" w:hanging="340"/>
    </w:pPr>
  </w:style>
  <w:style w:type="paragraph" w:styleId="ListBullet3">
    <w:name w:val="List Bullet 3"/>
    <w:basedOn w:val="List3"/>
    <w:rsid w:val="00525377"/>
    <w:pPr>
      <w:numPr>
        <w:numId w:val="14"/>
      </w:numPr>
      <w:tabs>
        <w:tab w:val="clear" w:pos="1021"/>
      </w:tabs>
      <w:ind w:left="1037" w:hanging="357"/>
    </w:pPr>
  </w:style>
  <w:style w:type="paragraph" w:styleId="ListBullet4">
    <w:name w:val="List Bullet 4"/>
    <w:basedOn w:val="List4"/>
    <w:rsid w:val="00525377"/>
    <w:pPr>
      <w:numPr>
        <w:numId w:val="2"/>
      </w:numPr>
    </w:pPr>
  </w:style>
  <w:style w:type="paragraph" w:styleId="ListBullet5">
    <w:name w:val="List Bullet 5"/>
    <w:basedOn w:val="List5"/>
    <w:rsid w:val="00525377"/>
    <w:pPr>
      <w:numPr>
        <w:numId w:val="3"/>
      </w:numPr>
    </w:pPr>
  </w:style>
  <w:style w:type="paragraph" w:styleId="ListContinue2">
    <w:name w:val="List Continue 2"/>
    <w:basedOn w:val="List2"/>
    <w:rsid w:val="00525377"/>
    <w:pPr>
      <w:ind w:firstLine="0"/>
    </w:pPr>
  </w:style>
  <w:style w:type="paragraph" w:styleId="ListContinue3">
    <w:name w:val="List Continue 3"/>
    <w:basedOn w:val="List3"/>
    <w:rsid w:val="00525377"/>
    <w:pPr>
      <w:ind w:left="1021" w:firstLine="0"/>
    </w:pPr>
  </w:style>
  <w:style w:type="paragraph" w:styleId="ListContinue4">
    <w:name w:val="List Continue 4"/>
    <w:basedOn w:val="List4"/>
    <w:rsid w:val="00525377"/>
    <w:pPr>
      <w:ind w:firstLine="0"/>
    </w:pPr>
  </w:style>
  <w:style w:type="paragraph" w:styleId="ListContinue5">
    <w:name w:val="List Continue 5"/>
    <w:basedOn w:val="List5"/>
    <w:rsid w:val="00525377"/>
    <w:pPr>
      <w:ind w:firstLine="0"/>
    </w:pPr>
  </w:style>
  <w:style w:type="paragraph" w:styleId="ListNumber3">
    <w:name w:val="List Number 3"/>
    <w:basedOn w:val="List3"/>
    <w:rsid w:val="00525377"/>
    <w:pPr>
      <w:numPr>
        <w:numId w:val="4"/>
      </w:numPr>
    </w:pPr>
  </w:style>
  <w:style w:type="paragraph" w:styleId="ListNumber4">
    <w:name w:val="List Number 4"/>
    <w:basedOn w:val="List4"/>
    <w:rsid w:val="00525377"/>
    <w:pPr>
      <w:numPr>
        <w:numId w:val="5"/>
      </w:numPr>
    </w:pPr>
  </w:style>
  <w:style w:type="paragraph" w:styleId="ListNumber5">
    <w:name w:val="List Number 5"/>
    <w:basedOn w:val="List5"/>
    <w:rsid w:val="00525377"/>
    <w:pPr>
      <w:numPr>
        <w:numId w:val="6"/>
      </w:numPr>
    </w:pPr>
  </w:style>
  <w:style w:type="paragraph" w:styleId="BlockText">
    <w:name w:val="Block Text"/>
    <w:basedOn w:val="Normal"/>
    <w:rsid w:val="00525377"/>
    <w:pPr>
      <w:spacing w:after="120"/>
      <w:ind w:left="1440" w:right="1440"/>
    </w:pPr>
  </w:style>
  <w:style w:type="character" w:customStyle="1" w:styleId="Subscript">
    <w:name w:val="Subscript"/>
    <w:basedOn w:val="DefaultParagraphFont"/>
    <w:rsid w:val="00525377"/>
    <w:rPr>
      <w:sz w:val="16"/>
      <w:vertAlign w:val="subscript"/>
    </w:rPr>
  </w:style>
  <w:style w:type="character" w:customStyle="1" w:styleId="Superscript">
    <w:name w:val="Superscript"/>
    <w:basedOn w:val="DefaultParagraphFont"/>
    <w:rsid w:val="00525377"/>
    <w:rPr>
      <w:sz w:val="16"/>
      <w:vertAlign w:val="superscript"/>
    </w:rPr>
  </w:style>
  <w:style w:type="character" w:customStyle="1" w:styleId="Symbols">
    <w:name w:val="Symbols"/>
    <w:basedOn w:val="DefaultParagraphFont"/>
    <w:rsid w:val="00525377"/>
    <w:rPr>
      <w:rFonts w:ascii="Symbol" w:hAnsi="Symbol"/>
    </w:rPr>
  </w:style>
  <w:style w:type="character" w:customStyle="1" w:styleId="MenuOptions">
    <w:name w:val="Menu Options"/>
    <w:basedOn w:val="DefaultParagraphFont"/>
    <w:rsid w:val="00525377"/>
    <w:rPr>
      <w:rFonts w:ascii="Arial Narrow" w:hAnsi="Arial Narrow"/>
      <w:smallCaps/>
    </w:rPr>
  </w:style>
  <w:style w:type="character" w:customStyle="1" w:styleId="Buttons">
    <w:name w:val="Buttons"/>
    <w:basedOn w:val="DefaultParagraphFont"/>
    <w:rsid w:val="00525377"/>
    <w:rPr>
      <w:b/>
    </w:rPr>
  </w:style>
  <w:style w:type="character" w:customStyle="1" w:styleId="Underlined">
    <w:name w:val="Underlined"/>
    <w:basedOn w:val="DefaultParagraphFont"/>
    <w:rsid w:val="00525377"/>
    <w:rPr>
      <w:u w:val="single"/>
    </w:rPr>
  </w:style>
  <w:style w:type="paragraph" w:customStyle="1" w:styleId="TableBodyTextRight">
    <w:name w:val="Table Body Text Right"/>
    <w:basedOn w:val="TableBodyText"/>
    <w:rsid w:val="00525377"/>
    <w:pPr>
      <w:widowControl w:val="0"/>
      <w:autoSpaceDE w:val="0"/>
      <w:autoSpaceDN w:val="0"/>
      <w:adjustRightInd w:val="0"/>
      <w:jc w:val="right"/>
    </w:pPr>
    <w:rPr>
      <w:rFonts w:cs="Arial"/>
      <w:szCs w:val="18"/>
    </w:rPr>
  </w:style>
  <w:style w:type="paragraph" w:customStyle="1" w:styleId="CopyrightText">
    <w:name w:val="Copyright Text"/>
    <w:basedOn w:val="BodyText"/>
    <w:rsid w:val="00525377"/>
    <w:rPr>
      <w:sz w:val="18"/>
    </w:rPr>
  </w:style>
  <w:style w:type="paragraph" w:customStyle="1" w:styleId="BodySmallRight">
    <w:name w:val="Body Small Right"/>
    <w:basedOn w:val="BodyTextRight"/>
    <w:rsid w:val="00525377"/>
    <w:rPr>
      <w:sz w:val="18"/>
      <w:szCs w:val="18"/>
    </w:rPr>
  </w:style>
  <w:style w:type="paragraph" w:customStyle="1" w:styleId="MarginEdition">
    <w:name w:val="Margin Edition"/>
    <w:basedOn w:val="MarginNote"/>
    <w:rsid w:val="00525377"/>
    <w:pPr>
      <w:spacing w:before="0" w:after="0"/>
    </w:pPr>
    <w:rPr>
      <w:rFonts w:ascii="Times New Roman" w:hAnsi="Times New Roman"/>
      <w:color w:val="999999"/>
    </w:rPr>
  </w:style>
  <w:style w:type="paragraph" w:customStyle="1" w:styleId="Spacer">
    <w:name w:val="Spacer"/>
    <w:basedOn w:val="Normal"/>
    <w:rsid w:val="00525377"/>
    <w:rPr>
      <w:sz w:val="2"/>
      <w:szCs w:val="2"/>
    </w:rPr>
  </w:style>
  <w:style w:type="character" w:customStyle="1" w:styleId="Small">
    <w:name w:val="Small"/>
    <w:basedOn w:val="DefaultParagraphFont"/>
    <w:rsid w:val="00525377"/>
    <w:rPr>
      <w:sz w:val="16"/>
    </w:rPr>
  </w:style>
  <w:style w:type="paragraph" w:customStyle="1" w:styleId="WideTable">
    <w:name w:val="Wide Table"/>
    <w:basedOn w:val="Normal"/>
    <w:rsid w:val="00525377"/>
    <w:pPr>
      <w:ind w:left="-1418"/>
    </w:pPr>
    <w:rPr>
      <w:sz w:val="2"/>
      <w:szCs w:val="2"/>
    </w:rPr>
  </w:style>
  <w:style w:type="character" w:styleId="PageNumber">
    <w:name w:val="page number"/>
    <w:basedOn w:val="DefaultParagraphFont"/>
    <w:rsid w:val="00525377"/>
  </w:style>
  <w:style w:type="paragraph" w:styleId="Quote">
    <w:name w:val="Quote"/>
    <w:basedOn w:val="Heading1"/>
    <w:link w:val="QuoteChar"/>
    <w:qFormat/>
    <w:rsid w:val="00525377"/>
    <w:rPr>
      <w:b w:val="0"/>
      <w:sz w:val="72"/>
      <w:szCs w:val="72"/>
      <w:lang w:val="en-NZ"/>
    </w:rPr>
  </w:style>
  <w:style w:type="character" w:customStyle="1" w:styleId="QuoteChar">
    <w:name w:val="Quote Char"/>
    <w:basedOn w:val="DefaultParagraphFont"/>
    <w:link w:val="Quote"/>
    <w:rsid w:val="005253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5377"/>
    <w:pPr>
      <w:pageBreakBefore/>
    </w:pPr>
  </w:style>
  <w:style w:type="paragraph" w:customStyle="1" w:styleId="Border">
    <w:name w:val="Border"/>
    <w:basedOn w:val="Normal"/>
    <w:qFormat/>
    <w:rsid w:val="005253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5377"/>
    <w:rPr>
      <w:b/>
      <w:bCs/>
      <w:i/>
      <w:iCs/>
      <w:color w:val="auto"/>
    </w:rPr>
  </w:style>
  <w:style w:type="paragraph" w:styleId="IntenseQuote">
    <w:name w:val="Intense Quote"/>
    <w:basedOn w:val="Normal"/>
    <w:next w:val="Normal"/>
    <w:link w:val="IntenseQuoteChar"/>
    <w:uiPriority w:val="30"/>
    <w:qFormat/>
    <w:rsid w:val="005253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537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25377"/>
    <w:rPr>
      <w:smallCaps/>
      <w:color w:val="auto"/>
      <w:u w:val="single"/>
    </w:rPr>
  </w:style>
  <w:style w:type="character" w:styleId="IntenseReference">
    <w:name w:val="Intense Reference"/>
    <w:basedOn w:val="DefaultParagraphFont"/>
    <w:uiPriority w:val="32"/>
    <w:qFormat/>
    <w:rsid w:val="00525377"/>
    <w:rPr>
      <w:b/>
      <w:bCs/>
      <w:smallCaps/>
      <w:color w:val="auto"/>
      <w:spacing w:val="5"/>
      <w:u w:val="single"/>
    </w:rPr>
  </w:style>
  <w:style w:type="paragraph" w:customStyle="1" w:styleId="2ColumnHeading">
    <w:name w:val="2Column Heading"/>
    <w:basedOn w:val="BodyText"/>
    <w:qFormat/>
    <w:rsid w:val="00525377"/>
    <w:pPr>
      <w:spacing w:after="60"/>
      <w:ind w:left="-2268"/>
    </w:pPr>
    <w:rPr>
      <w:b/>
    </w:rPr>
  </w:style>
  <w:style w:type="paragraph" w:customStyle="1" w:styleId="Heading1TOC">
    <w:name w:val="Heading1 TOC"/>
    <w:basedOn w:val="Normal"/>
    <w:qFormat/>
    <w:rsid w:val="00525377"/>
    <w:pPr>
      <w:spacing w:before="240" w:after="120"/>
    </w:pPr>
    <w:rPr>
      <w:rFonts w:ascii="Times New Roman" w:hAnsi="Times New Roman"/>
      <w:b/>
      <w:sz w:val="32"/>
    </w:rPr>
  </w:style>
  <w:style w:type="paragraph" w:customStyle="1" w:styleId="Heading2TOC">
    <w:name w:val="Heading2 TOC"/>
    <w:basedOn w:val="Normal"/>
    <w:qFormat/>
    <w:rsid w:val="00525377"/>
    <w:pPr>
      <w:spacing w:before="240" w:after="60"/>
    </w:pPr>
    <w:rPr>
      <w:rFonts w:ascii="Times New Roman" w:hAnsi="Times New Roman"/>
      <w:b/>
      <w:sz w:val="28"/>
    </w:rPr>
  </w:style>
  <w:style w:type="character" w:customStyle="1" w:styleId="Underline">
    <w:name w:val="Underline"/>
    <w:basedOn w:val="DefaultParagraphFont"/>
    <w:qFormat/>
    <w:rsid w:val="00525377"/>
    <w:rPr>
      <w:u w:val="single"/>
    </w:rPr>
  </w:style>
  <w:style w:type="paragraph" w:styleId="BalloonText">
    <w:name w:val="Balloon Text"/>
    <w:basedOn w:val="Normal"/>
    <w:link w:val="BalloonTextChar"/>
    <w:rsid w:val="00525377"/>
    <w:rPr>
      <w:rFonts w:ascii="Tahoma" w:hAnsi="Tahoma" w:cs="Tahoma"/>
      <w:sz w:val="16"/>
      <w:szCs w:val="16"/>
    </w:rPr>
  </w:style>
  <w:style w:type="character" w:customStyle="1" w:styleId="BalloonTextChar">
    <w:name w:val="Balloon Text Char"/>
    <w:basedOn w:val="DefaultParagraphFont"/>
    <w:link w:val="BalloonText"/>
    <w:rsid w:val="005253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253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537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1321</Words>
  <Characters>7943</Characters>
  <Application>Microsoft Office Word</Application>
  <DocSecurity>0</DocSecurity>
  <Lines>256</Lines>
  <Paragraphs>106</Paragraphs>
  <ScaleCrop>false</ScaleCrop>
  <Company>Author-it Software Corporation Ltd.</Company>
  <LinksUpToDate>false</LinksUpToDate>
  <CharactersWithSpaces>9181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MSACMT632A Analyse cost implications of maintenance strategy</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2012-05-26T18:27:00Z</dcterms:created>
  <dcterms:modified xsi:type="dcterms:W3CDTF">2012-05-26T18:27:00Z</dcterms:modified>
</cp:coreProperties>
</file>