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4AF" w:rsidP="000404AF">
      <w:pPr>
        <w:pStyle w:val="Title"/>
      </w:pPr>
      <w:r>
        <w:fldChar w:fldCharType="begin"/>
      </w:r>
      <w:r>
        <w:instrText xml:space="preserve"> TITLE   \* MERGEFORMAT </w:instrText>
      </w:r>
      <w:r>
        <w:fldChar w:fldCharType="separate"/>
      </w:r>
      <w:r>
        <w:t>MSACMT220A Apply quick changeover procedures</w:t>
      </w:r>
      <w:r>
        <w:fldChar w:fldCharType="end"/>
      </w:r>
    </w:p>
    <w:p w:rsidR="000404AF" w:rsidP="000404AF">
      <w:pPr>
        <w:pStyle w:val="Version"/>
        <w:sectPr w:rsidSect="00FD2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237B" w:rsidP="00FD237B">
      <w:pPr>
        <w:pStyle w:val="SuperHeading"/>
      </w:pPr>
      <w:r w:rsidRPr="00FD237B">
        <w:t>MSACMT220A Apply quick changeover procedures</w:t>
      </w:r>
    </w:p>
    <w:p w:rsidR="00000000" w:rsidRPr="00FD237B" w:rsidP="00FD237B">
      <w:pPr>
        <w:pStyle w:val="SuperHeading"/>
      </w:pPr>
    </w:p>
    <w:p w:rsidR="00000000" w:rsidRPr="00FD237B" w:rsidP="00FD237B">
      <w:pPr>
        <w:pStyle w:val="Heading1"/>
      </w:pPr>
      <w:bookmarkStart w:id="1" w:name="O_100407"/>
      <w:bookmarkEnd w:id="1"/>
      <w:r w:rsidRPr="00FD237B">
        <w:t>Modification History</w:t>
      </w:r>
    </w:p>
    <w:p w:rsidR="00000000" w:rsidRPr="00FD237B" w:rsidP="00FD237B">
      <w:pPr>
        <w:pStyle w:val="BodyText"/>
      </w:pPr>
      <w:r w:rsidRPr="00FD237B">
        <w:t>Not applicable.</w:t>
      </w:r>
    </w:p>
    <w:p w:rsidR="00000000" w:rsidRPr="00FD237B" w:rsidP="00FD237B">
      <w:pPr>
        <w:pStyle w:val="AllowPageBreak"/>
      </w:pPr>
    </w:p>
    <w:p w:rsidR="00000000" w:rsidRPr="00FD237B" w:rsidP="00FD237B">
      <w:pPr>
        <w:pStyle w:val="Heading1"/>
      </w:pPr>
      <w:bookmarkStart w:id="2" w:name="O_100408"/>
      <w:bookmarkEnd w:id="2"/>
      <w:r w:rsidRPr="00FD237B">
        <w:t>Unit Descriptor</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This unit covers the knowledge and skills needed to do quick changeovers.</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3" w:name="O_100409"/>
      <w:bookmarkEnd w:id="3"/>
      <w:r w:rsidRPr="00FD237B">
        <w:t>Application of the Unit</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In a typical scenario, an organisation is pursuing quick changeover as one of its competitive manufacturing tools. This unit covers the carrying out of these quick changeovers and also recommending improvemen</w:t>
            </w:r>
            <w:r w:rsidRPr="00FD237B">
              <w:t>ts within the scope and authority of the individual's job.</w:t>
            </w:r>
          </w:p>
          <w:p w:rsidR="00000000" w:rsidRPr="00FD237B" w:rsidP="00FD237B">
            <w:pPr>
              <w:pStyle w:val="BodyText"/>
            </w:pPr>
            <w:r w:rsidRPr="00FD237B">
              <w:t>Particular technical skills may also be required in some manufacturing sectors and for some jobs. These will be contained in the relevant industry Training Package.</w:t>
            </w:r>
          </w:p>
          <w:p w:rsidR="00000000" w:rsidRPr="00FD237B" w:rsidP="00FD237B">
            <w:pPr>
              <w:pStyle w:val="BodyText"/>
            </w:pPr>
            <w:r w:rsidRPr="00FD237B">
              <w:t>This unit requires the applicati</w:t>
            </w:r>
            <w:r w:rsidRPr="00FD237B">
              <w:t xml:space="preserve">on of skills associated with applying quick changeover procedures including the planning and organising of own work, identifying problems and making suggestions for improvement of procedures. </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4" w:name="O_100410"/>
      <w:bookmarkEnd w:id="4"/>
      <w:r w:rsidRPr="00FD237B">
        <w:t>Licensing/Regulatory Information</w:t>
      </w:r>
    </w:p>
    <w:p w:rsidR="00000000" w:rsidRPr="00FD237B" w:rsidP="00FD237B">
      <w:pPr>
        <w:pStyle w:val="BodyText"/>
      </w:pPr>
      <w:r w:rsidRPr="00FD237B">
        <w:t>Not applica</w:t>
      </w:r>
      <w:r w:rsidRPr="00FD237B">
        <w:t>ble.</w:t>
      </w:r>
    </w:p>
    <w:p w:rsidR="00000000" w:rsidRPr="00FD237B" w:rsidP="00FD237B">
      <w:pPr>
        <w:pStyle w:val="AllowPageBreak"/>
      </w:pPr>
    </w:p>
    <w:p w:rsidR="00000000" w:rsidRPr="00FD237B" w:rsidP="00FD237B">
      <w:pPr>
        <w:pStyle w:val="Heading1"/>
      </w:pPr>
      <w:bookmarkStart w:id="5" w:name="O_100411"/>
      <w:bookmarkEnd w:id="5"/>
      <w:r w:rsidRPr="00FD237B">
        <w:t>Pre-Requisites</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6" w:name="O_100412"/>
      <w:bookmarkEnd w:id="6"/>
      <w:r w:rsidRPr="00FD237B">
        <w:t>Employability Skills Information</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This unit contains employability skills</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7" w:name="O_100413"/>
      <w:bookmarkEnd w:id="7"/>
      <w:r w:rsidRPr="00FD237B">
        <w:t>Elements and Performance Criteria Pre-Content</w:t>
      </w:r>
    </w:p>
    <w:tbl>
      <w:tblPr>
        <w:tblW w:w="0" w:type="auto"/>
        <w:tblLayout w:type="fixed"/>
        <w:tblCellMar>
          <w:left w:w="62" w:type="dxa"/>
          <w:right w:w="62" w:type="dxa"/>
        </w:tblCellMar>
        <w:tblLook w:val="0000"/>
      </w:tblPr>
      <w:tblGrid>
        <w:gridCol w:w="2928"/>
        <w:gridCol w:w="5585"/>
      </w:tblGrid>
      <w:tr w:rsidTr="000404AF">
        <w:tblPrEx>
          <w:tblW w:w="0" w:type="auto"/>
          <w:tblLayout w:type="fixed"/>
          <w:tblCellMar>
            <w:left w:w="62" w:type="dxa"/>
            <w:right w:w="62" w:type="dxa"/>
          </w:tblCellMar>
          <w:tblLook w:val="0000"/>
        </w:tblPrEx>
        <w:tc>
          <w:tcPr>
            <w:tcW w:w="292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Elements describe the essential outcomes of a unit of competency.</w:t>
            </w:r>
          </w:p>
        </w:tc>
        <w:tc>
          <w:tcPr>
            <w:tcW w:w="558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Performance Criteria describe the performance needed to demonstrate achievement of the Element. Where bold italicised text is used, further information is detailed in the required skills and</w:t>
            </w:r>
            <w:r w:rsidRPr="00FD237B">
              <w:t xml:space="preserve"> knowledge section and the Range Statement. Assessment of performance is to be consistent with the Evidence Guide.</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8" w:name="O_100414"/>
      <w:bookmarkEnd w:id="8"/>
      <w:r w:rsidRPr="00FD237B">
        <w:t>Elements and Performance Criteria</w:t>
      </w:r>
    </w:p>
    <w:tbl>
      <w:tblPr>
        <w:tblW w:w="0" w:type="auto"/>
        <w:tblLayout w:type="fixed"/>
        <w:tblCellMar>
          <w:left w:w="62" w:type="dxa"/>
          <w:right w:w="62" w:type="dxa"/>
        </w:tblCellMar>
        <w:tblLook w:val="0000"/>
      </w:tblPr>
      <w:tblGrid>
        <w:gridCol w:w="2928"/>
        <w:gridCol w:w="5576"/>
      </w:tblGrid>
      <w:tr w:rsidTr="000404AF">
        <w:tblPrEx>
          <w:tblW w:w="0" w:type="auto"/>
          <w:tblLayout w:type="fixed"/>
          <w:tblCellMar>
            <w:left w:w="62" w:type="dxa"/>
            <w:right w:w="62" w:type="dxa"/>
          </w:tblCellMar>
          <w:tblLook w:val="0000"/>
        </w:tblPrEx>
        <w:trPr>
          <w:tblHeader/>
        </w:trPr>
        <w:tc>
          <w:tcPr>
            <w:tcW w:w="292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D237B" w:rsidP="00FD237B">
            <w:pPr>
              <w:pStyle w:val="BodyText"/>
            </w:pPr>
            <w:r w:rsidRPr="00FD237B">
              <w:rPr>
                <w:rStyle w:val="SpecialBold"/>
              </w:rPr>
              <w:t>ELEMENT</w:t>
            </w:r>
          </w:p>
        </w:tc>
        <w:tc>
          <w:tcPr>
            <w:tcW w:w="557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PERFORMANCE CRITERIA</w:t>
            </w:r>
          </w:p>
        </w:tc>
      </w:tr>
      <w:tr w:rsidTr="000404AF">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List"/>
              <w:rPr>
                <w:lang w:val="en-NZ"/>
              </w:rPr>
            </w:pPr>
            <w:r w:rsidRPr="00FD237B">
              <w:t>1.</w:t>
            </w:r>
            <w:r w:rsidRPr="00FD237B">
              <w:tab/>
              <w:t>Prepare for changeover</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List2"/>
            </w:pPr>
            <w:r w:rsidRPr="00FD237B">
              <w:t>1.1.</w:t>
            </w:r>
            <w:r w:rsidRPr="00FD237B">
              <w:tab/>
            </w:r>
            <w:r w:rsidRPr="00FD237B">
              <w:t>Determine when changeover will be required</w:t>
            </w:r>
          </w:p>
          <w:p w:rsidR="00000000" w:rsidRPr="00FD237B" w:rsidP="00FD237B">
            <w:pPr>
              <w:pStyle w:val="List2"/>
            </w:pPr>
            <w:r w:rsidRPr="00FD237B">
              <w:t>1.2.</w:t>
            </w:r>
            <w:r w:rsidRPr="00FD237B">
              <w:tab/>
              <w:t>Obtain all required tools/parts/materials for changeover</w:t>
            </w:r>
          </w:p>
          <w:p w:rsidR="00000000" w:rsidRPr="00FD237B" w:rsidP="00FD237B">
            <w:pPr>
              <w:pStyle w:val="List2"/>
            </w:pPr>
            <w:r w:rsidRPr="00FD237B">
              <w:t>1.3.</w:t>
            </w:r>
            <w:r w:rsidRPr="00FD237B">
              <w:tab/>
              <w:t>Organise process, and tools/parts/materials ready for changeover</w:t>
            </w:r>
          </w:p>
          <w:p w:rsidR="00000000" w:rsidP="00FD237B">
            <w:pPr>
              <w:pStyle w:val="List2"/>
              <w:rPr>
                <w:lang w:val="en-NZ"/>
              </w:rPr>
            </w:pPr>
            <w:r w:rsidRPr="00FD237B">
              <w:t>1.4.</w:t>
            </w:r>
            <w:r w:rsidRPr="00FD237B">
              <w:tab/>
              <w:t>Identify role of others in quick changeover</w:t>
            </w:r>
          </w:p>
        </w:tc>
      </w:tr>
      <w:tr w:rsidTr="000404AF">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List"/>
              <w:rPr>
                <w:lang w:val="en-NZ"/>
              </w:rPr>
            </w:pPr>
            <w:r w:rsidRPr="00FD237B">
              <w:t>2.</w:t>
            </w:r>
            <w:r w:rsidRPr="00FD237B">
              <w:tab/>
              <w:t>Make quick changeover</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List2"/>
            </w:pPr>
            <w:r w:rsidRPr="00FD237B">
              <w:t>2.1.</w:t>
            </w:r>
            <w:r w:rsidRPr="00FD237B">
              <w:tab/>
            </w:r>
            <w:r w:rsidRPr="00FD237B">
              <w:t>Plan changeover according to quick changeover principles</w:t>
            </w:r>
          </w:p>
          <w:p w:rsidR="00000000" w:rsidRPr="00FD237B" w:rsidP="00FD237B">
            <w:pPr>
              <w:pStyle w:val="List2"/>
            </w:pPr>
            <w:r w:rsidRPr="00FD237B">
              <w:t>2.2.</w:t>
            </w:r>
            <w:r w:rsidRPr="00FD237B">
              <w:tab/>
              <w:t>Liaise and work with relevant people in quick changeover</w:t>
            </w:r>
          </w:p>
          <w:p w:rsidR="00000000" w:rsidRPr="00FD237B" w:rsidP="00FD237B">
            <w:pPr>
              <w:pStyle w:val="List2"/>
            </w:pPr>
            <w:r w:rsidRPr="00FD237B">
              <w:t>2.3.</w:t>
            </w:r>
            <w:r w:rsidRPr="00FD237B">
              <w:tab/>
              <w:t xml:space="preserve">Complete changeover according to </w:t>
            </w:r>
            <w:r w:rsidRPr="00FD237B">
              <w:rPr>
                <w:rStyle w:val="BoldandItalics"/>
              </w:rPr>
              <w:t>procedures</w:t>
            </w:r>
          </w:p>
          <w:p w:rsidR="00000000" w:rsidRPr="00FD237B" w:rsidP="00FD237B">
            <w:pPr>
              <w:pStyle w:val="List2"/>
            </w:pPr>
            <w:r w:rsidRPr="00FD237B">
              <w:t>2.4.</w:t>
            </w:r>
            <w:r w:rsidRPr="00FD237B">
              <w:tab/>
              <w:t>Check output meets specification</w:t>
            </w:r>
          </w:p>
          <w:p w:rsidR="00000000" w:rsidRPr="00FD237B" w:rsidP="00FD237B">
            <w:pPr>
              <w:pStyle w:val="List2"/>
            </w:pPr>
            <w:r w:rsidRPr="00FD237B">
              <w:t>2.5.</w:t>
            </w:r>
            <w:r w:rsidRPr="00FD237B">
              <w:tab/>
              <w:t>Debrief with all relevant stakeholders</w:t>
            </w:r>
          </w:p>
          <w:p w:rsidR="00000000" w:rsidRPr="00FD237B" w:rsidP="00FD237B">
            <w:pPr>
              <w:pStyle w:val="List2"/>
            </w:pPr>
            <w:r w:rsidRPr="00FD237B">
              <w:t>2.6.</w:t>
            </w:r>
            <w:r w:rsidRPr="00FD237B">
              <w:tab/>
              <w:t>N</w:t>
            </w:r>
            <w:r w:rsidRPr="00FD237B">
              <w:t>ote any steps which cause a problem</w:t>
            </w:r>
          </w:p>
          <w:p w:rsidR="00000000" w:rsidP="00FD237B">
            <w:pPr>
              <w:pStyle w:val="List2"/>
              <w:rPr>
                <w:lang w:val="en-NZ"/>
              </w:rPr>
            </w:pPr>
            <w:r w:rsidRPr="00FD237B">
              <w:t>2.7.</w:t>
            </w:r>
            <w:r w:rsidRPr="00FD237B">
              <w:tab/>
              <w:t>Recommend changes to problematic steps</w:t>
            </w:r>
          </w:p>
        </w:tc>
      </w:tr>
      <w:tr w:rsidTr="000404AF">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List"/>
              <w:rPr>
                <w:lang w:val="en-NZ"/>
              </w:rPr>
            </w:pPr>
            <w:r w:rsidRPr="00FD237B">
              <w:t>3.</w:t>
            </w:r>
            <w:r w:rsidRPr="00FD237B">
              <w:tab/>
              <w:t>Improve Occupational Health and Safety (OHS)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List2"/>
            </w:pPr>
            <w:r w:rsidRPr="00FD237B">
              <w:t>3.1.</w:t>
            </w:r>
            <w:r w:rsidRPr="00FD237B">
              <w:tab/>
              <w:t>Identify hazards to self or others in all steps/actions</w:t>
            </w:r>
          </w:p>
          <w:p w:rsidR="00000000" w:rsidRPr="00FD237B" w:rsidP="00FD237B">
            <w:pPr>
              <w:pStyle w:val="List2"/>
            </w:pPr>
            <w:r w:rsidRPr="00FD237B">
              <w:t>3.2.</w:t>
            </w:r>
            <w:r w:rsidRPr="00FD237B">
              <w:tab/>
              <w:t>Determine risks from each hazard</w:t>
            </w:r>
          </w:p>
          <w:p w:rsidR="00000000" w:rsidRPr="00FD237B" w:rsidP="00FD237B">
            <w:pPr>
              <w:pStyle w:val="List2"/>
            </w:pPr>
            <w:r w:rsidRPr="00FD237B">
              <w:t>3.3.</w:t>
            </w:r>
            <w:r w:rsidRPr="00FD237B">
              <w:tab/>
              <w:t xml:space="preserve">Identify actions which </w:t>
            </w:r>
            <w:r w:rsidRPr="00FD237B">
              <w:t>may be performed in a more ergonomic manner</w:t>
            </w:r>
          </w:p>
          <w:p w:rsidR="00000000" w:rsidRPr="00FD237B" w:rsidP="00FD237B">
            <w:pPr>
              <w:pStyle w:val="List2"/>
            </w:pPr>
            <w:r w:rsidRPr="00FD237B">
              <w:t>3.4.</w:t>
            </w:r>
            <w:r w:rsidRPr="00FD237B">
              <w:tab/>
              <w:t>Recommend changes to improve OHS</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9" w:name="O_100415"/>
      <w:bookmarkEnd w:id="9"/>
      <w:r w:rsidRPr="00FD237B">
        <w:t>Required Skills and Knowledge</w:t>
      </w:r>
    </w:p>
    <w:tbl>
      <w:tblPr>
        <w:tblW w:w="0" w:type="auto"/>
        <w:tblLayout w:type="fixed"/>
        <w:tblCellMar>
          <w:left w:w="62" w:type="dxa"/>
          <w:right w:w="62" w:type="dxa"/>
        </w:tblCellMar>
        <w:tblLook w:val="0000"/>
      </w:tblPr>
      <w:tblGrid>
        <w:gridCol w:w="8513"/>
      </w:tblGrid>
      <w:tr w:rsidTr="000404AF">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REQUIRED SKILLS AND KNOWLEDGE</w:t>
            </w:r>
          </w:p>
        </w:tc>
      </w:tr>
      <w:tr w:rsidTr="000404AF">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This section describes the skills and knowledge required for this unit.</w:t>
            </w:r>
          </w:p>
        </w:tc>
      </w:tr>
      <w:tr w:rsidTr="000404A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Required skills</w:t>
            </w:r>
          </w:p>
        </w:tc>
      </w:tr>
      <w:tr w:rsidTr="000404A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ListBullet"/>
            </w:pPr>
            <w:r w:rsidRPr="00FD237B">
              <w:t>ability to determine/predict when a changeover will occur</w:t>
            </w:r>
          </w:p>
          <w:p w:rsidR="00000000" w:rsidRPr="00FD237B" w:rsidP="00FD237B">
            <w:pPr>
              <w:pStyle w:val="ListBullet"/>
            </w:pPr>
            <w:r w:rsidRPr="00FD237B">
              <w:t>communication</w:t>
            </w:r>
          </w:p>
          <w:p w:rsidR="00000000" w:rsidRPr="00FD237B" w:rsidP="00FD237B">
            <w:pPr>
              <w:pStyle w:val="ListBullet"/>
            </w:pPr>
            <w:r w:rsidRPr="00FD237B">
              <w:t>teamwork</w:t>
            </w:r>
          </w:p>
          <w:p w:rsidR="00000000" w:rsidP="00FD237B">
            <w:pPr>
              <w:pStyle w:val="ListBullet"/>
              <w:rPr>
                <w:lang w:val="en-NZ"/>
              </w:rPr>
            </w:pPr>
            <w:r w:rsidRPr="00FD237B">
              <w:t>appropriate tools/process skills for set-up</w:t>
            </w:r>
          </w:p>
        </w:tc>
      </w:tr>
      <w:tr w:rsidTr="000404A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Required knowledge</w:t>
            </w:r>
          </w:p>
        </w:tc>
      </w:tr>
      <w:tr w:rsidTr="000404A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ListBullet"/>
            </w:pPr>
            <w:r w:rsidRPr="00FD237B">
              <w:t>principles of quick changeover</w:t>
            </w:r>
          </w:p>
          <w:p w:rsidR="00000000" w:rsidRPr="00FD237B" w:rsidP="00FD237B">
            <w:pPr>
              <w:pStyle w:val="ListBullet"/>
            </w:pPr>
            <w:r w:rsidRPr="00FD237B">
              <w:t>relevant procedures</w:t>
            </w:r>
          </w:p>
          <w:p w:rsidR="00000000" w:rsidRPr="00FD237B" w:rsidP="00FD237B">
            <w:pPr>
              <w:pStyle w:val="ListBullet"/>
            </w:pPr>
            <w:r w:rsidRPr="00FD237B">
              <w:t>purposes/requirements of changeover</w:t>
            </w:r>
          </w:p>
          <w:p w:rsidR="00000000" w:rsidRPr="00FD237B" w:rsidP="00FD237B">
            <w:pPr>
              <w:pStyle w:val="ListBullet"/>
            </w:pPr>
            <w:r w:rsidRPr="00FD237B">
              <w:t>methods of recommending changes</w:t>
            </w:r>
          </w:p>
          <w:p w:rsidR="00000000" w:rsidRPr="00FD237B" w:rsidP="00FD237B">
            <w:pPr>
              <w:pStyle w:val="ListBullet"/>
            </w:pPr>
            <w:r w:rsidRPr="00FD237B">
              <w:t>quality requirements for products</w:t>
            </w:r>
          </w:p>
          <w:p w:rsidR="00000000" w:rsidRPr="00FD237B" w:rsidP="00FD237B">
            <w:pPr>
              <w:pStyle w:val="ListBullet"/>
            </w:pPr>
            <w:r w:rsidRPr="00FD237B">
              <w:t>minimisation of changeover scrap</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10" w:name="O_100416"/>
      <w:bookmarkEnd w:id="10"/>
      <w:r w:rsidRPr="00FD237B">
        <w:t>Evidence Guide</w:t>
      </w:r>
    </w:p>
    <w:tbl>
      <w:tblPr>
        <w:tblW w:w="0" w:type="auto"/>
        <w:tblCellMar>
          <w:left w:w="62" w:type="dxa"/>
          <w:right w:w="62" w:type="dxa"/>
        </w:tblCellMar>
        <w:tblLook w:val="0000"/>
      </w:tblPr>
      <w:tblGrid>
        <w:gridCol w:w="3204"/>
        <w:gridCol w:w="5992"/>
      </w:tblGrid>
      <w:tr w:rsidTr="000404A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EVIDENCE GUIDE</w:t>
            </w:r>
          </w:p>
        </w:tc>
      </w:tr>
      <w:tr w:rsidTr="000404AF">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The Evidence Guide provides advice on assessment and must be read in conjunction with the performance criteria, required skills and knowledge, the range statement and the assessment guidelines for this training package.</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Overview of assessment requirement</w:t>
            </w:r>
            <w:r w:rsidRPr="00FD237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The person will effectively and routinely carry out quick changeovers, in liaison with other relevant personnel, and will make recommendations for improving the changeover.</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What are the specific resource requirements for this unit</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Access to an organisation using quick changeovers.</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What critical aspects of evidence are required to demonstrate competency in this unit</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Evidence of routine positive participation in quick changeover.</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In what context should assessment occur</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 xml:space="preserve">Assessment </w:t>
            </w:r>
            <w:r w:rsidRPr="00FD237B">
              <w:t>will need to occur in an organisation using quick changeover or a suitable simulation, for example, in a workshop.</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Are there any other units which could or should be assessed with this unit or which relate directly to this unit</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 xml:space="preserve">This unit may be assessed </w:t>
            </w:r>
            <w:r w:rsidRPr="00FD237B">
              <w:t>concurrently with relevant technical process units.</w:t>
            </w:r>
          </w:p>
          <w:p w:rsidR="00000000" w:rsidRPr="00FD237B" w:rsidP="00FD237B">
            <w:pPr>
              <w:pStyle w:val="BodyText"/>
            </w:pPr>
            <w:r w:rsidRPr="00FD237B">
              <w:t>This unit is related to:</w:t>
            </w:r>
          </w:p>
          <w:p w:rsidR="00000000" w:rsidP="00FD237B">
            <w:pPr>
              <w:pStyle w:val="ListBullet"/>
              <w:rPr>
                <w:lang w:val="en-NZ"/>
              </w:rPr>
            </w:pPr>
            <w:r w:rsidRPr="00FD237B">
              <w:rPr>
                <w:rStyle w:val="Emphasis"/>
              </w:rPr>
              <w:t>MSACMT620A Develop quick changeover procedures</w:t>
            </w:r>
            <w:r w:rsidRPr="00FD237B">
              <w:t xml:space="preserve"> which covers the manager/design area for quick changeover. </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What method of assessment should apply</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Assessors must be satisfied that the person can consistently perform the unit as a whole, as defined by the Elements, Performance Criteria, skills and knowledge. A holistic approach should be taken to the assessment.</w:t>
            </w:r>
          </w:p>
          <w:p w:rsidR="00000000" w:rsidRPr="00FD237B" w:rsidP="00FD237B">
            <w:pPr>
              <w:pStyle w:val="BodyText"/>
            </w:pPr>
            <w:r w:rsidRPr="00FD237B">
              <w:t>Assessors should gather sufficient, fai</w:t>
            </w:r>
            <w:r w:rsidRPr="00FD237B">
              <w:t>r, valid, reliable, authentic and current evidence from a range of sources. Sources of evidence may include direct observation, reports from supervisors, peers and colleagues, project work, samples, organisation records and questioning. Assessment should n</w:t>
            </w:r>
            <w:r w:rsidRPr="00FD237B">
              <w:t>ot require language, literacy or numeracy skills beyond those required for the unit.</w:t>
            </w:r>
          </w:p>
          <w:p w:rsidR="00000000" w:rsidRPr="00FD237B" w:rsidP="00FD237B">
            <w:pPr>
              <w:pStyle w:val="BodyText"/>
            </w:pPr>
            <w:r w:rsidRPr="00FD237B">
              <w:t>The assessee will have access to all techniques, procedures, information, resources and aids which would normally be available in the workplace.</w:t>
            </w:r>
          </w:p>
          <w:p w:rsidR="00000000" w:rsidP="00FD237B">
            <w:pPr>
              <w:pStyle w:val="BodyText"/>
              <w:rPr>
                <w:lang w:val="en-NZ"/>
              </w:rPr>
            </w:pPr>
            <w:r w:rsidRPr="00FD237B">
              <w:t>The method of assessment s</w:t>
            </w:r>
            <w:r w:rsidRPr="00FD237B">
              <w:t>hould be discussed and agreed with the assessee prior to the commencement of the assessment.</w:t>
            </w:r>
          </w:p>
        </w:tc>
      </w:tr>
      <w:tr w:rsidTr="000404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What evidence is required for demonstration of consistent performance</w:t>
            </w:r>
            <w:r w:rsidRPr="00FD237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Evidence should be available of routinely participating in quick changeovers.</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11" w:name="O_100417"/>
      <w:bookmarkEnd w:id="11"/>
      <w:r w:rsidRPr="00FD237B">
        <w:t>Range Statement</w:t>
      </w:r>
    </w:p>
    <w:tbl>
      <w:tblPr>
        <w:tblW w:w="0" w:type="auto"/>
        <w:tblLayout w:type="fixed"/>
        <w:tblCellMar>
          <w:left w:w="62" w:type="dxa"/>
          <w:right w:w="62" w:type="dxa"/>
        </w:tblCellMar>
        <w:tblLook w:val="0000"/>
      </w:tblPr>
      <w:tblGrid>
        <w:gridCol w:w="2936"/>
        <w:gridCol w:w="5575"/>
        <w:gridCol w:w="9"/>
      </w:tblGrid>
      <w:tr w:rsidTr="000404AF">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RANGE STATEMENT</w:t>
            </w:r>
          </w:p>
        </w:tc>
      </w:tr>
      <w:tr w:rsidTr="000404AF">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t xml:space="preserve">The Range Statement relates to the unit of competency as a whole. It allows for different work environments and situations that may affect </w:t>
            </w:r>
            <w:r w:rsidRPr="00FD237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D237B">
              <w:t>and local industry and regional contexts.</w:t>
            </w:r>
          </w:p>
        </w:tc>
      </w:tr>
      <w:tr w:rsidTr="000404A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Changeover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Changeover may refer to an exchange of dies/tools (traditional), or a change between batches, or between campaigns. It may be any quantum equipment/process change to produce a different product.</w:t>
            </w:r>
          </w:p>
          <w:p w:rsidR="00000000" w:rsidRPr="00FD237B" w:rsidP="00FD237B">
            <w:pPr>
              <w:pStyle w:val="BodyText"/>
            </w:pPr>
            <w:r w:rsidRPr="00FD237B">
              <w:t>Change</w:t>
            </w:r>
            <w:r w:rsidRPr="00FD237B">
              <w:t xml:space="preserve">over is sometimes referred to as </w:t>
            </w:r>
            <w:r w:rsidRPr="00FD237B">
              <w:rPr>
                <w:rStyle w:val="BoldandItalics"/>
              </w:rPr>
              <w:t>SMED</w:t>
            </w:r>
            <w:r w:rsidRPr="00FD237B">
              <w:t xml:space="preserve"> which is a more extreme form where SMED is an abbreviation for Single Minute Exchange of Die; literally, changing a die on a forming or stamping machine in a minute or less; broadly, the ability to perform any </w:t>
            </w:r>
            <w:r w:rsidRPr="00FD237B">
              <w:rPr>
                <w:rStyle w:val="BoldandItalics"/>
              </w:rPr>
              <w:t>set</w:t>
            </w:r>
            <w:r w:rsidRPr="00FD237B">
              <w:t>-</w:t>
            </w:r>
            <w:r w:rsidRPr="00FD237B">
              <w:rPr>
                <w:rStyle w:val="BoldandItalics"/>
              </w:rPr>
              <w:t>up a</w:t>
            </w:r>
            <w:r w:rsidRPr="00FD237B">
              <w:rPr>
                <w:rStyle w:val="BoldandItalics"/>
              </w:rPr>
              <w:t>ctivity</w:t>
            </w:r>
            <w:r w:rsidRPr="00FD237B">
              <w:t xml:space="preserve"> in a minute or less of machine or process downtime; the key to doing this is frequently the capability to convert </w:t>
            </w:r>
            <w:r w:rsidRPr="00FD237B">
              <w:rPr>
                <w:rStyle w:val="BoldandItalics"/>
              </w:rPr>
              <w:t>internal set</w:t>
            </w:r>
            <w:r w:rsidRPr="00FD237B">
              <w:t>-</w:t>
            </w:r>
            <w:r w:rsidRPr="00FD237B">
              <w:rPr>
                <w:rStyle w:val="BoldandItalics"/>
              </w:rPr>
              <w:t>up time</w:t>
            </w:r>
            <w:r w:rsidRPr="00FD237B">
              <w:t xml:space="preserve"> to </w:t>
            </w:r>
            <w:r w:rsidRPr="00FD237B">
              <w:rPr>
                <w:rStyle w:val="BoldandItalics"/>
              </w:rPr>
              <w:t>external set</w:t>
            </w:r>
            <w:r w:rsidRPr="00FD237B">
              <w:t>-</w:t>
            </w:r>
            <w:r w:rsidRPr="00FD237B">
              <w:rPr>
                <w:rStyle w:val="BoldandItalics"/>
              </w:rPr>
              <w:t>up time</w:t>
            </w:r>
            <w:r w:rsidRPr="00FD237B">
              <w:t xml:space="preserve">; variations on SMED include: </w:t>
            </w:r>
          </w:p>
          <w:p w:rsidR="00000000" w:rsidRPr="00FD237B" w:rsidP="00FD237B">
            <w:pPr>
              <w:pStyle w:val="ListBullet"/>
            </w:pPr>
            <w:r w:rsidRPr="00FD237B">
              <w:t>Single-digit set-up: performing a set-up activity in a sin</w:t>
            </w:r>
            <w:r w:rsidRPr="00FD237B">
              <w:t>gle-digit number of minutes, i.e. fewer than ten.</w:t>
            </w:r>
          </w:p>
          <w:p w:rsidR="00000000" w:rsidRPr="00FD237B" w:rsidP="00FD237B">
            <w:pPr>
              <w:pStyle w:val="ListBullet"/>
            </w:pPr>
            <w:r w:rsidRPr="00FD237B">
              <w:t>OTED: One Touch Exchange of Die; literally, changing a die with one physical motion such as pushing a button; broadly, an extremely simple procedure for performing a set-up activity.</w:t>
            </w:r>
          </w:p>
          <w:p w:rsidR="00000000" w:rsidRPr="00FD237B" w:rsidP="00FD237B">
            <w:pPr>
              <w:pStyle w:val="BodyText"/>
            </w:pPr>
            <w:r w:rsidRPr="00FD237B">
              <w:rPr>
                <w:rStyle w:val="BoldandItalics"/>
              </w:rPr>
              <w:t>Set</w:t>
            </w:r>
            <w:r w:rsidRPr="00FD237B">
              <w:t>-</w:t>
            </w:r>
            <w:r w:rsidRPr="00FD237B">
              <w:rPr>
                <w:rStyle w:val="BoldandItalics"/>
              </w:rPr>
              <w:t>up time</w:t>
            </w:r>
            <w:r w:rsidRPr="00FD237B">
              <w:t xml:space="preserve"> - work </w:t>
            </w:r>
            <w:r w:rsidRPr="00FD237B">
              <w:t xml:space="preserve">required to change over a machine or process from one item or operation to the next item or operation ; can be divided into two types: </w:t>
            </w:r>
          </w:p>
          <w:p w:rsidR="00000000" w:rsidRPr="00FD237B" w:rsidP="00FD237B">
            <w:pPr>
              <w:pStyle w:val="ListBullet"/>
            </w:pPr>
            <w:r w:rsidRPr="00FD237B">
              <w:rPr>
                <w:rStyle w:val="BoldandItalics"/>
              </w:rPr>
              <w:t>internal set</w:t>
            </w:r>
            <w:r w:rsidRPr="00FD237B">
              <w:t>-</w:t>
            </w:r>
            <w:r w:rsidRPr="00FD237B">
              <w:rPr>
                <w:rStyle w:val="BoldandItalics"/>
              </w:rPr>
              <w:t>up</w:t>
            </w:r>
            <w:r w:rsidRPr="00FD237B">
              <w:t xml:space="preserve"> work that can be done only when the machine or process is not actively engaged in production; OR </w:t>
            </w:r>
          </w:p>
          <w:p w:rsidR="00000000" w:rsidRPr="00FD237B" w:rsidP="00FD237B">
            <w:pPr>
              <w:pStyle w:val="ListBullet"/>
            </w:pPr>
            <w:r w:rsidRPr="00FD237B">
              <w:rPr>
                <w:rStyle w:val="BoldandItalics"/>
              </w:rPr>
              <w:t>exter</w:t>
            </w:r>
            <w:r w:rsidRPr="00FD237B">
              <w:rPr>
                <w:rStyle w:val="BoldandItalics"/>
              </w:rPr>
              <w:t>nal set</w:t>
            </w:r>
            <w:r w:rsidRPr="00FD237B">
              <w:t>-</w:t>
            </w:r>
            <w:r w:rsidRPr="00FD237B">
              <w:rPr>
                <w:rStyle w:val="BoldandItalics"/>
              </w:rPr>
              <w:t>up</w:t>
            </w:r>
            <w:r w:rsidRPr="00FD237B">
              <w:t xml:space="preserve"> work that can be done concurrently with the machine or process performing production duties. </w:t>
            </w:r>
          </w:p>
          <w:p w:rsidR="00000000" w:rsidRPr="00FD237B" w:rsidP="00FD237B">
            <w:pPr>
              <w:pStyle w:val="BodyText"/>
            </w:pPr>
            <w:r w:rsidRPr="00FD237B">
              <w:t>While the term die is the traditional term, competitive manufacturers who require changeover, but where dies are not used or are less significant, have</w:t>
            </w:r>
            <w:r w:rsidRPr="00FD237B">
              <w:t xml:space="preserve"> applied this to a range of other changeovers.</w:t>
            </w:r>
          </w:p>
          <w:p w:rsidR="00000000" w:rsidP="00FD237B">
            <w:pPr>
              <w:pStyle w:val="BodyText"/>
              <w:rPr>
                <w:lang w:val="en-NZ"/>
              </w:rPr>
            </w:pPr>
            <w:r w:rsidRPr="00FD237B">
              <w:t xml:space="preserve">This unit may not be applicable to a totally continuous operation producing only the one product, or simultaneous range of products. This is not applicable to a maintenance/ PVI shutdown as experienced by the </w:t>
            </w:r>
            <w:r w:rsidRPr="00FD237B">
              <w:t>continuous process manufacturers. However, where there is continuous manufacturing on a campaign basis, it may be applied to the changeover between campaigns or similar changeovers.</w:t>
            </w:r>
          </w:p>
        </w:tc>
      </w:tr>
      <w:tr w:rsidTr="000404A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Procedures include all work instructions, standard operating p</w:t>
            </w:r>
            <w:r w:rsidRPr="00FD237B">
              <w:t>rocedures, formulas/recipes, batch sheets, temporary instructions and similar instructions provided for the smooth running of the plant. They may be written, verbal, computer based or in some other form.</w:t>
            </w:r>
          </w:p>
          <w:p w:rsidR="00000000" w:rsidRPr="00FD237B" w:rsidP="00FD237B">
            <w:pPr>
              <w:pStyle w:val="BodyText"/>
            </w:pPr>
            <w:r w:rsidRPr="00FD237B">
              <w:t>For the purposes of this Training Package, 'procedur</w:t>
            </w:r>
            <w:r w:rsidRPr="00FD237B">
              <w:t>es' also includes good operating practice as may be defined by industry codes of practice (eg Good Manufacturing Practice (GMP), Responsible Care) and government regulations.</w:t>
            </w:r>
          </w:p>
        </w:tc>
      </w:tr>
    </w:tbl>
    <w:p w:rsidR="000404AF" w:rsidP="00FD237B">
      <w:pPr>
        <w:pStyle w:val="BodyText"/>
      </w:pPr>
    </w:p>
    <w:p w:rsidR="000404AF" w:rsidP="00FD237B">
      <w:pPr>
        <w:pStyle w:val="BodyText"/>
      </w:pPr>
    </w:p>
    <w:p w:rsidR="00000000" w:rsidRPr="00FD237B" w:rsidP="00FD237B">
      <w:pPr>
        <w:pStyle w:val="Heading1"/>
      </w:pPr>
      <w:bookmarkStart w:id="12" w:name="O_100418"/>
      <w:bookmarkEnd w:id="12"/>
      <w:r w:rsidRPr="00FD237B">
        <w:t>Unit Sector(s)</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r w:rsidRPr="00FD237B">
              <w:t>CM Tools</w:t>
            </w: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13" w:name="O_159163"/>
      <w:bookmarkEnd w:id="13"/>
      <w:r w:rsidRPr="00FD237B">
        <w:t>Co-requisite units</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p>
        </w:tc>
      </w:tr>
    </w:tbl>
    <w:p w:rsidR="00000000" w:rsidRPr="00FD237B" w:rsidP="00FD237B">
      <w:pPr>
        <w:pStyle w:val="BodyText"/>
      </w:pPr>
    </w:p>
    <w:p w:rsidR="00000000" w:rsidRPr="00FD237B" w:rsidP="00FD237B">
      <w:pPr>
        <w:pStyle w:val="AllowPageBreak"/>
      </w:pPr>
    </w:p>
    <w:p w:rsidR="00000000" w:rsidRPr="00FD237B" w:rsidP="00FD237B">
      <w:pPr>
        <w:pStyle w:val="Heading1"/>
      </w:pPr>
      <w:bookmarkStart w:id="14" w:name="O_159164"/>
      <w:bookmarkEnd w:id="14"/>
      <w:r w:rsidRPr="00FD237B">
        <w:t>Functional area</w:t>
      </w:r>
    </w:p>
    <w:tbl>
      <w:tblPr>
        <w:tblW w:w="0" w:type="auto"/>
        <w:tblLayout w:type="fixed"/>
        <w:tblCellMar>
          <w:left w:w="62" w:type="dxa"/>
          <w:right w:w="62" w:type="dxa"/>
        </w:tblCellMar>
        <w:tblLook w:val="0000"/>
      </w:tblPr>
      <w:tblGrid>
        <w:gridCol w:w="2937"/>
        <w:gridCol w:w="5585"/>
      </w:tblGrid>
      <w:tr w:rsidTr="000404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7B">
            <w:pPr>
              <w:pStyle w:val="BodyText"/>
              <w:rPr>
                <w:lang w:val="en-NZ"/>
              </w:rPr>
            </w:pPr>
            <w:r w:rsidRPr="00FD237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7B" w:rsidP="00FD237B">
            <w:pPr>
              <w:pStyle w:val="BodyText"/>
            </w:pPr>
          </w:p>
        </w:tc>
      </w:tr>
    </w:tbl>
    <w:p w:rsidR="00000000" w:rsidRPr="00FD237B" w:rsidP="00FD237B">
      <w:pPr>
        <w:pStyle w:val="BodyText"/>
      </w:pPr>
    </w:p>
    <w:p w:rsidR="00000000" w:rsidRPr="00FD237B" w:rsidP="00FD237B"/>
    <w:sectPr w:rsidSect="00FD2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4AF" w:rsidP="00040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AF" w:rsidP="00FD2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04AF" w:rsidP="00FD2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4AF" w:rsidP="00FD2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4AF" w:rsidP="00040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AF" w:rsidP="00FD237B">
    <w:pPr>
      <w:pStyle w:val="Header"/>
      <w:framePr w:wrap="around"/>
    </w:pPr>
    <w:r>
      <w:fldChar w:fldCharType="begin"/>
    </w:r>
    <w:r>
      <w:instrText xml:space="preserve"> TITLE   \* MERGEFORMAT </w:instrText>
    </w:r>
    <w:r>
      <w:fldChar w:fldCharType="separate"/>
    </w:r>
    <w:r>
      <w:t>MSACMT220A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04AF" w:rsidP="00FD23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409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F09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37B"/>
    <w:pPr>
      <w:spacing w:before="360" w:after="60"/>
      <w:outlineLvl w:val="0"/>
    </w:pPr>
    <w:rPr>
      <w:sz w:val="32"/>
    </w:rPr>
  </w:style>
  <w:style w:type="paragraph" w:styleId="Heading2">
    <w:name w:val="heading 2"/>
    <w:basedOn w:val="HeadingBase"/>
    <w:next w:val="BodyText"/>
    <w:link w:val="Heading2Char"/>
    <w:qFormat/>
    <w:rsid w:val="00FD237B"/>
    <w:pPr>
      <w:keepLines/>
      <w:spacing w:before="240" w:after="120"/>
      <w:outlineLvl w:val="1"/>
    </w:pPr>
    <w:rPr>
      <w:sz w:val="28"/>
      <w:szCs w:val="40"/>
    </w:rPr>
  </w:style>
  <w:style w:type="paragraph" w:styleId="Heading3">
    <w:name w:val="heading 3"/>
    <w:basedOn w:val="HeadingBase"/>
    <w:next w:val="BodyText"/>
    <w:link w:val="Heading3Char"/>
    <w:qFormat/>
    <w:rsid w:val="00FD237B"/>
    <w:pPr>
      <w:spacing w:before="180" w:after="120"/>
      <w:outlineLvl w:val="2"/>
    </w:pPr>
    <w:rPr>
      <w:spacing w:val="-10"/>
      <w:kern w:val="32"/>
    </w:rPr>
  </w:style>
  <w:style w:type="paragraph" w:styleId="Heading4">
    <w:name w:val="heading 4"/>
    <w:basedOn w:val="HeadingBase"/>
    <w:next w:val="BodyText"/>
    <w:link w:val="Heading4Char"/>
    <w:qFormat/>
    <w:rsid w:val="00FD237B"/>
    <w:pPr>
      <w:spacing w:before="160" w:after="120"/>
      <w:outlineLvl w:val="3"/>
    </w:pPr>
    <w:rPr>
      <w:sz w:val="22"/>
    </w:rPr>
  </w:style>
  <w:style w:type="paragraph" w:styleId="Heading5">
    <w:name w:val="heading 5"/>
    <w:basedOn w:val="HeadingBase"/>
    <w:next w:val="Normal"/>
    <w:link w:val="Heading5Char"/>
    <w:qFormat/>
    <w:rsid w:val="00FD237B"/>
    <w:pPr>
      <w:spacing w:before="80"/>
      <w:outlineLvl w:val="4"/>
    </w:pPr>
    <w:rPr>
      <w:color w:val="918585"/>
      <w:sz w:val="20"/>
    </w:rPr>
  </w:style>
  <w:style w:type="paragraph" w:styleId="Heading6">
    <w:name w:val="heading 6"/>
    <w:basedOn w:val="HeadingBase"/>
    <w:next w:val="Normal"/>
    <w:link w:val="Heading6Char"/>
    <w:qFormat/>
    <w:rsid w:val="00FD237B"/>
    <w:pPr>
      <w:spacing w:before="60"/>
      <w:outlineLvl w:val="5"/>
    </w:pPr>
    <w:rPr>
      <w:color w:val="918585"/>
      <w:sz w:val="20"/>
    </w:rPr>
  </w:style>
  <w:style w:type="paragraph" w:styleId="Heading7">
    <w:name w:val="heading 7"/>
    <w:basedOn w:val="Normal"/>
    <w:next w:val="Normal"/>
    <w:link w:val="Heading7Char"/>
    <w:qFormat/>
    <w:rsid w:val="00FD237B"/>
    <w:pPr>
      <w:ind w:left="720"/>
      <w:outlineLvl w:val="6"/>
    </w:pPr>
    <w:rPr>
      <w:i/>
    </w:rPr>
  </w:style>
  <w:style w:type="paragraph" w:styleId="Heading8">
    <w:name w:val="heading 8"/>
    <w:basedOn w:val="Normal"/>
    <w:next w:val="Normal"/>
    <w:link w:val="Heading8Char"/>
    <w:qFormat/>
    <w:rsid w:val="00FD237B"/>
    <w:pPr>
      <w:ind w:left="720"/>
      <w:outlineLvl w:val="7"/>
    </w:pPr>
    <w:rPr>
      <w:i/>
    </w:rPr>
  </w:style>
  <w:style w:type="paragraph" w:styleId="Heading9">
    <w:name w:val="heading 9"/>
    <w:basedOn w:val="Normal"/>
    <w:next w:val="Normal"/>
    <w:link w:val="Heading9Char"/>
    <w:qFormat/>
    <w:rsid w:val="00FD237B"/>
    <w:pPr>
      <w:ind w:left="720"/>
      <w:outlineLvl w:val="8"/>
    </w:pPr>
    <w:rPr>
      <w:i/>
    </w:rPr>
  </w:style>
  <w:style w:type="character" w:default="1" w:styleId="DefaultParagraphFont">
    <w:name w:val="Default Paragraph Font"/>
    <w:uiPriority w:val="1"/>
    <w:unhideWhenUsed/>
    <w:rsid w:val="00FD2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7B"/>
  </w:style>
  <w:style w:type="character" w:customStyle="1" w:styleId="Heading1Char">
    <w:name w:val="Heading 1 Char"/>
    <w:basedOn w:val="DefaultParagraphFont"/>
    <w:link w:val="Heading1"/>
    <w:rsid w:val="00FD237B"/>
    <w:rPr>
      <w:rFonts w:ascii="Times New Roman" w:eastAsia="Times New Roman" w:hAnsi="Times New Roman" w:cs="Times New Roman"/>
      <w:b/>
      <w:sz w:val="32"/>
      <w:szCs w:val="20"/>
      <w:lang w:eastAsia="en-US"/>
    </w:rPr>
  </w:style>
  <w:style w:type="paragraph" w:styleId="BodyText">
    <w:name w:val="Body Text"/>
    <w:basedOn w:val="Normal"/>
    <w:link w:val="BodyTextChar"/>
    <w:rsid w:val="00FD2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37B"/>
    <w:rPr>
      <w:rFonts w:ascii="Times New Roman" w:eastAsia="Times New Roman" w:hAnsi="Times New Roman" w:cs="Times New Roman"/>
      <w:sz w:val="24"/>
      <w:lang w:val="en-US" w:eastAsia="en-US"/>
    </w:rPr>
  </w:style>
  <w:style w:type="paragraph" w:styleId="Footer">
    <w:name w:val="footer"/>
    <w:basedOn w:val="Normal"/>
    <w:link w:val="FooterChar"/>
    <w:rsid w:val="00FD2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7B"/>
    <w:rPr>
      <w:rFonts w:ascii="Times New Roman" w:eastAsia="Times New Roman" w:hAnsi="Times New Roman" w:cs="Times New Roman"/>
      <w:sz w:val="16"/>
      <w:lang w:val="en-US" w:eastAsia="en-US"/>
    </w:rPr>
  </w:style>
  <w:style w:type="paragraph" w:styleId="List">
    <w:name w:val="List"/>
    <w:basedOn w:val="BodyText"/>
    <w:next w:val="BodyText"/>
    <w:rsid w:val="00FD237B"/>
    <w:pPr>
      <w:tabs>
        <w:tab w:val="left" w:pos="340"/>
      </w:tabs>
      <w:spacing w:before="60" w:after="60"/>
      <w:ind w:left="340" w:hanging="340"/>
    </w:pPr>
  </w:style>
  <w:style w:type="paragraph" w:styleId="ListBullet">
    <w:name w:val="List Bullet"/>
    <w:basedOn w:val="List"/>
    <w:rsid w:val="00FD237B"/>
    <w:pPr>
      <w:numPr>
        <w:numId w:val="12"/>
      </w:numPr>
      <w:tabs>
        <w:tab w:val="clear" w:pos="340"/>
      </w:tabs>
      <w:spacing w:before="40" w:after="40"/>
    </w:pPr>
  </w:style>
  <w:style w:type="character" w:customStyle="1" w:styleId="SpecialBold">
    <w:name w:val="Special Bold"/>
    <w:basedOn w:val="DefaultParagraphFont"/>
    <w:rsid w:val="00FD237B"/>
    <w:rPr>
      <w:b/>
      <w:spacing w:val="0"/>
    </w:rPr>
  </w:style>
  <w:style w:type="paragraph" w:styleId="Header">
    <w:name w:val="header"/>
    <w:basedOn w:val="Normal"/>
    <w:link w:val="HeaderChar"/>
    <w:rsid w:val="00FD2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237B"/>
    <w:rPr>
      <w:i/>
    </w:rPr>
  </w:style>
  <w:style w:type="paragraph" w:customStyle="1" w:styleId="SuperHeading">
    <w:name w:val="SuperHeading"/>
    <w:basedOn w:val="Normal"/>
    <w:rsid w:val="00FD237B"/>
    <w:pPr>
      <w:spacing w:before="240" w:after="120"/>
      <w:outlineLvl w:val="0"/>
    </w:pPr>
    <w:rPr>
      <w:rFonts w:ascii="Times New Roman" w:hAnsi="Times New Roman"/>
      <w:b/>
      <w:sz w:val="28"/>
    </w:rPr>
  </w:style>
  <w:style w:type="paragraph" w:customStyle="1" w:styleId="AllowPageBreak">
    <w:name w:val="AllowPageBreak"/>
    <w:rsid w:val="00FD23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37B"/>
    <w:pPr>
      <w:tabs>
        <w:tab w:val="left" w:pos="680"/>
      </w:tabs>
      <w:spacing w:before="60" w:after="60"/>
      <w:ind w:left="680" w:hanging="340"/>
    </w:pPr>
  </w:style>
  <w:style w:type="character" w:customStyle="1" w:styleId="BoldandItalics">
    <w:name w:val="Bold and Italics"/>
    <w:qFormat/>
    <w:rsid w:val="00FD237B"/>
    <w:rPr>
      <w:b/>
      <w:i/>
      <w:u w:val="none"/>
    </w:rPr>
  </w:style>
  <w:style w:type="character" w:customStyle="1" w:styleId="Heading2Char">
    <w:name w:val="Heading 2 Char"/>
    <w:basedOn w:val="DefaultParagraphFont"/>
    <w:link w:val="Heading2"/>
    <w:rsid w:val="00FD2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3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37B"/>
    <w:rPr>
      <w:rFonts w:ascii="Courier New" w:eastAsia="Times New Roman" w:hAnsi="Courier New" w:cs="Times New Roman"/>
      <w:i/>
      <w:szCs w:val="20"/>
      <w:lang w:val="en-US" w:eastAsia="en-US"/>
    </w:rPr>
  </w:style>
  <w:style w:type="paragraph" w:customStyle="1" w:styleId="HeadingBase">
    <w:name w:val="Heading Base"/>
    <w:rsid w:val="00FD2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7B"/>
    <w:pPr>
      <w:tabs>
        <w:tab w:val="right" w:leader="dot" w:pos="9072"/>
      </w:tabs>
      <w:ind w:left="567"/>
    </w:pPr>
    <w:rPr>
      <w:szCs w:val="22"/>
    </w:rPr>
  </w:style>
  <w:style w:type="paragraph" w:customStyle="1" w:styleId="TOCBase">
    <w:name w:val="TOC Base"/>
    <w:rsid w:val="00FD2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7B"/>
    <w:pPr>
      <w:tabs>
        <w:tab w:val="right" w:leader="dot" w:pos="9072"/>
      </w:tabs>
      <w:spacing w:before="40" w:after="40"/>
      <w:ind w:left="284"/>
    </w:pPr>
    <w:rPr>
      <w:rFonts w:ascii="Times New Roman" w:hAnsi="Times New Roman"/>
    </w:rPr>
  </w:style>
  <w:style w:type="paragraph" w:styleId="TOC1">
    <w:name w:val="toc 1"/>
    <w:basedOn w:val="TOCBase"/>
    <w:next w:val="Normal"/>
    <w:rsid w:val="00FD2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37B"/>
    <w:pPr>
      <w:spacing w:before="5040"/>
      <w:jc w:val="center"/>
    </w:pPr>
    <w:rPr>
      <w:sz w:val="48"/>
      <w:szCs w:val="72"/>
      <w:lang w:val="en-US"/>
    </w:rPr>
  </w:style>
  <w:style w:type="character" w:customStyle="1" w:styleId="TitleChar">
    <w:name w:val="Title Char"/>
    <w:basedOn w:val="DefaultParagraphFont"/>
    <w:link w:val="Title"/>
    <w:rsid w:val="00FD2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7B"/>
    <w:pPr>
      <w:tabs>
        <w:tab w:val="left" w:pos="3600"/>
        <w:tab w:val="left" w:pos="3958"/>
      </w:tabs>
    </w:pPr>
  </w:style>
  <w:style w:type="paragraph" w:customStyle="1" w:styleId="Note">
    <w:name w:val="Note"/>
    <w:basedOn w:val="BodyText"/>
    <w:rsid w:val="00FD2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37B"/>
    <w:pPr>
      <w:framePr w:wrap="auto" w:hAnchor="text" w:y="6049"/>
    </w:pPr>
    <w:rPr>
      <w:color w:val="000000"/>
      <w:sz w:val="40"/>
    </w:rPr>
  </w:style>
  <w:style w:type="paragraph" w:customStyle="1" w:styleId="TOCTitle">
    <w:name w:val="TOCTitle"/>
    <w:basedOn w:val="Heading1"/>
    <w:rsid w:val="00FD237B"/>
    <w:pPr>
      <w:spacing w:after="240"/>
      <w:jc w:val="center"/>
      <w:outlineLvl w:val="9"/>
    </w:pPr>
    <w:rPr>
      <w:caps/>
    </w:rPr>
  </w:style>
  <w:style w:type="paragraph" w:customStyle="1" w:styleId="Version">
    <w:name w:val="Version"/>
    <w:rsid w:val="00FD2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37B"/>
    <w:pPr>
      <w:numPr>
        <w:numId w:val="13"/>
      </w:numPr>
      <w:tabs>
        <w:tab w:val="clear" w:pos="680"/>
      </w:tabs>
    </w:pPr>
  </w:style>
  <w:style w:type="paragraph" w:styleId="Index1">
    <w:name w:val="index 1"/>
    <w:basedOn w:val="Normal"/>
    <w:next w:val="Normal"/>
    <w:semiHidden/>
    <w:rsid w:val="00FD237B"/>
    <w:pPr>
      <w:keepNext w:val="0"/>
      <w:tabs>
        <w:tab w:val="right" w:pos="4176"/>
      </w:tabs>
      <w:ind w:left="198" w:hanging="198"/>
    </w:pPr>
    <w:rPr>
      <w:rFonts w:ascii="Garamond" w:hAnsi="Garamond"/>
    </w:rPr>
  </w:style>
  <w:style w:type="paragraph" w:styleId="IndexHeading">
    <w:name w:val="index heading"/>
    <w:basedOn w:val="Normal"/>
    <w:next w:val="Index1"/>
    <w:semiHidden/>
    <w:rsid w:val="00FD237B"/>
    <w:pPr>
      <w:spacing w:before="120" w:after="120"/>
    </w:pPr>
    <w:rPr>
      <w:rFonts w:ascii="Arial" w:hAnsi="Arial"/>
      <w:b/>
      <w:color w:val="918585"/>
      <w:sz w:val="24"/>
    </w:rPr>
  </w:style>
  <w:style w:type="paragraph" w:customStyle="1" w:styleId="Chapter">
    <w:name w:val="Chapter"/>
    <w:basedOn w:val="Normal"/>
    <w:rsid w:val="00FD237B"/>
    <w:pPr>
      <w:spacing w:before="240"/>
    </w:pPr>
    <w:rPr>
      <w:rFonts w:ascii="Times New Roman" w:hAnsi="Times New Roman"/>
      <w:smallCaps/>
      <w:spacing w:val="80"/>
      <w:sz w:val="28"/>
    </w:rPr>
  </w:style>
  <w:style w:type="paragraph" w:customStyle="1" w:styleId="InChapter">
    <w:name w:val="InChapter"/>
    <w:basedOn w:val="Heading3"/>
    <w:rsid w:val="00FD237B"/>
    <w:pPr>
      <w:spacing w:after="240"/>
      <w:outlineLvl w:val="9"/>
    </w:pPr>
    <w:rPr>
      <w:noProof/>
    </w:rPr>
  </w:style>
  <w:style w:type="paragraph" w:styleId="Index2">
    <w:name w:val="index 2"/>
    <w:basedOn w:val="Normal"/>
    <w:next w:val="Normal"/>
    <w:semiHidden/>
    <w:rsid w:val="00FD237B"/>
    <w:pPr>
      <w:tabs>
        <w:tab w:val="right" w:pos="4176"/>
      </w:tabs>
      <w:ind w:left="568" w:hanging="284"/>
    </w:pPr>
    <w:rPr>
      <w:rFonts w:ascii="Garamond" w:hAnsi="Garamond"/>
    </w:rPr>
  </w:style>
  <w:style w:type="paragraph" w:customStyle="1" w:styleId="Byline">
    <w:name w:val="Byline"/>
    <w:rsid w:val="00FD2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7B"/>
    <w:pPr>
      <w:tabs>
        <w:tab w:val="clear" w:pos="3600"/>
        <w:tab w:val="clear" w:pos="3958"/>
      </w:tabs>
      <w:jc w:val="right"/>
    </w:pPr>
  </w:style>
  <w:style w:type="paragraph" w:styleId="Caption">
    <w:name w:val="caption"/>
    <w:basedOn w:val="BodyText"/>
    <w:next w:val="Normal"/>
    <w:qFormat/>
    <w:rsid w:val="00FD237B"/>
    <w:pPr>
      <w:framePr w:w="2268" w:hSpace="181" w:vSpace="181" w:wrap="around" w:vAnchor="text" w:hAnchor="page" w:x="1135" w:y="285" w:anchorLock="1"/>
    </w:pPr>
    <w:rPr>
      <w:i/>
    </w:rPr>
  </w:style>
  <w:style w:type="paragraph" w:customStyle="1" w:styleId="MiniTOCTitle">
    <w:name w:val="MiniTOCTitle"/>
    <w:basedOn w:val="Heading4"/>
    <w:rsid w:val="00FD237B"/>
    <w:pPr>
      <w:spacing w:before="240"/>
      <w:outlineLvl w:val="9"/>
    </w:pPr>
    <w:rPr>
      <w:noProof/>
      <w:sz w:val="24"/>
    </w:rPr>
  </w:style>
  <w:style w:type="paragraph" w:customStyle="1" w:styleId="MiniTOCItem">
    <w:name w:val="MiniTOCItem"/>
    <w:basedOn w:val="ListBullet"/>
    <w:rsid w:val="00FD237B"/>
    <w:pPr>
      <w:numPr>
        <w:numId w:val="0"/>
      </w:numPr>
      <w:tabs>
        <w:tab w:val="right" w:leader="dot" w:pos="6521"/>
      </w:tabs>
      <w:spacing w:before="0" w:after="0"/>
    </w:pPr>
  </w:style>
  <w:style w:type="paragraph" w:customStyle="1" w:styleId="TOFTitle">
    <w:name w:val="TOFTitle"/>
    <w:basedOn w:val="TOCTitle"/>
    <w:rsid w:val="00FD237B"/>
  </w:style>
  <w:style w:type="paragraph" w:styleId="TableofFigures">
    <w:name w:val="table of figures"/>
    <w:basedOn w:val="Normal"/>
    <w:next w:val="Normal"/>
    <w:semiHidden/>
    <w:rsid w:val="00FD237B"/>
    <w:pPr>
      <w:tabs>
        <w:tab w:val="right" w:leader="dot" w:pos="9072"/>
      </w:tabs>
      <w:ind w:left="970" w:hanging="403"/>
    </w:pPr>
    <w:rPr>
      <w:rFonts w:ascii="Times New Roman" w:hAnsi="Times New Roman"/>
      <w:b/>
    </w:rPr>
  </w:style>
  <w:style w:type="paragraph" w:styleId="ListNumber">
    <w:name w:val="List Number"/>
    <w:basedOn w:val="List"/>
    <w:rsid w:val="00FD237B"/>
    <w:pPr>
      <w:numPr>
        <w:numId w:val="10"/>
      </w:numPr>
    </w:pPr>
  </w:style>
  <w:style w:type="character" w:customStyle="1" w:styleId="WingdingSymbols">
    <w:name w:val="Wingding Symbols"/>
    <w:rsid w:val="00FD237B"/>
    <w:rPr>
      <w:rFonts w:ascii="Wingdings" w:hAnsi="Wingdings"/>
    </w:rPr>
  </w:style>
  <w:style w:type="paragraph" w:customStyle="1" w:styleId="TableHeading">
    <w:name w:val="Table Heading"/>
    <w:basedOn w:val="HeadingBase"/>
    <w:rsid w:val="00FD237B"/>
    <w:pPr>
      <w:keepLines/>
      <w:pBdr>
        <w:bottom w:val="single" w:sz="6" w:space="1" w:color="918585"/>
      </w:pBdr>
      <w:spacing w:before="240"/>
    </w:pPr>
  </w:style>
  <w:style w:type="character" w:customStyle="1" w:styleId="HotSpot">
    <w:name w:val="HotSpot"/>
    <w:rsid w:val="00FD237B"/>
    <w:rPr>
      <w:color w:val="0033CC"/>
      <w:u w:val="none"/>
    </w:rPr>
  </w:style>
  <w:style w:type="paragraph" w:customStyle="1" w:styleId="BodyTextRight">
    <w:name w:val="Body Text Right"/>
    <w:basedOn w:val="BodyText"/>
    <w:rsid w:val="00FD237B"/>
    <w:pPr>
      <w:spacing w:before="0" w:after="0"/>
      <w:jc w:val="right"/>
    </w:pPr>
  </w:style>
  <w:style w:type="paragraph" w:styleId="Index3">
    <w:name w:val="index 3"/>
    <w:basedOn w:val="ListNumber2"/>
    <w:next w:val="Normal"/>
    <w:semiHidden/>
    <w:rsid w:val="00FD237B"/>
    <w:pPr>
      <w:numPr>
        <w:numId w:val="0"/>
      </w:numPr>
      <w:tabs>
        <w:tab w:val="right" w:leader="dot" w:pos="4176"/>
      </w:tabs>
    </w:pPr>
  </w:style>
  <w:style w:type="paragraph" w:styleId="ListNumber2">
    <w:name w:val="List Number 2"/>
    <w:basedOn w:val="List2"/>
    <w:rsid w:val="00FD237B"/>
    <w:pPr>
      <w:numPr>
        <w:numId w:val="9"/>
      </w:numPr>
      <w:tabs>
        <w:tab w:val="clear" w:pos="1060"/>
      </w:tabs>
    </w:pPr>
  </w:style>
  <w:style w:type="paragraph" w:customStyle="1" w:styleId="MarginNote">
    <w:name w:val="Margin Note"/>
    <w:basedOn w:val="BodyText"/>
    <w:rsid w:val="00FD2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37B"/>
    <w:rPr>
      <w:sz w:val="32"/>
    </w:rPr>
  </w:style>
  <w:style w:type="paragraph" w:customStyle="1" w:styleId="HeadingProcedure">
    <w:name w:val="Heading Procedure"/>
    <w:basedOn w:val="HeadingBase"/>
    <w:next w:val="Normal"/>
    <w:rsid w:val="00FD237B"/>
    <w:pPr>
      <w:tabs>
        <w:tab w:val="left" w:pos="0"/>
      </w:tabs>
      <w:spacing w:before="120" w:after="60"/>
    </w:pPr>
    <w:rPr>
      <w:i/>
      <w:color w:val="918585"/>
      <w:sz w:val="22"/>
    </w:rPr>
  </w:style>
  <w:style w:type="paragraph" w:customStyle="1" w:styleId="TableBodyText">
    <w:name w:val="Table Body Text"/>
    <w:basedOn w:val="BodyText"/>
    <w:rsid w:val="00FD237B"/>
    <w:pPr>
      <w:spacing w:before="60" w:after="60"/>
    </w:pPr>
  </w:style>
  <w:style w:type="paragraph" w:styleId="ListContinue">
    <w:name w:val="List Continue"/>
    <w:basedOn w:val="List"/>
    <w:rsid w:val="00FD237B"/>
    <w:pPr>
      <w:ind w:firstLine="0"/>
    </w:pPr>
  </w:style>
  <w:style w:type="paragraph" w:customStyle="1" w:styleId="ListNote">
    <w:name w:val="List Note"/>
    <w:basedOn w:val="List"/>
    <w:rsid w:val="00FD237B"/>
    <w:pPr>
      <w:pBdr>
        <w:top w:val="single" w:sz="6" w:space="2" w:color="918585"/>
        <w:bottom w:val="single" w:sz="6" w:space="2" w:color="918585"/>
      </w:pBdr>
      <w:tabs>
        <w:tab w:val="left" w:pos="1021"/>
      </w:tabs>
      <w:ind w:firstLine="0"/>
    </w:pPr>
  </w:style>
  <w:style w:type="paragraph" w:customStyle="1" w:styleId="Warning">
    <w:name w:val="Warning"/>
    <w:basedOn w:val="BodyText"/>
    <w:rsid w:val="00FD237B"/>
    <w:pPr>
      <w:shd w:val="clear" w:color="auto" w:fill="D9D9D9"/>
      <w:tabs>
        <w:tab w:val="left" w:pos="992"/>
      </w:tabs>
      <w:ind w:left="119" w:right="119"/>
    </w:pPr>
    <w:rPr>
      <w:sz w:val="20"/>
    </w:rPr>
  </w:style>
  <w:style w:type="paragraph" w:customStyle="1" w:styleId="MarginIcons">
    <w:name w:val="Margin Icons"/>
    <w:basedOn w:val="BodyText"/>
    <w:rsid w:val="00FD2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7B"/>
    <w:rPr>
      <w:rFonts w:ascii="Courier New" w:hAnsi="Courier New"/>
    </w:rPr>
  </w:style>
  <w:style w:type="paragraph" w:customStyle="1" w:styleId="NoteBullet">
    <w:name w:val="Note Bullet"/>
    <w:basedOn w:val="Note"/>
    <w:rsid w:val="00FD237B"/>
    <w:pPr>
      <w:tabs>
        <w:tab w:val="clear" w:pos="680"/>
      </w:tabs>
      <w:spacing w:before="60" w:after="60"/>
    </w:pPr>
  </w:style>
  <w:style w:type="paragraph" w:customStyle="1" w:styleId="SubHeading2">
    <w:name w:val="SubHeading2"/>
    <w:basedOn w:val="HeadingBase"/>
    <w:rsid w:val="00FD237B"/>
    <w:pPr>
      <w:spacing w:before="240" w:after="60"/>
    </w:pPr>
    <w:rPr>
      <w:sz w:val="20"/>
    </w:rPr>
  </w:style>
  <w:style w:type="paragraph" w:customStyle="1" w:styleId="SubHeading1">
    <w:name w:val="SubHeading1"/>
    <w:basedOn w:val="HeadingBase"/>
    <w:rsid w:val="00FD237B"/>
    <w:pPr>
      <w:spacing w:before="240" w:after="60"/>
    </w:pPr>
    <w:rPr>
      <w:color w:val="918585"/>
      <w:sz w:val="22"/>
    </w:rPr>
  </w:style>
  <w:style w:type="paragraph" w:customStyle="1" w:styleId="SideHeading">
    <w:name w:val="Side Heading"/>
    <w:basedOn w:val="HeadingBase"/>
    <w:rsid w:val="00FD2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7B"/>
    <w:pPr>
      <w:tabs>
        <w:tab w:val="num" w:pos="360"/>
      </w:tabs>
    </w:pPr>
  </w:style>
  <w:style w:type="paragraph" w:styleId="PlainText">
    <w:name w:val="Plain Text"/>
    <w:basedOn w:val="Normal"/>
    <w:link w:val="PlainTextChar"/>
    <w:rsid w:val="00FD237B"/>
    <w:rPr>
      <w:sz w:val="20"/>
    </w:rPr>
  </w:style>
  <w:style w:type="character" w:customStyle="1" w:styleId="PlainTextChar">
    <w:name w:val="Plain Text Char"/>
    <w:basedOn w:val="DefaultParagraphFont"/>
    <w:link w:val="PlainText"/>
    <w:rsid w:val="00FD23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37B"/>
    <w:rPr>
      <w:b/>
      <w:smallCaps/>
    </w:rPr>
  </w:style>
  <w:style w:type="paragraph" w:customStyle="1" w:styleId="TableListNumber">
    <w:name w:val="Table List Number"/>
    <w:basedOn w:val="ListNumber"/>
    <w:rsid w:val="00FD237B"/>
    <w:pPr>
      <w:numPr>
        <w:numId w:val="0"/>
      </w:numPr>
    </w:pPr>
  </w:style>
  <w:style w:type="paragraph" w:styleId="TOC4">
    <w:name w:val="toc 4"/>
    <w:basedOn w:val="TOCBase"/>
    <w:next w:val="Normal"/>
    <w:semiHidden/>
    <w:rsid w:val="00FD237B"/>
    <w:pPr>
      <w:tabs>
        <w:tab w:val="right" w:leader="dot" w:pos="9071"/>
      </w:tabs>
      <w:ind w:left="1701"/>
    </w:pPr>
  </w:style>
  <w:style w:type="paragraph" w:customStyle="1" w:styleId="ListAlpha">
    <w:name w:val="List Alpha"/>
    <w:basedOn w:val="List"/>
    <w:rsid w:val="00FD237B"/>
    <w:pPr>
      <w:numPr>
        <w:numId w:val="8"/>
      </w:numPr>
    </w:pPr>
  </w:style>
  <w:style w:type="paragraph" w:customStyle="1" w:styleId="ListAlpha2">
    <w:name w:val="List Alpha 2"/>
    <w:basedOn w:val="List2"/>
    <w:rsid w:val="00FD237B"/>
    <w:pPr>
      <w:numPr>
        <w:numId w:val="7"/>
      </w:numPr>
    </w:pPr>
  </w:style>
  <w:style w:type="paragraph" w:styleId="List3">
    <w:name w:val="List 3"/>
    <w:basedOn w:val="BodyText"/>
    <w:rsid w:val="00FD237B"/>
    <w:pPr>
      <w:tabs>
        <w:tab w:val="left" w:pos="1021"/>
      </w:tabs>
      <w:spacing w:before="60" w:after="60"/>
      <w:ind w:left="1020" w:hanging="340"/>
    </w:pPr>
  </w:style>
  <w:style w:type="paragraph" w:styleId="List4">
    <w:name w:val="List 4"/>
    <w:basedOn w:val="BodyText"/>
    <w:rsid w:val="00FD237B"/>
    <w:pPr>
      <w:tabs>
        <w:tab w:val="left" w:pos="1361"/>
      </w:tabs>
      <w:spacing w:before="60" w:after="60"/>
      <w:ind w:left="1361" w:hanging="340"/>
    </w:pPr>
  </w:style>
  <w:style w:type="paragraph" w:styleId="List5">
    <w:name w:val="List 5"/>
    <w:basedOn w:val="BodyText"/>
    <w:rsid w:val="00FD237B"/>
    <w:pPr>
      <w:tabs>
        <w:tab w:val="left" w:pos="1701"/>
      </w:tabs>
      <w:spacing w:before="60" w:after="60"/>
      <w:ind w:left="1701" w:hanging="340"/>
    </w:pPr>
  </w:style>
  <w:style w:type="paragraph" w:styleId="ListBullet3">
    <w:name w:val="List Bullet 3"/>
    <w:basedOn w:val="List3"/>
    <w:rsid w:val="00FD237B"/>
    <w:pPr>
      <w:numPr>
        <w:numId w:val="14"/>
      </w:numPr>
      <w:tabs>
        <w:tab w:val="clear" w:pos="1021"/>
      </w:tabs>
      <w:ind w:left="1037" w:hanging="357"/>
    </w:pPr>
  </w:style>
  <w:style w:type="paragraph" w:styleId="ListBullet4">
    <w:name w:val="List Bullet 4"/>
    <w:basedOn w:val="List4"/>
    <w:rsid w:val="00FD237B"/>
    <w:pPr>
      <w:numPr>
        <w:numId w:val="2"/>
      </w:numPr>
    </w:pPr>
  </w:style>
  <w:style w:type="paragraph" w:styleId="ListBullet5">
    <w:name w:val="List Bullet 5"/>
    <w:basedOn w:val="List5"/>
    <w:rsid w:val="00FD237B"/>
    <w:pPr>
      <w:numPr>
        <w:numId w:val="3"/>
      </w:numPr>
    </w:pPr>
  </w:style>
  <w:style w:type="paragraph" w:styleId="ListContinue2">
    <w:name w:val="List Continue 2"/>
    <w:basedOn w:val="List2"/>
    <w:rsid w:val="00FD237B"/>
    <w:pPr>
      <w:ind w:firstLine="0"/>
    </w:pPr>
  </w:style>
  <w:style w:type="paragraph" w:styleId="ListContinue3">
    <w:name w:val="List Continue 3"/>
    <w:basedOn w:val="List3"/>
    <w:rsid w:val="00FD237B"/>
    <w:pPr>
      <w:ind w:left="1021" w:firstLine="0"/>
    </w:pPr>
  </w:style>
  <w:style w:type="paragraph" w:styleId="ListContinue4">
    <w:name w:val="List Continue 4"/>
    <w:basedOn w:val="List4"/>
    <w:rsid w:val="00FD237B"/>
    <w:pPr>
      <w:ind w:firstLine="0"/>
    </w:pPr>
  </w:style>
  <w:style w:type="paragraph" w:styleId="ListContinue5">
    <w:name w:val="List Continue 5"/>
    <w:basedOn w:val="List5"/>
    <w:rsid w:val="00FD237B"/>
    <w:pPr>
      <w:ind w:firstLine="0"/>
    </w:pPr>
  </w:style>
  <w:style w:type="paragraph" w:styleId="ListNumber3">
    <w:name w:val="List Number 3"/>
    <w:basedOn w:val="List3"/>
    <w:rsid w:val="00FD237B"/>
    <w:pPr>
      <w:numPr>
        <w:numId w:val="4"/>
      </w:numPr>
    </w:pPr>
  </w:style>
  <w:style w:type="paragraph" w:styleId="ListNumber4">
    <w:name w:val="List Number 4"/>
    <w:basedOn w:val="List4"/>
    <w:rsid w:val="00FD237B"/>
    <w:pPr>
      <w:numPr>
        <w:numId w:val="5"/>
      </w:numPr>
    </w:pPr>
  </w:style>
  <w:style w:type="paragraph" w:styleId="ListNumber5">
    <w:name w:val="List Number 5"/>
    <w:basedOn w:val="List5"/>
    <w:rsid w:val="00FD237B"/>
    <w:pPr>
      <w:numPr>
        <w:numId w:val="6"/>
      </w:numPr>
    </w:pPr>
  </w:style>
  <w:style w:type="paragraph" w:styleId="BlockText">
    <w:name w:val="Block Text"/>
    <w:basedOn w:val="Normal"/>
    <w:rsid w:val="00FD237B"/>
    <w:pPr>
      <w:spacing w:after="120"/>
      <w:ind w:left="1440" w:right="1440"/>
    </w:pPr>
  </w:style>
  <w:style w:type="character" w:customStyle="1" w:styleId="Subscript">
    <w:name w:val="Subscript"/>
    <w:basedOn w:val="DefaultParagraphFont"/>
    <w:rsid w:val="00FD237B"/>
    <w:rPr>
      <w:sz w:val="16"/>
      <w:vertAlign w:val="subscript"/>
    </w:rPr>
  </w:style>
  <w:style w:type="character" w:customStyle="1" w:styleId="Superscript">
    <w:name w:val="Superscript"/>
    <w:basedOn w:val="DefaultParagraphFont"/>
    <w:rsid w:val="00FD237B"/>
    <w:rPr>
      <w:sz w:val="16"/>
      <w:vertAlign w:val="superscript"/>
    </w:rPr>
  </w:style>
  <w:style w:type="character" w:customStyle="1" w:styleId="Symbols">
    <w:name w:val="Symbols"/>
    <w:basedOn w:val="DefaultParagraphFont"/>
    <w:rsid w:val="00FD237B"/>
    <w:rPr>
      <w:rFonts w:ascii="Symbol" w:hAnsi="Symbol"/>
    </w:rPr>
  </w:style>
  <w:style w:type="character" w:customStyle="1" w:styleId="MenuOptions">
    <w:name w:val="Menu Options"/>
    <w:basedOn w:val="DefaultParagraphFont"/>
    <w:rsid w:val="00FD237B"/>
    <w:rPr>
      <w:rFonts w:ascii="Arial Narrow" w:hAnsi="Arial Narrow"/>
      <w:smallCaps/>
    </w:rPr>
  </w:style>
  <w:style w:type="character" w:customStyle="1" w:styleId="Buttons">
    <w:name w:val="Buttons"/>
    <w:basedOn w:val="DefaultParagraphFont"/>
    <w:rsid w:val="00FD237B"/>
    <w:rPr>
      <w:b/>
    </w:rPr>
  </w:style>
  <w:style w:type="character" w:customStyle="1" w:styleId="Underlined">
    <w:name w:val="Underlined"/>
    <w:basedOn w:val="DefaultParagraphFont"/>
    <w:rsid w:val="00FD237B"/>
    <w:rPr>
      <w:u w:val="single"/>
    </w:rPr>
  </w:style>
  <w:style w:type="paragraph" w:customStyle="1" w:styleId="TableBodyTextRight">
    <w:name w:val="Table Body Text Right"/>
    <w:basedOn w:val="TableBodyText"/>
    <w:rsid w:val="00FD237B"/>
    <w:pPr>
      <w:widowControl w:val="0"/>
      <w:autoSpaceDE w:val="0"/>
      <w:autoSpaceDN w:val="0"/>
      <w:adjustRightInd w:val="0"/>
      <w:jc w:val="right"/>
    </w:pPr>
    <w:rPr>
      <w:rFonts w:cs="Arial"/>
      <w:szCs w:val="18"/>
    </w:rPr>
  </w:style>
  <w:style w:type="paragraph" w:customStyle="1" w:styleId="CopyrightText">
    <w:name w:val="Copyright Text"/>
    <w:basedOn w:val="BodyText"/>
    <w:rsid w:val="00FD237B"/>
    <w:rPr>
      <w:sz w:val="18"/>
    </w:rPr>
  </w:style>
  <w:style w:type="paragraph" w:customStyle="1" w:styleId="BodySmallRight">
    <w:name w:val="Body Small Right"/>
    <w:basedOn w:val="BodyTextRight"/>
    <w:rsid w:val="00FD237B"/>
    <w:rPr>
      <w:sz w:val="18"/>
      <w:szCs w:val="18"/>
    </w:rPr>
  </w:style>
  <w:style w:type="paragraph" w:customStyle="1" w:styleId="MarginEdition">
    <w:name w:val="Margin Edition"/>
    <w:basedOn w:val="MarginNote"/>
    <w:rsid w:val="00FD237B"/>
    <w:pPr>
      <w:spacing w:before="0" w:after="0"/>
    </w:pPr>
    <w:rPr>
      <w:rFonts w:ascii="Times New Roman" w:hAnsi="Times New Roman"/>
      <w:color w:val="999999"/>
    </w:rPr>
  </w:style>
  <w:style w:type="paragraph" w:customStyle="1" w:styleId="Spacer">
    <w:name w:val="Spacer"/>
    <w:basedOn w:val="Normal"/>
    <w:rsid w:val="00FD237B"/>
    <w:rPr>
      <w:sz w:val="2"/>
      <w:szCs w:val="2"/>
    </w:rPr>
  </w:style>
  <w:style w:type="character" w:customStyle="1" w:styleId="Small">
    <w:name w:val="Small"/>
    <w:basedOn w:val="DefaultParagraphFont"/>
    <w:rsid w:val="00FD237B"/>
    <w:rPr>
      <w:sz w:val="16"/>
    </w:rPr>
  </w:style>
  <w:style w:type="paragraph" w:customStyle="1" w:styleId="WideTable">
    <w:name w:val="Wide Table"/>
    <w:basedOn w:val="Normal"/>
    <w:rsid w:val="00FD237B"/>
    <w:pPr>
      <w:ind w:left="-1418"/>
    </w:pPr>
    <w:rPr>
      <w:sz w:val="2"/>
      <w:szCs w:val="2"/>
    </w:rPr>
  </w:style>
  <w:style w:type="character" w:styleId="PageNumber">
    <w:name w:val="page number"/>
    <w:basedOn w:val="DefaultParagraphFont"/>
    <w:rsid w:val="00FD237B"/>
  </w:style>
  <w:style w:type="paragraph" w:styleId="Quote">
    <w:name w:val="Quote"/>
    <w:basedOn w:val="Heading1"/>
    <w:link w:val="QuoteChar"/>
    <w:qFormat/>
    <w:rsid w:val="00FD237B"/>
    <w:rPr>
      <w:b w:val="0"/>
      <w:sz w:val="72"/>
      <w:szCs w:val="72"/>
      <w:lang w:val="en-NZ"/>
    </w:rPr>
  </w:style>
  <w:style w:type="character" w:customStyle="1" w:styleId="QuoteChar">
    <w:name w:val="Quote Char"/>
    <w:basedOn w:val="DefaultParagraphFont"/>
    <w:link w:val="Quote"/>
    <w:rsid w:val="00FD2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7B"/>
    <w:pPr>
      <w:pageBreakBefore/>
    </w:pPr>
  </w:style>
  <w:style w:type="paragraph" w:customStyle="1" w:styleId="Border">
    <w:name w:val="Border"/>
    <w:basedOn w:val="Normal"/>
    <w:qFormat/>
    <w:rsid w:val="00FD2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7B"/>
    <w:rPr>
      <w:b/>
      <w:bCs/>
      <w:i/>
      <w:iCs/>
      <w:color w:val="auto"/>
    </w:rPr>
  </w:style>
  <w:style w:type="paragraph" w:styleId="IntenseQuote">
    <w:name w:val="Intense Quote"/>
    <w:basedOn w:val="Normal"/>
    <w:next w:val="Normal"/>
    <w:link w:val="IntenseQuoteChar"/>
    <w:uiPriority w:val="30"/>
    <w:qFormat/>
    <w:rsid w:val="00FD2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37B"/>
    <w:rPr>
      <w:smallCaps/>
      <w:color w:val="auto"/>
      <w:u w:val="single"/>
    </w:rPr>
  </w:style>
  <w:style w:type="character" w:styleId="IntenseReference">
    <w:name w:val="Intense Reference"/>
    <w:basedOn w:val="DefaultParagraphFont"/>
    <w:uiPriority w:val="32"/>
    <w:qFormat/>
    <w:rsid w:val="00FD237B"/>
    <w:rPr>
      <w:b/>
      <w:bCs/>
      <w:smallCaps/>
      <w:color w:val="auto"/>
      <w:spacing w:val="5"/>
      <w:u w:val="single"/>
    </w:rPr>
  </w:style>
  <w:style w:type="paragraph" w:customStyle="1" w:styleId="2ColumnHeading">
    <w:name w:val="2Column Heading"/>
    <w:basedOn w:val="BodyText"/>
    <w:qFormat/>
    <w:rsid w:val="00FD237B"/>
    <w:pPr>
      <w:spacing w:after="60"/>
      <w:ind w:left="-2268"/>
    </w:pPr>
    <w:rPr>
      <w:b/>
    </w:rPr>
  </w:style>
  <w:style w:type="paragraph" w:customStyle="1" w:styleId="Heading1TOC">
    <w:name w:val="Heading1 TOC"/>
    <w:basedOn w:val="Normal"/>
    <w:qFormat/>
    <w:rsid w:val="00FD237B"/>
    <w:pPr>
      <w:spacing w:before="240" w:after="120"/>
    </w:pPr>
    <w:rPr>
      <w:rFonts w:ascii="Times New Roman" w:hAnsi="Times New Roman"/>
      <w:b/>
      <w:sz w:val="32"/>
    </w:rPr>
  </w:style>
  <w:style w:type="paragraph" w:customStyle="1" w:styleId="Heading2TOC">
    <w:name w:val="Heading2 TOC"/>
    <w:basedOn w:val="Normal"/>
    <w:qFormat/>
    <w:rsid w:val="00FD237B"/>
    <w:pPr>
      <w:spacing w:before="240" w:after="60"/>
    </w:pPr>
    <w:rPr>
      <w:rFonts w:ascii="Times New Roman" w:hAnsi="Times New Roman"/>
      <w:b/>
      <w:sz w:val="28"/>
    </w:rPr>
  </w:style>
  <w:style w:type="character" w:customStyle="1" w:styleId="Underline">
    <w:name w:val="Underline"/>
    <w:basedOn w:val="DefaultParagraphFont"/>
    <w:qFormat/>
    <w:rsid w:val="00FD237B"/>
    <w:rPr>
      <w:u w:val="single"/>
    </w:rPr>
  </w:style>
  <w:style w:type="paragraph" w:styleId="BalloonText">
    <w:name w:val="Balloon Text"/>
    <w:basedOn w:val="Normal"/>
    <w:link w:val="BalloonTextChar"/>
    <w:rsid w:val="00FD237B"/>
    <w:rPr>
      <w:rFonts w:ascii="Tahoma" w:hAnsi="Tahoma" w:cs="Tahoma"/>
      <w:sz w:val="16"/>
      <w:szCs w:val="16"/>
    </w:rPr>
  </w:style>
  <w:style w:type="character" w:customStyle="1" w:styleId="BalloonTextChar">
    <w:name w:val="Balloon Text Char"/>
    <w:basedOn w:val="DefaultParagraphFont"/>
    <w:link w:val="BalloonText"/>
    <w:rsid w:val="00FD23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3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7046</Characters>
  <Application>Microsoft Office Word</Application>
  <DocSecurity>0</DocSecurity>
  <Lines>234</Lines>
  <Paragraphs>104</Paragraphs>
  <ScaleCrop>false</ScaleCrop>
  <Company>Author-it Software Corporation Ltd.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MSACMT220A Apply quick changeover procedures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2012-05-26T18:24:00Z</dcterms:created>
  <dcterms:modified xsi:type="dcterms:W3CDTF">2012-05-26T18:24:00Z</dcterms:modified>
</cp:coreProperties>
</file>