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C86" w:rsidP="00792C86">
      <w:pPr>
        <w:pStyle w:val="Title"/>
      </w:pPr>
      <w:r>
        <w:fldChar w:fldCharType="begin"/>
      </w:r>
      <w:r>
        <w:instrText xml:space="preserve"> TITLE   \* MERGEFORMAT </w:instrText>
      </w:r>
      <w:r>
        <w:fldChar w:fldCharType="separate"/>
      </w:r>
      <w:r>
        <w:t>MSA20107 Certificate II in Process Manufacturing</w:t>
      </w:r>
      <w:r>
        <w:fldChar w:fldCharType="end"/>
      </w:r>
    </w:p>
    <w:p w:rsidR="00792C86" w:rsidP="00792C86">
      <w:pPr>
        <w:pStyle w:val="Version"/>
        <w:sectPr w:rsidSect="00EC0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C036A" w:rsidP="00EC036A">
      <w:pPr>
        <w:pStyle w:val="SuperHeading"/>
      </w:pPr>
      <w:r w:rsidRPr="00EC036A">
        <w:t>MSA20107 Certificate II in Process Manufacturing</w:t>
      </w:r>
    </w:p>
    <w:p w:rsidR="00000000" w:rsidRPr="00EC036A" w:rsidP="00EC036A">
      <w:pPr>
        <w:pStyle w:val="Heading1"/>
      </w:pPr>
      <w:bookmarkStart w:id="1" w:name="O_643209"/>
      <w:bookmarkEnd w:id="1"/>
      <w:r w:rsidRPr="00EC036A">
        <w:t>Modification History</w:t>
      </w:r>
    </w:p>
    <w:p w:rsidR="00000000" w:rsidRPr="00EC036A" w:rsidP="00EC036A">
      <w:pPr>
        <w:pStyle w:val="BodyText"/>
      </w:pPr>
      <w:r w:rsidRPr="00EC036A">
        <w:t>Release 5 - Imported unit code updated to current release</w:t>
      </w:r>
    </w:p>
    <w:p w:rsidR="00000000" w:rsidRPr="00EC036A" w:rsidP="00EC036A">
      <w:pPr>
        <w:pStyle w:val="BodyText"/>
      </w:pPr>
      <w:r w:rsidRPr="00EC036A">
        <w:t>Release 4 - Imported unit code updated.</w:t>
      </w:r>
    </w:p>
    <w:p w:rsidR="00000000" w:rsidRPr="00EC036A" w:rsidP="00EC036A">
      <w:pPr>
        <w:pStyle w:val="BodyText"/>
      </w:pPr>
      <w:r w:rsidRPr="00EC036A">
        <w:t xml:space="preserve">Release 3 - MSACM units replaced by MSS units from MSS11v2 Sustainability Training Package. </w:t>
      </w:r>
    </w:p>
    <w:p w:rsidR="00000000" w:rsidRPr="00EC036A" w:rsidP="00EC036A">
      <w:pPr>
        <w:pStyle w:val="BodyText"/>
      </w:pPr>
      <w:r w:rsidRPr="00EC036A">
        <w:t>Release 2 - Imported unit codes upda</w:t>
      </w:r>
      <w:r w:rsidRPr="00EC036A">
        <w:t>ted.</w:t>
      </w:r>
    </w:p>
    <w:p w:rsidR="00000000" w:rsidRPr="00EC036A" w:rsidP="00EC036A">
      <w:pPr>
        <w:pStyle w:val="AllowPageBreak"/>
      </w:pPr>
    </w:p>
    <w:p w:rsidR="00000000" w:rsidRPr="00EC036A" w:rsidP="00EC036A">
      <w:pPr>
        <w:pStyle w:val="Heading1"/>
      </w:pPr>
      <w:bookmarkStart w:id="2" w:name="O_643208"/>
      <w:bookmarkEnd w:id="2"/>
      <w:r w:rsidRPr="00EC036A">
        <w:t>Description</w:t>
      </w:r>
    </w:p>
    <w:p w:rsidR="00000000" w:rsidRPr="00EC036A" w:rsidP="00EC036A">
      <w:pPr>
        <w:pStyle w:val="BodyText"/>
      </w:pPr>
      <w:r w:rsidRPr="00EC036A">
        <w:t xml:space="preserve"> The Certificate II in Process Manufacturing is intended for competent production workers who undertake vital production support roles directly related to producing products. The production worker would apply a breadth and</w:t>
      </w:r>
      <w:r w:rsidRPr="00EC036A">
        <w:t xml:space="preserve"> depth of knowledge to a defined range of situations and would be expected to apply this knowledge to solve a defined range of problems by applying known solutions to a limited range of predictable problems.</w:t>
      </w:r>
    </w:p>
    <w:p w:rsidR="00000000" w:rsidRPr="00EC036A" w:rsidP="00EC036A">
      <w:pPr>
        <w:pStyle w:val="BodyText"/>
      </w:pPr>
    </w:p>
    <w:p w:rsidR="00000000" w:rsidRPr="00EC036A" w:rsidP="00EC036A">
      <w:pPr>
        <w:pStyle w:val="BodyText"/>
      </w:pPr>
      <w:r w:rsidRPr="00EC036A">
        <w:t>This qualification has been developed for use a</w:t>
      </w:r>
      <w:r w:rsidRPr="00EC036A">
        <w:t>cross the three process manufacturing sectors:</w:t>
      </w:r>
    </w:p>
    <w:p w:rsidR="00000000" w:rsidRPr="00EC036A" w:rsidP="00EC036A">
      <w:pPr>
        <w:pStyle w:val="ListBullet"/>
      </w:pPr>
      <w:r w:rsidRPr="00EC036A">
        <w:t>chemical, hydrocarbons and refining</w:t>
      </w:r>
    </w:p>
    <w:p w:rsidR="00000000" w:rsidRPr="00EC036A" w:rsidP="00EC036A">
      <w:pPr>
        <w:pStyle w:val="ListBullet"/>
      </w:pPr>
      <w:r w:rsidRPr="00EC036A">
        <w:t>plastics, rubber and cablemaking</w:t>
      </w:r>
    </w:p>
    <w:p w:rsidR="00000000" w:rsidRPr="00EC036A" w:rsidP="00EC036A">
      <w:pPr>
        <w:pStyle w:val="ListBullet"/>
      </w:pPr>
      <w:r w:rsidRPr="00EC036A">
        <w:t>manufactured mineral products.</w:t>
      </w:r>
    </w:p>
    <w:p w:rsidR="00000000" w:rsidRPr="00EC036A" w:rsidP="00EC036A">
      <w:pPr>
        <w:pStyle w:val="BodyText"/>
      </w:pPr>
    </w:p>
    <w:p w:rsidR="00000000" w:rsidRPr="00EC036A" w:rsidP="00EC036A">
      <w:pPr>
        <w:pStyle w:val="BodyText"/>
      </w:pPr>
      <w:r w:rsidRPr="00EC036A">
        <w:rPr>
          <w:rStyle w:val="SpecialBold"/>
        </w:rPr>
        <w:t>Licensing considerations</w:t>
      </w:r>
    </w:p>
    <w:p w:rsidR="00792C86" w:rsidP="00EC036A">
      <w:pPr>
        <w:pStyle w:val="BodyText"/>
      </w:pPr>
      <w:r w:rsidRPr="00EC036A">
        <w:t>There are no specific licenses that relate to this qualification. However, some un</w:t>
      </w:r>
      <w:r w:rsidRPr="00EC036A">
        <w:t xml:space="preserve">its in this qualification may have licensing or regulatory requirements depending on the work context. Local regulations should be checked for details. </w:t>
      </w:r>
    </w:p>
    <w:p w:rsidR="00792C86" w:rsidP="00EC036A">
      <w:pPr>
        <w:pStyle w:val="BodyText"/>
      </w:pPr>
    </w:p>
    <w:p w:rsidR="00000000" w:rsidRPr="00EC036A" w:rsidP="00EC036A">
      <w:pPr>
        <w:pStyle w:val="Heading1"/>
      </w:pPr>
      <w:bookmarkStart w:id="3" w:name="O_643207"/>
      <w:bookmarkEnd w:id="3"/>
      <w:r w:rsidRPr="00EC036A">
        <w:t>Pathways Information</w:t>
      </w:r>
    </w:p>
    <w:p w:rsidR="00000000" w:rsidRPr="00EC036A" w:rsidP="00EC036A">
      <w:pPr>
        <w:pStyle w:val="BodyText"/>
      </w:pPr>
      <w:r w:rsidRPr="00EC036A">
        <w:t>Not applicable.</w:t>
      </w:r>
    </w:p>
    <w:p w:rsidR="00000000" w:rsidRPr="00EC036A" w:rsidP="00EC036A">
      <w:pPr>
        <w:pStyle w:val="AllowPageBreak"/>
      </w:pPr>
    </w:p>
    <w:p w:rsidR="00000000" w:rsidRPr="00EC036A" w:rsidP="00EC036A">
      <w:pPr>
        <w:pStyle w:val="Heading1"/>
      </w:pPr>
      <w:bookmarkStart w:id="4" w:name="O_643206"/>
      <w:bookmarkEnd w:id="4"/>
      <w:r w:rsidRPr="00EC036A">
        <w:t>Licensing/Regulatory Information</w:t>
      </w:r>
    </w:p>
    <w:p w:rsidR="00000000" w:rsidRPr="00EC036A" w:rsidP="00EC036A">
      <w:pPr>
        <w:pStyle w:val="BodyText"/>
      </w:pPr>
      <w:r w:rsidRPr="00EC036A">
        <w:t>Not applicable.</w:t>
      </w:r>
    </w:p>
    <w:p w:rsidR="00000000" w:rsidRPr="00EC036A" w:rsidP="00EC036A">
      <w:pPr>
        <w:pStyle w:val="AllowPageBreak"/>
      </w:pPr>
    </w:p>
    <w:p w:rsidR="00000000" w:rsidRPr="00EC036A" w:rsidP="00EC036A">
      <w:pPr>
        <w:pStyle w:val="Heading1"/>
      </w:pPr>
      <w:bookmarkStart w:id="5" w:name="O_643205"/>
      <w:bookmarkEnd w:id="5"/>
      <w:r w:rsidRPr="00EC036A">
        <w:t>Entry Requirements</w:t>
      </w:r>
    </w:p>
    <w:p w:rsidR="00000000" w:rsidRPr="00EC036A" w:rsidP="00EC036A">
      <w:pPr>
        <w:pStyle w:val="BodyText"/>
      </w:pPr>
      <w:r w:rsidRPr="00EC036A">
        <w:t>Not applicable.</w:t>
      </w:r>
    </w:p>
    <w:p w:rsidR="00000000" w:rsidRPr="00EC036A" w:rsidP="00EC036A">
      <w:pPr>
        <w:pStyle w:val="AllowPageBreak"/>
      </w:pPr>
    </w:p>
    <w:p w:rsidR="00000000" w:rsidRPr="00EC036A" w:rsidP="00EC036A">
      <w:pPr>
        <w:pStyle w:val="Heading1"/>
      </w:pPr>
      <w:bookmarkStart w:id="6" w:name="O_643204"/>
      <w:bookmarkEnd w:id="6"/>
      <w:r w:rsidRPr="00EC036A">
        <w:t>Employability Skills Summary</w:t>
      </w:r>
    </w:p>
    <w:tbl>
      <w:tblPr>
        <w:tblW w:w="9570" w:type="dxa"/>
        <w:tblLayout w:type="fixed"/>
        <w:tblCellMar>
          <w:left w:w="62" w:type="dxa"/>
          <w:right w:w="62" w:type="dxa"/>
        </w:tblCellMar>
        <w:tblLook w:val="0000"/>
      </w:tblPr>
      <w:tblGrid>
        <w:gridCol w:w="2892"/>
        <w:gridCol w:w="6678"/>
      </w:tblGrid>
      <w:tr w:rsidTr="00792C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EMPLOYABILITY SKILLS QUALIFICATION SUMMARY</w:t>
            </w:r>
          </w:p>
        </w:tc>
      </w:tr>
      <w:tr w:rsidTr="00792C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p>
          <w:p w:rsidR="00000000" w:rsidRPr="00EC036A" w:rsidP="00EC036A">
            <w:pPr>
              <w:pStyle w:val="BodyText"/>
            </w:pPr>
            <w:r w:rsidRPr="00EC036A">
              <w:rPr>
                <w:rStyle w:val="SpecialBold"/>
              </w:rPr>
              <w:t>MSA20107 Certificate II in Process Manufacturing</w:t>
            </w:r>
          </w:p>
          <w:p w:rsidR="00000000" w:rsidRPr="00EC036A" w:rsidP="00EC036A">
            <w:pPr>
              <w:pStyle w:val="BodyText"/>
            </w:pPr>
            <w:r w:rsidRPr="00EC036A">
              <w:t xml:space="preserve">The following </w:t>
            </w:r>
            <w:r w:rsidRPr="00EC036A">
              <w:t xml:space="preserve">table contains a summary of the Employability Skills required by the process manufacturing industries for this qualification. The Employability Skills facets described here are broad industry requirements that may vary depending on qualification packaging </w:t>
            </w:r>
            <w:r w:rsidRPr="00EC036A">
              <w:t>options.</w:t>
            </w:r>
          </w:p>
          <w:p w:rsidR="00000000" w:rsidRPr="00EC036A" w:rsidP="00EC036A">
            <w:pPr>
              <w:pStyle w:val="BodyText"/>
            </w:pPr>
          </w:p>
          <w:p w:rsidR="00000000" w:rsidP="00EC036A">
            <w:pPr>
              <w:pStyle w:val="BodyText"/>
              <w:rPr>
                <w:lang w:val="en-NZ"/>
              </w:rPr>
            </w:pPr>
            <w:r w:rsidRPr="00EC036A">
              <w:t>Due to the high proportion of electives required by this qualification, the industry/enterprise requirements described for each Employability Skill are representative of the industry in general and may not reflect specific job roles. Learning and</w:t>
            </w:r>
            <w:r w:rsidRPr="00EC036A">
              <w:t xml:space="preserve"> assessment strategies for this qualification should be based on the requirements of the units of competency for this qualification.</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Industry</w:t>
            </w:r>
            <w:r w:rsidRPr="00EC036A">
              <w:t>/</w:t>
            </w:r>
            <w:r w:rsidRPr="00EC036A">
              <w:rPr>
                <w:rStyle w:val="SpecialBold"/>
              </w:rPr>
              <w:t>enterprise requirements for this qualification include</w:t>
            </w:r>
            <w:r w:rsidRPr="00EC036A">
              <w:t>:</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complete logs, reports and plant documentation</w:t>
            </w:r>
          </w:p>
          <w:p w:rsidR="00000000" w:rsidRPr="00EC036A" w:rsidP="00EC036A">
            <w:pPr>
              <w:pStyle w:val="ListBullet"/>
            </w:pPr>
            <w:r w:rsidRPr="00EC036A">
              <w:t>access and interpret production plans and information</w:t>
            </w:r>
          </w:p>
          <w:p w:rsidR="00000000" w:rsidRPr="00EC036A" w:rsidP="00EC036A">
            <w:pPr>
              <w:pStyle w:val="ListBullet"/>
            </w:pPr>
            <w:r w:rsidRPr="00EC036A">
              <w:t>provide appropriate workplace information</w:t>
            </w:r>
          </w:p>
          <w:p w:rsidR="00000000" w:rsidRPr="00EC036A" w:rsidP="00EC036A">
            <w:pPr>
              <w:pStyle w:val="ListBullet"/>
            </w:pPr>
            <w:r w:rsidRPr="00EC036A">
              <w:t>give and follow routine instructions</w:t>
            </w:r>
          </w:p>
          <w:p w:rsidR="00000000" w:rsidP="00EC036A">
            <w:pPr>
              <w:pStyle w:val="ListBullet"/>
              <w:rPr>
                <w:lang w:val="en-NZ"/>
              </w:rPr>
            </w:pPr>
            <w:r w:rsidRPr="00EC036A">
              <w:t>provide written and oral reports</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work as part of a team</w:t>
            </w:r>
          </w:p>
          <w:p w:rsidR="00000000" w:rsidRPr="00EC036A" w:rsidP="00EC036A">
            <w:pPr>
              <w:pStyle w:val="ListBullet"/>
            </w:pPr>
            <w:r w:rsidRPr="00EC036A">
              <w:t>identify and describe own role and role of others</w:t>
            </w:r>
          </w:p>
          <w:p w:rsidR="00000000" w:rsidP="00EC036A">
            <w:pPr>
              <w:pStyle w:val="ListBullet"/>
              <w:rPr>
                <w:lang w:val="en-NZ"/>
              </w:rPr>
            </w:pPr>
            <w:r w:rsidRPr="00EC036A">
              <w:t>identify own role and responsibility within a team</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recognise known faults that occur during the operation</w:t>
            </w:r>
          </w:p>
          <w:p w:rsidR="00000000" w:rsidRPr="00EC036A" w:rsidP="00EC036A">
            <w:pPr>
              <w:pStyle w:val="ListBullet"/>
            </w:pPr>
            <w:r w:rsidRPr="00EC036A">
              <w:t>identify and take action on causes of routine faults</w:t>
            </w:r>
          </w:p>
          <w:p w:rsidR="00000000" w:rsidRPr="00EC036A" w:rsidP="00EC036A">
            <w:pPr>
              <w:pStyle w:val="ListBullet"/>
            </w:pPr>
            <w:r w:rsidRPr="00EC036A">
              <w:t xml:space="preserve">identify non-routine process </w:t>
            </w:r>
            <w:r w:rsidRPr="00EC036A">
              <w:t>and quality problems and take appropriate action</w:t>
            </w:r>
          </w:p>
          <w:p w:rsidR="00000000" w:rsidP="00EC036A">
            <w:pPr>
              <w:pStyle w:val="ListBullet"/>
              <w:rPr>
                <w:lang w:val="en-NZ"/>
              </w:rPr>
            </w:pPr>
            <w:r w:rsidRPr="00EC036A">
              <w:t>respond to routine problems</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suggest improvements</w:t>
            </w:r>
          </w:p>
          <w:p w:rsidR="00000000" w:rsidRPr="00EC036A" w:rsidP="00EC036A">
            <w:pPr>
              <w:pStyle w:val="ListBullet"/>
            </w:pPr>
            <w:r w:rsidRPr="00EC036A">
              <w:t>make adjustments to improve equipment performance</w:t>
            </w:r>
          </w:p>
          <w:p w:rsidR="00000000" w:rsidRPr="00EC036A" w:rsidP="00EC036A">
            <w:pPr>
              <w:pStyle w:val="ListBullet"/>
            </w:pPr>
            <w:r w:rsidRPr="00EC036A">
              <w:t>determine problems needing action</w:t>
            </w:r>
          </w:p>
          <w:p w:rsidR="00000000" w:rsidRPr="00EC036A" w:rsidP="00EC036A">
            <w:pPr>
              <w:pStyle w:val="ListBullet"/>
            </w:pPr>
            <w:r w:rsidRPr="00EC036A">
              <w:t>report problems outside area of responsibility</w:t>
            </w:r>
          </w:p>
          <w:p w:rsidR="00000000" w:rsidRPr="00EC036A" w:rsidP="00EC036A">
            <w:pPr>
              <w:pStyle w:val="ListBullet"/>
            </w:pPr>
            <w:r w:rsidRPr="00EC036A">
              <w:t>raise questions regarding requirements and expectations</w:t>
            </w:r>
          </w:p>
          <w:p w:rsidR="00000000" w:rsidRPr="00EC036A" w:rsidP="00EC036A">
            <w:pPr>
              <w:pStyle w:val="ListBullet"/>
            </w:pPr>
            <w:r w:rsidRPr="00EC036A">
              <w:t>distinguish between causes of faults</w:t>
            </w:r>
          </w:p>
          <w:p w:rsidR="00000000" w:rsidRPr="00EC036A" w:rsidP="00EC036A">
            <w:pPr>
              <w:pStyle w:val="ListBullet"/>
            </w:pPr>
            <w:r w:rsidRPr="00EC036A">
              <w:t>identify product out of specification</w:t>
            </w:r>
          </w:p>
          <w:p w:rsidR="00000000" w:rsidP="00EC036A">
            <w:pPr>
              <w:pStyle w:val="ListBullet"/>
              <w:rPr>
                <w:lang w:val="en-NZ"/>
              </w:rPr>
            </w:pPr>
            <w:r w:rsidRPr="00EC036A">
              <w:t>safely shutdown equipment in abnormal circumstances</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plan own work</w:t>
            </w:r>
          </w:p>
          <w:p w:rsidR="00000000" w:rsidRPr="00EC036A" w:rsidP="00EC036A">
            <w:pPr>
              <w:pStyle w:val="ListBullet"/>
            </w:pPr>
            <w:r w:rsidRPr="00EC036A">
              <w:t>achieve production targets</w:t>
            </w:r>
          </w:p>
          <w:p w:rsidR="00000000" w:rsidRPr="00EC036A" w:rsidP="00EC036A">
            <w:pPr>
              <w:pStyle w:val="ListBullet"/>
            </w:pPr>
            <w:r w:rsidRPr="00EC036A">
              <w:t>ident</w:t>
            </w:r>
            <w:r w:rsidRPr="00EC036A">
              <w:t>ify production targets</w:t>
            </w:r>
          </w:p>
          <w:p w:rsidR="00000000" w:rsidP="00EC036A">
            <w:pPr>
              <w:pStyle w:val="ListBullet"/>
              <w:rPr>
                <w:lang w:val="en-NZ"/>
              </w:rPr>
            </w:pPr>
            <w:r w:rsidRPr="00EC036A">
              <w:t>recognise hazards and follow appropriate hazard control methods</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identify work requirements</w:t>
            </w:r>
          </w:p>
          <w:p w:rsidR="00000000" w:rsidRPr="00EC036A" w:rsidP="00EC036A">
            <w:pPr>
              <w:pStyle w:val="ListBullet"/>
            </w:pPr>
            <w:r w:rsidRPr="00EC036A">
              <w:t>plan own work requirements from production requests</w:t>
            </w:r>
          </w:p>
          <w:p w:rsidR="00000000" w:rsidRPr="00EC036A" w:rsidP="00EC036A">
            <w:pPr>
              <w:pStyle w:val="ListBullet"/>
            </w:pPr>
            <w:r w:rsidRPr="00EC036A">
              <w:t>operate within appropriate time constraints and work standards</w:t>
            </w:r>
          </w:p>
          <w:p w:rsidR="00000000" w:rsidRPr="00EC036A" w:rsidP="00EC036A">
            <w:pPr>
              <w:pStyle w:val="ListBullet"/>
            </w:pPr>
            <w:r w:rsidRPr="00EC036A">
              <w:t>select and use appropriate equipment, materials, processes and procedures</w:t>
            </w:r>
          </w:p>
          <w:p w:rsidR="00000000" w:rsidP="00EC036A">
            <w:pPr>
              <w:pStyle w:val="ListBullet"/>
              <w:rPr>
                <w:lang w:val="en-NZ"/>
              </w:rPr>
            </w:pPr>
            <w:r w:rsidRPr="00EC036A">
              <w:t>identify task outcomes and work role</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ask questions to gain information</w:t>
            </w:r>
          </w:p>
          <w:p w:rsidR="00000000" w:rsidRPr="00EC036A" w:rsidP="00EC036A">
            <w:pPr>
              <w:pStyle w:val="ListBullet"/>
            </w:pPr>
            <w:r w:rsidRPr="00EC036A">
              <w:t xml:space="preserve">seek clarification </w:t>
            </w:r>
          </w:p>
          <w:p w:rsidR="00000000" w:rsidP="00EC036A">
            <w:pPr>
              <w:pStyle w:val="ListBullet"/>
              <w:rPr>
                <w:lang w:val="en-NZ"/>
              </w:rPr>
            </w:pPr>
            <w:r w:rsidRPr="00EC036A">
              <w:t>participate in improvement procedures</w:t>
            </w:r>
          </w:p>
        </w:tc>
      </w:tr>
      <w:tr w:rsidTr="00792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ListBullet"/>
            </w:pPr>
            <w:r w:rsidRPr="00EC036A">
              <w:t>check process is operating wi</w:t>
            </w:r>
            <w:r w:rsidRPr="00EC036A">
              <w:t>thin required limits</w:t>
            </w:r>
          </w:p>
          <w:p w:rsidR="00000000" w:rsidRPr="00EC036A" w:rsidP="00EC036A">
            <w:pPr>
              <w:pStyle w:val="ListBullet"/>
            </w:pPr>
            <w:r w:rsidRPr="00EC036A">
              <w:t>monitor equipment operation</w:t>
            </w:r>
          </w:p>
          <w:p w:rsidR="00000000" w:rsidRPr="00EC036A" w:rsidP="00EC036A">
            <w:pPr>
              <w:pStyle w:val="ListBullet"/>
            </w:pPr>
            <w:r w:rsidRPr="00EC036A">
              <w:t>use appropriate instruments</w:t>
            </w:r>
          </w:p>
          <w:p w:rsidR="00000000" w:rsidRPr="00EC036A" w:rsidP="00EC036A">
            <w:pPr>
              <w:pStyle w:val="ListBullet"/>
            </w:pPr>
            <w:r w:rsidRPr="00EC036A">
              <w:t>monitor and adjust machine functions</w:t>
            </w:r>
          </w:p>
          <w:p w:rsidR="00000000" w:rsidRPr="00EC036A" w:rsidP="00EC036A">
            <w:pPr>
              <w:pStyle w:val="ListBullet"/>
            </w:pPr>
            <w:r w:rsidRPr="00EC036A">
              <w:t>use forklift controls, instruments and indicators</w:t>
            </w:r>
          </w:p>
          <w:p w:rsidR="00000000" w:rsidRPr="00EC036A" w:rsidP="00EC036A">
            <w:pPr>
              <w:pStyle w:val="ListBullet"/>
            </w:pPr>
            <w:r w:rsidRPr="00EC036A">
              <w:t>carry out pre-operational checks on equipment</w:t>
            </w:r>
          </w:p>
        </w:tc>
      </w:tr>
    </w:tbl>
    <w:p w:rsidR="00792C86" w:rsidP="00EC036A">
      <w:pPr>
        <w:pStyle w:val="BodyText"/>
      </w:pPr>
    </w:p>
    <w:p w:rsidR="00792C86" w:rsidP="00EC036A">
      <w:pPr>
        <w:pStyle w:val="BodyText"/>
      </w:pPr>
    </w:p>
    <w:p w:rsidR="00000000" w:rsidRPr="00EC036A" w:rsidP="00EC036A">
      <w:pPr>
        <w:pStyle w:val="Heading1"/>
      </w:pPr>
      <w:bookmarkStart w:id="7" w:name="O_643203"/>
      <w:bookmarkEnd w:id="7"/>
      <w:r w:rsidRPr="00EC036A">
        <w:t>Packaging Rules</w:t>
      </w:r>
    </w:p>
    <w:p w:rsidR="00000000" w:rsidRPr="00EC036A" w:rsidP="00EC036A">
      <w:pPr>
        <w:pStyle w:val="BodyText"/>
      </w:pPr>
      <w:r w:rsidRPr="00EC036A">
        <w:rPr>
          <w:rStyle w:val="SpecialBold"/>
        </w:rPr>
        <w:t>Packaging Rules</w:t>
      </w:r>
    </w:p>
    <w:p w:rsidR="00000000" w:rsidRPr="00EC036A" w:rsidP="00EC036A">
      <w:pPr>
        <w:pStyle w:val="BodyText"/>
      </w:pPr>
      <w:r w:rsidRPr="00EC036A">
        <w:t xml:space="preserve">To be awarded the Certificate II in Process Manufacturing, competency must be achieved in </w:t>
      </w:r>
      <w:r w:rsidRPr="00EC036A">
        <w:rPr>
          <w:rStyle w:val="SpecialBold"/>
        </w:rPr>
        <w:t>fourteen</w:t>
      </w:r>
      <w:r w:rsidRPr="00EC036A">
        <w:t xml:space="preserve"> (</w:t>
      </w:r>
      <w:r w:rsidRPr="00EC036A">
        <w:rPr>
          <w:rStyle w:val="SpecialBold"/>
        </w:rPr>
        <w:t>14</w:t>
      </w:r>
      <w:r w:rsidRPr="00EC036A">
        <w:t>) units of competency:</w:t>
      </w:r>
    </w:p>
    <w:p w:rsidR="00000000" w:rsidRPr="00EC036A" w:rsidP="00EC036A">
      <w:pPr>
        <w:pStyle w:val="BodyText"/>
      </w:pPr>
    </w:p>
    <w:p w:rsidR="00000000" w:rsidRPr="00EC036A" w:rsidP="00EC036A">
      <w:pPr>
        <w:pStyle w:val="ListBullet"/>
      </w:pPr>
      <w:r w:rsidRPr="00EC036A">
        <w:rPr>
          <w:rStyle w:val="SpecialBold"/>
        </w:rPr>
        <w:t>three</w:t>
      </w:r>
      <w:r w:rsidRPr="00EC036A">
        <w:t xml:space="preserve"> (</w:t>
      </w:r>
      <w:r w:rsidRPr="00EC036A">
        <w:rPr>
          <w:rStyle w:val="SpecialBold"/>
        </w:rPr>
        <w:t>3</w:t>
      </w:r>
      <w:r w:rsidRPr="00EC036A">
        <w:t>) core units of competency</w:t>
      </w:r>
    </w:p>
    <w:p w:rsidR="00000000" w:rsidRPr="00EC036A" w:rsidP="00EC036A">
      <w:pPr>
        <w:pStyle w:val="ListBullet"/>
      </w:pPr>
      <w:r w:rsidRPr="00EC036A">
        <w:rPr>
          <w:rStyle w:val="SpecialBold"/>
        </w:rPr>
        <w:t>eleven</w:t>
      </w:r>
      <w:r w:rsidRPr="00EC036A">
        <w:t xml:space="preserve"> (</w:t>
      </w:r>
      <w:r w:rsidRPr="00EC036A">
        <w:rPr>
          <w:rStyle w:val="SpecialBold"/>
        </w:rPr>
        <w:t>11</w:t>
      </w:r>
      <w:r w:rsidRPr="00EC036A">
        <w:t>) elective units of competency, four (4) of which can be selected</w:t>
      </w:r>
      <w:r w:rsidRPr="00EC036A">
        <w:t xml:space="preserve"> from this Training Package, other endorsed Training Packages and accredited courses, as specified below.</w:t>
      </w:r>
    </w:p>
    <w:p w:rsidR="00000000" w:rsidRPr="00EC036A" w:rsidP="00EC036A">
      <w:pPr>
        <w:pStyle w:val="BodyText"/>
      </w:pPr>
    </w:p>
    <w:p w:rsidR="00000000" w:rsidRPr="00EC036A" w:rsidP="00EC036A">
      <w:pPr>
        <w:pStyle w:val="BodyText"/>
      </w:pPr>
      <w:r w:rsidRPr="00EC036A">
        <w:t>Note: Units marked with an asterisk have one or more prerequisite requirements. The prerequisites for these units are to be counted in the total numb</w:t>
      </w:r>
      <w:r w:rsidRPr="00EC036A">
        <w:t>er of units required in the elective group. Please refer to individual units for details.</w:t>
      </w:r>
    </w:p>
    <w:p w:rsidR="00000000" w:rsidRPr="00EC036A" w:rsidP="00EC036A">
      <w:pPr>
        <w:pStyle w:val="BodyText"/>
      </w:pPr>
    </w:p>
    <w:p w:rsidR="00000000" w:rsidRPr="00EC036A" w:rsidP="00EC036A">
      <w:pPr>
        <w:pStyle w:val="BodyText"/>
      </w:pPr>
      <w:r w:rsidRPr="00EC036A">
        <w:rPr>
          <w:rStyle w:val="SpecialBold"/>
        </w:rPr>
        <w:t>Core units of competency</w:t>
      </w:r>
    </w:p>
    <w:p w:rsidR="00000000" w:rsidRPr="00EC036A" w:rsidP="00EC036A">
      <w:pPr>
        <w:pStyle w:val="ListBullet"/>
      </w:pPr>
      <w:r w:rsidRPr="00EC036A">
        <w:t xml:space="preserve">Complete all </w:t>
      </w:r>
      <w:r w:rsidRPr="00EC036A">
        <w:rPr>
          <w:rStyle w:val="SpecialBold"/>
        </w:rPr>
        <w:t>three</w:t>
      </w:r>
      <w:r w:rsidRPr="00EC036A">
        <w:t xml:space="preserve"> (</w:t>
      </w:r>
      <w:r w:rsidRPr="00EC036A">
        <w:rPr>
          <w:rStyle w:val="SpecialBold"/>
        </w:rPr>
        <w:t>3</w:t>
      </w:r>
      <w:r w:rsidRPr="00EC036A">
        <w:t>) units of competency from this list.</w:t>
      </w:r>
    </w:p>
    <w:p w:rsidR="00000000" w:rsidRPr="00EC036A" w:rsidP="00EC036A">
      <w:pPr>
        <w:pStyle w:val="BodyText"/>
      </w:pPr>
    </w:p>
    <w:tbl>
      <w:tblPr>
        <w:tblW w:w="9450" w:type="dxa"/>
        <w:tblLayout w:type="fixed"/>
        <w:tblCellMar>
          <w:left w:w="62" w:type="dxa"/>
          <w:right w:w="62" w:type="dxa"/>
        </w:tblCellMar>
        <w:tblLook w:val="0000"/>
      </w:tblPr>
      <w:tblGrid>
        <w:gridCol w:w="2970"/>
        <w:gridCol w:w="6480"/>
      </w:tblGrid>
      <w:tr w:rsidTr="00792C86">
        <w:tblPrEx>
          <w:tblW w:w="9450" w:type="dxa"/>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rPr>
                <w:rStyle w:val="SpecialBold"/>
              </w:rPr>
              <w:t>Unit code</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Unit title</w:t>
            </w:r>
          </w:p>
        </w:tc>
      </w:tr>
      <w:tr w:rsidTr="00792C86">
        <w:tblPrEx>
          <w:tblW w:w="945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MSAENV272B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Participate in environmentally sustainable wor</w:t>
            </w:r>
            <w:r w:rsidRPr="00EC036A">
              <w:t>k practices</w:t>
            </w:r>
          </w:p>
        </w:tc>
      </w:tr>
      <w:tr w:rsidTr="00792C86">
        <w:tblPrEx>
          <w:tblW w:w="945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MSAPMOHS200A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Work safely</w:t>
            </w:r>
          </w:p>
        </w:tc>
      </w:tr>
      <w:tr w:rsidTr="00792C86">
        <w:tblPrEx>
          <w:tblW w:w="945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MSAPMSUP210A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t xml:space="preserve">Process and record information </w:t>
            </w:r>
          </w:p>
        </w:tc>
      </w:tr>
    </w:tbl>
    <w:p w:rsidR="00000000" w:rsidRPr="00EC036A" w:rsidP="00EC036A">
      <w:pPr>
        <w:pStyle w:val="BodyText"/>
      </w:pPr>
    </w:p>
    <w:p w:rsidR="00000000" w:rsidRPr="00EC036A" w:rsidP="00EC036A">
      <w:pPr>
        <w:pStyle w:val="BodyText"/>
      </w:pPr>
      <w:r w:rsidRPr="00EC036A">
        <w:rPr>
          <w:rStyle w:val="SpecialBold"/>
        </w:rPr>
        <w:t>Group A</w:t>
      </w:r>
      <w:r w:rsidRPr="00EC036A">
        <w:t xml:space="preserve"> - </w:t>
      </w:r>
      <w:r w:rsidRPr="00EC036A">
        <w:rPr>
          <w:rStyle w:val="SpecialBold"/>
        </w:rPr>
        <w:t>Elective units</w:t>
      </w:r>
      <w:r w:rsidRPr="00EC036A">
        <w:t xml:space="preserve"> </w:t>
      </w:r>
    </w:p>
    <w:p w:rsidR="00000000" w:rsidRPr="00EC036A" w:rsidP="00EC036A">
      <w:pPr>
        <w:pStyle w:val="ListBullet"/>
      </w:pPr>
      <w:r w:rsidRPr="00EC036A">
        <w:t xml:space="preserve">Select a minimum of </w:t>
      </w:r>
      <w:r w:rsidRPr="00EC036A">
        <w:rPr>
          <w:rStyle w:val="SpecialBold"/>
        </w:rPr>
        <w:t>eleven</w:t>
      </w:r>
      <w:r w:rsidRPr="00EC036A">
        <w:t xml:space="preserve"> (</w:t>
      </w:r>
      <w:r w:rsidRPr="00EC036A">
        <w:rPr>
          <w:rStyle w:val="SpecialBold"/>
        </w:rPr>
        <w:t>11</w:t>
      </w:r>
      <w:r w:rsidRPr="00EC036A">
        <w:t>) units of competency from the following list.</w:t>
      </w:r>
    </w:p>
    <w:p w:rsidR="00000000" w:rsidRPr="00EC036A" w:rsidP="00EC036A">
      <w:pPr>
        <w:pStyle w:val="BodyText"/>
      </w:pPr>
    </w:p>
    <w:tbl>
      <w:tblPr>
        <w:tblW w:w="9540" w:type="dxa"/>
        <w:tblLayout w:type="fixed"/>
        <w:tblCellMar>
          <w:left w:w="62" w:type="dxa"/>
          <w:right w:w="62" w:type="dxa"/>
        </w:tblCellMar>
        <w:tblLook w:val="0000"/>
      </w:tblPr>
      <w:tblGrid>
        <w:gridCol w:w="2970"/>
        <w:gridCol w:w="5407"/>
        <w:gridCol w:w="1163"/>
      </w:tblGrid>
      <w:tr w:rsidTr="00792C86">
        <w:tblPrEx>
          <w:tblW w:w="9540" w:type="dxa"/>
          <w:tblLayout w:type="fixed"/>
          <w:tblCellMar>
            <w:left w:w="62" w:type="dxa"/>
            <w:right w:w="62" w:type="dxa"/>
          </w:tblCellMar>
          <w:tblLook w:val="0000"/>
        </w:tblPrEx>
        <w:trPr>
          <w:tblHeader/>
        </w:trPr>
        <w:tc>
          <w:tcPr>
            <w:tcW w:w="95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Support units</w:t>
            </w: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rPr>
                <w:rStyle w:val="SpecialBold"/>
              </w:rPr>
              <w:t>Unit code</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rPr>
                <w:rStyle w:val="SpecialBold"/>
              </w:rPr>
              <w:t>Unit title</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Prerequisites</w:t>
            </w: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LMTGN2008B</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Coordinate work of team/section</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MEM13003B</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Work safely with industrial chemicals and materials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MEM16006A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Organise and communicate information</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MEM16007A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Work with others in a manufacturing, engineering or related environment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MEM16008A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Interact with computing technology</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MEM18001C</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Use hand tools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MEM18002B</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Use power tools/hand held operations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MSS402002A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Sustain process improvements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MSS402020A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quick changeover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MSS402021A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Just in Time (JIT)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MSS402030A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cost factors to work practices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MSS402040A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5S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MSS402050A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Monitor process capability</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MSS402051A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quality standards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MSS402060A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Use planning software systems in operations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MSS402080A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Undertake root cause analysis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MSAPMOHS100A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Follow OHS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MSAPMOHS110A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Follow emergency response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MSAPMOHS205A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Control minor incidents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MSAPMOHS210B</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Undertake first response to non-fire incidents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MSAPMOHS212A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Undertake first response to fire incidents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MSAPMOHS216A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Operate breathing apparatus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MSAPMOHS217A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Gas test atmospheres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MSAPMOHS220A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Provide initial first aid response</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MSAPMOPS100A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 xml:space="preserve">Use equipment </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MSAPMOPS101A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Make measurements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MSAPMOPS102A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Perform tasks to support production</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MSAPMPER200C</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Work in accordance with an issued permit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MSAPMPER201A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Monitor and control work permits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MSAPMPER202A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Observe permit work</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t>
            </w: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MSAPMPER205C</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Enter confined space</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t>
            </w: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MSAPMSUP100A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Apply workplace procedures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MSAPMSUP101A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Clean workplace or equipment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MSAPMSUP102A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Communicate in the workplace</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MSAPMSUP106A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Work in a team</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MSAPMSUP172A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Identify and minimise environmental hazards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MSAPMSUP201A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Receive or despatch goods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MSAPMSUP200A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Achieve work outcomes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MSAPMSUP204A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Pack products or materials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MSAPMSUP205A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Transfer loads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MSAPMSUP230A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Monitor process operations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MSAPMSUP240A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Undertake minor maintenance</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MSAPMSUP273A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Handle goods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MSAPMSUP280A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Manage conflict at work</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MSAPMSUP291A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Participate in co</w:t>
            </w:r>
            <w:r w:rsidRPr="00EC036A">
              <w:t>ntinuous improvement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MSAPMSUP292A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Sample and test materials and product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PMBHAN103C</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Shift materials safely by hand</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TLID2010A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Operate a forklift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RIIRIS201B</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Conduct local risk control</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95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rPr>
                <w:rStyle w:val="SpecialBold"/>
              </w:rPr>
              <w:t>Technical units</w:t>
            </w: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FPICOT2238A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Cut materials with a hand-held chainsaw</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MSAPMOPS200A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Operate equipment</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MSAPMOPS212A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r w:rsidRPr="00EC036A">
              <w:t>Use enterprise computers or data systems</w:t>
            </w:r>
          </w:p>
        </w:tc>
        <w:tc>
          <w:tcPr>
            <w:tcW w:w="1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36A">
            <w:pPr>
              <w:pStyle w:val="BodyText"/>
              <w:rPr>
                <w:lang w:val="en-NZ"/>
              </w:rPr>
            </w:pPr>
          </w:p>
        </w:tc>
      </w:tr>
      <w:tr w:rsidTr="00792C86">
        <w:tblPrEx>
          <w:tblW w:w="9540" w:type="dxa"/>
          <w:tblLayout w:type="fixed"/>
          <w:tblCellMar>
            <w:left w:w="62" w:type="dxa"/>
            <w:right w:w="62" w:type="dxa"/>
          </w:tblCellMar>
          <w:tblLook w:val="0000"/>
        </w:tblPrEx>
        <w:tc>
          <w:tcPr>
            <w:tcW w:w="95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36A" w:rsidP="00EC036A">
            <w:pPr>
              <w:pStyle w:val="BodyText"/>
            </w:pPr>
            <w:r w:rsidRPr="00EC036A">
              <w:t>A maximum of four (4) relevant units may be selected from this Training Package, other endorsed Training Packages and accredited courses, where those units are available for inclusion at Certificate II or III. Note: a maximum of two (2) units may be chosen</w:t>
            </w:r>
            <w:r w:rsidRPr="00EC036A">
              <w:t xml:space="preserve"> from Certificate III.</w:t>
            </w:r>
          </w:p>
        </w:tc>
      </w:tr>
    </w:tbl>
    <w:p w:rsidR="00792C86" w:rsidP="00EC036A">
      <w:pPr>
        <w:pStyle w:val="BodyText"/>
      </w:pPr>
    </w:p>
    <w:p w:rsidR="00792C86" w:rsidP="00EC036A">
      <w:pPr>
        <w:pStyle w:val="BodyText"/>
      </w:pPr>
    </w:p>
    <w:p w:rsidR="00000000" w:rsidRPr="00EC036A" w:rsidP="00EC036A"/>
    <w:sectPr w:rsidSect="00EC0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rsidRPr="00792C86" w:rsidP="00792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86" w:rsidP="00EC0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2C86" w:rsidP="00EC036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2C86" w:rsidP="00EC0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rsidRPr="00792C86" w:rsidP="00792C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86" w:rsidRPr="002D2AF8" w:rsidP="00EC036A">
    <w:pPr>
      <w:pStyle w:val="Header"/>
      <w:framePr w:wrap="around"/>
    </w:pPr>
    <w:r>
      <w:fldChar w:fldCharType="begin"/>
    </w:r>
    <w:r>
      <w:instrText xml:space="preserve"> TITLE   \* MERGEFORMAT </w:instrText>
    </w:r>
    <w:r>
      <w:fldChar w:fldCharType="separate"/>
    </w:r>
    <w:r>
      <w:t>MSA20107 Certificate II in Process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792C86" w:rsidP="00EC0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60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C0F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36A"/>
    <w:pPr>
      <w:spacing w:before="360" w:after="60"/>
      <w:outlineLvl w:val="0"/>
    </w:pPr>
    <w:rPr>
      <w:sz w:val="32"/>
    </w:rPr>
  </w:style>
  <w:style w:type="paragraph" w:styleId="Heading2">
    <w:name w:val="heading 2"/>
    <w:basedOn w:val="HeadingBase"/>
    <w:next w:val="BodyText"/>
    <w:link w:val="Heading2Char"/>
    <w:qFormat/>
    <w:rsid w:val="00EC036A"/>
    <w:pPr>
      <w:keepLines/>
      <w:spacing w:before="240" w:after="120"/>
      <w:outlineLvl w:val="1"/>
    </w:pPr>
    <w:rPr>
      <w:sz w:val="28"/>
      <w:szCs w:val="40"/>
    </w:rPr>
  </w:style>
  <w:style w:type="paragraph" w:styleId="Heading3">
    <w:name w:val="heading 3"/>
    <w:basedOn w:val="HeadingBase"/>
    <w:next w:val="BodyText"/>
    <w:link w:val="Heading3Char"/>
    <w:qFormat/>
    <w:rsid w:val="00EC036A"/>
    <w:pPr>
      <w:spacing w:before="180" w:after="120"/>
      <w:outlineLvl w:val="2"/>
    </w:pPr>
    <w:rPr>
      <w:spacing w:val="-10"/>
      <w:kern w:val="32"/>
    </w:rPr>
  </w:style>
  <w:style w:type="paragraph" w:styleId="Heading4">
    <w:name w:val="heading 4"/>
    <w:basedOn w:val="HeadingBase"/>
    <w:next w:val="BodyText"/>
    <w:link w:val="Heading4Char"/>
    <w:qFormat/>
    <w:rsid w:val="00EC036A"/>
    <w:pPr>
      <w:spacing w:before="160" w:after="120"/>
      <w:outlineLvl w:val="3"/>
    </w:pPr>
    <w:rPr>
      <w:sz w:val="22"/>
    </w:rPr>
  </w:style>
  <w:style w:type="paragraph" w:styleId="Heading5">
    <w:name w:val="heading 5"/>
    <w:basedOn w:val="HeadingBase"/>
    <w:next w:val="Normal"/>
    <w:link w:val="Heading5Char"/>
    <w:qFormat/>
    <w:rsid w:val="00EC036A"/>
    <w:pPr>
      <w:spacing w:before="80"/>
      <w:outlineLvl w:val="4"/>
    </w:pPr>
    <w:rPr>
      <w:color w:val="918585"/>
      <w:sz w:val="20"/>
    </w:rPr>
  </w:style>
  <w:style w:type="paragraph" w:styleId="Heading6">
    <w:name w:val="heading 6"/>
    <w:basedOn w:val="HeadingBase"/>
    <w:next w:val="Normal"/>
    <w:link w:val="Heading6Char"/>
    <w:qFormat/>
    <w:rsid w:val="00EC036A"/>
    <w:pPr>
      <w:spacing w:before="60"/>
      <w:outlineLvl w:val="5"/>
    </w:pPr>
    <w:rPr>
      <w:color w:val="918585"/>
      <w:sz w:val="20"/>
    </w:rPr>
  </w:style>
  <w:style w:type="paragraph" w:styleId="Heading7">
    <w:name w:val="heading 7"/>
    <w:basedOn w:val="Normal"/>
    <w:next w:val="Normal"/>
    <w:link w:val="Heading7Char"/>
    <w:qFormat/>
    <w:rsid w:val="00EC036A"/>
    <w:pPr>
      <w:ind w:left="720"/>
      <w:outlineLvl w:val="6"/>
    </w:pPr>
    <w:rPr>
      <w:i/>
    </w:rPr>
  </w:style>
  <w:style w:type="paragraph" w:styleId="Heading8">
    <w:name w:val="heading 8"/>
    <w:basedOn w:val="Normal"/>
    <w:next w:val="Normal"/>
    <w:link w:val="Heading8Char"/>
    <w:qFormat/>
    <w:rsid w:val="00EC036A"/>
    <w:pPr>
      <w:ind w:left="720"/>
      <w:outlineLvl w:val="7"/>
    </w:pPr>
    <w:rPr>
      <w:i/>
    </w:rPr>
  </w:style>
  <w:style w:type="paragraph" w:styleId="Heading9">
    <w:name w:val="heading 9"/>
    <w:basedOn w:val="Normal"/>
    <w:next w:val="Normal"/>
    <w:link w:val="Heading9Char"/>
    <w:qFormat/>
    <w:rsid w:val="00EC036A"/>
    <w:pPr>
      <w:ind w:left="720"/>
      <w:outlineLvl w:val="8"/>
    </w:pPr>
    <w:rPr>
      <w:i/>
    </w:rPr>
  </w:style>
  <w:style w:type="character" w:default="1" w:styleId="DefaultParagraphFont">
    <w:name w:val="Default Paragraph Font"/>
    <w:uiPriority w:val="1"/>
    <w:unhideWhenUsed/>
    <w:rsid w:val="00EC0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36A"/>
  </w:style>
  <w:style w:type="character" w:customStyle="1" w:styleId="Heading1Char">
    <w:name w:val="Heading 1 Char"/>
    <w:basedOn w:val="DefaultParagraphFont"/>
    <w:link w:val="Heading1"/>
    <w:rsid w:val="00EC036A"/>
    <w:rPr>
      <w:rFonts w:ascii="Times New Roman" w:eastAsia="Times New Roman" w:hAnsi="Times New Roman" w:cs="Times New Roman"/>
      <w:b/>
      <w:sz w:val="32"/>
      <w:szCs w:val="20"/>
      <w:lang w:eastAsia="en-US"/>
    </w:rPr>
  </w:style>
  <w:style w:type="paragraph" w:styleId="BodyText">
    <w:name w:val="Body Text"/>
    <w:basedOn w:val="Normal"/>
    <w:link w:val="BodyTextChar"/>
    <w:rsid w:val="00EC0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36A"/>
    <w:rPr>
      <w:rFonts w:ascii="Times New Roman" w:eastAsia="Times New Roman" w:hAnsi="Times New Roman" w:cs="Times New Roman"/>
      <w:sz w:val="24"/>
      <w:lang w:eastAsia="en-US"/>
    </w:rPr>
  </w:style>
  <w:style w:type="paragraph" w:styleId="ListBullet">
    <w:name w:val="List Bullet"/>
    <w:basedOn w:val="List"/>
    <w:rsid w:val="00EC036A"/>
    <w:pPr>
      <w:numPr>
        <w:numId w:val="12"/>
      </w:numPr>
      <w:tabs>
        <w:tab w:val="clear" w:pos="340"/>
      </w:tabs>
      <w:spacing w:before="40" w:after="40"/>
    </w:pPr>
  </w:style>
  <w:style w:type="character" w:customStyle="1" w:styleId="SpecialBold">
    <w:name w:val="Special Bold"/>
    <w:basedOn w:val="DefaultParagraphFont"/>
    <w:rsid w:val="00EC036A"/>
    <w:rPr>
      <w:b/>
      <w:spacing w:val="0"/>
    </w:rPr>
  </w:style>
  <w:style w:type="paragraph" w:customStyle="1" w:styleId="SuperHeading">
    <w:name w:val="SuperHeading"/>
    <w:basedOn w:val="Normal"/>
    <w:rsid w:val="00EC036A"/>
    <w:pPr>
      <w:spacing w:before="240" w:after="120"/>
      <w:outlineLvl w:val="0"/>
    </w:pPr>
    <w:rPr>
      <w:rFonts w:ascii="Times New Roman" w:hAnsi="Times New Roman"/>
      <w:b/>
      <w:sz w:val="32"/>
    </w:rPr>
  </w:style>
  <w:style w:type="paragraph" w:customStyle="1" w:styleId="AllowPageBreak">
    <w:name w:val="AllowPageBreak"/>
    <w:rsid w:val="00EC0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36A"/>
    <w:rPr>
      <w:rFonts w:ascii="Courier New" w:eastAsia="Times New Roman" w:hAnsi="Courier New" w:cs="Times New Roman"/>
      <w:i/>
      <w:szCs w:val="20"/>
      <w:lang w:eastAsia="en-US"/>
    </w:rPr>
  </w:style>
  <w:style w:type="paragraph" w:customStyle="1" w:styleId="HeadingBase">
    <w:name w:val="Heading Base"/>
    <w:rsid w:val="00EC0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36A"/>
    <w:pPr>
      <w:tabs>
        <w:tab w:val="right" w:leader="dot" w:pos="9072"/>
      </w:tabs>
      <w:ind w:left="567"/>
    </w:pPr>
    <w:rPr>
      <w:szCs w:val="22"/>
    </w:rPr>
  </w:style>
  <w:style w:type="paragraph" w:customStyle="1" w:styleId="TOCBase">
    <w:name w:val="TOC Base"/>
    <w:rsid w:val="00EC0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36A"/>
    <w:pPr>
      <w:tabs>
        <w:tab w:val="right" w:leader="dot" w:pos="9072"/>
      </w:tabs>
      <w:spacing w:before="40" w:after="40"/>
      <w:ind w:left="284"/>
    </w:pPr>
    <w:rPr>
      <w:rFonts w:ascii="Times New Roman" w:hAnsi="Times New Roman"/>
    </w:rPr>
  </w:style>
  <w:style w:type="paragraph" w:styleId="TOC1">
    <w:name w:val="toc 1"/>
    <w:basedOn w:val="TOCBase"/>
    <w:next w:val="Normal"/>
    <w:rsid w:val="00EC0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36A"/>
    <w:rPr>
      <w:rFonts w:ascii="Times New Roman" w:eastAsia="Times New Roman" w:hAnsi="Times New Roman" w:cs="Times New Roman"/>
      <w:sz w:val="16"/>
      <w:lang w:eastAsia="en-US"/>
    </w:rPr>
  </w:style>
  <w:style w:type="paragraph" w:styleId="Title">
    <w:name w:val="Title"/>
    <w:basedOn w:val="HeadingBase"/>
    <w:link w:val="TitleChar"/>
    <w:qFormat/>
    <w:rsid w:val="00EC036A"/>
    <w:pPr>
      <w:spacing w:before="5040"/>
      <w:jc w:val="center"/>
    </w:pPr>
    <w:rPr>
      <w:sz w:val="48"/>
      <w:szCs w:val="72"/>
      <w:lang w:val="en-US"/>
    </w:rPr>
  </w:style>
  <w:style w:type="character" w:customStyle="1" w:styleId="TitleChar">
    <w:name w:val="Title Char"/>
    <w:basedOn w:val="DefaultParagraphFont"/>
    <w:link w:val="Title"/>
    <w:rsid w:val="00EC0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36A"/>
    <w:pPr>
      <w:tabs>
        <w:tab w:val="left" w:pos="3600"/>
        <w:tab w:val="left" w:pos="3958"/>
      </w:tabs>
    </w:pPr>
  </w:style>
  <w:style w:type="paragraph" w:styleId="List">
    <w:name w:val="List"/>
    <w:basedOn w:val="BodyText"/>
    <w:next w:val="BodyText"/>
    <w:rsid w:val="00EC036A"/>
    <w:pPr>
      <w:tabs>
        <w:tab w:val="left" w:pos="340"/>
      </w:tabs>
      <w:spacing w:before="60" w:after="60"/>
      <w:ind w:left="340" w:hanging="340"/>
    </w:pPr>
  </w:style>
  <w:style w:type="paragraph" w:customStyle="1" w:styleId="Note">
    <w:name w:val="Note"/>
    <w:basedOn w:val="BodyText"/>
    <w:rsid w:val="00EC0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36A"/>
    <w:pPr>
      <w:framePr w:wrap="auto" w:hAnchor="text" w:y="6049"/>
    </w:pPr>
    <w:rPr>
      <w:color w:val="000000"/>
      <w:sz w:val="40"/>
    </w:rPr>
  </w:style>
  <w:style w:type="paragraph" w:customStyle="1" w:styleId="TOCTitle">
    <w:name w:val="TOCTitle"/>
    <w:basedOn w:val="Heading1"/>
    <w:rsid w:val="00EC036A"/>
    <w:pPr>
      <w:spacing w:after="240"/>
      <w:jc w:val="center"/>
      <w:outlineLvl w:val="9"/>
    </w:pPr>
    <w:rPr>
      <w:caps/>
    </w:rPr>
  </w:style>
  <w:style w:type="paragraph" w:customStyle="1" w:styleId="Version">
    <w:name w:val="Version"/>
    <w:rsid w:val="00EC03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36A"/>
    <w:pPr>
      <w:numPr>
        <w:numId w:val="13"/>
      </w:numPr>
      <w:tabs>
        <w:tab w:val="clear" w:pos="680"/>
      </w:tabs>
    </w:pPr>
  </w:style>
  <w:style w:type="paragraph" w:styleId="Index1">
    <w:name w:val="index 1"/>
    <w:basedOn w:val="Normal"/>
    <w:next w:val="Normal"/>
    <w:semiHidden/>
    <w:rsid w:val="00EC036A"/>
    <w:pPr>
      <w:keepNext w:val="0"/>
      <w:tabs>
        <w:tab w:val="right" w:pos="4176"/>
      </w:tabs>
      <w:ind w:left="198" w:hanging="198"/>
    </w:pPr>
    <w:rPr>
      <w:rFonts w:ascii="Garamond" w:hAnsi="Garamond"/>
    </w:rPr>
  </w:style>
  <w:style w:type="paragraph" w:styleId="IndexHeading">
    <w:name w:val="index heading"/>
    <w:basedOn w:val="Normal"/>
    <w:next w:val="Index1"/>
    <w:semiHidden/>
    <w:rsid w:val="00EC036A"/>
    <w:pPr>
      <w:spacing w:before="120" w:after="120"/>
    </w:pPr>
    <w:rPr>
      <w:rFonts w:ascii="Arial" w:hAnsi="Arial"/>
      <w:b/>
      <w:color w:val="918585"/>
      <w:sz w:val="24"/>
    </w:rPr>
  </w:style>
  <w:style w:type="paragraph" w:styleId="Header">
    <w:name w:val="header"/>
    <w:basedOn w:val="Normal"/>
    <w:link w:val="HeaderChar"/>
    <w:rsid w:val="00EC0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36A"/>
    <w:rPr>
      <w:rFonts w:ascii="Times New Roman" w:eastAsia="Times New Roman" w:hAnsi="Times New Roman" w:cs="Times New Roman"/>
      <w:sz w:val="16"/>
      <w:szCs w:val="20"/>
      <w:lang w:val="en-GB" w:eastAsia="en-US"/>
    </w:rPr>
  </w:style>
  <w:style w:type="paragraph" w:customStyle="1" w:styleId="Chapter">
    <w:name w:val="Chapter"/>
    <w:basedOn w:val="Normal"/>
    <w:rsid w:val="00EC036A"/>
    <w:pPr>
      <w:spacing w:before="240"/>
    </w:pPr>
    <w:rPr>
      <w:rFonts w:ascii="Times New Roman" w:hAnsi="Times New Roman"/>
      <w:smallCaps/>
      <w:spacing w:val="80"/>
      <w:sz w:val="28"/>
    </w:rPr>
  </w:style>
  <w:style w:type="paragraph" w:customStyle="1" w:styleId="InChapter">
    <w:name w:val="InChapter"/>
    <w:basedOn w:val="Heading3"/>
    <w:rsid w:val="00EC036A"/>
    <w:pPr>
      <w:spacing w:after="240"/>
      <w:outlineLvl w:val="9"/>
    </w:pPr>
    <w:rPr>
      <w:noProof/>
    </w:rPr>
  </w:style>
  <w:style w:type="paragraph" w:styleId="Index2">
    <w:name w:val="index 2"/>
    <w:basedOn w:val="Normal"/>
    <w:next w:val="Normal"/>
    <w:semiHidden/>
    <w:rsid w:val="00EC036A"/>
    <w:pPr>
      <w:tabs>
        <w:tab w:val="right" w:pos="4176"/>
      </w:tabs>
      <w:ind w:left="568" w:hanging="284"/>
    </w:pPr>
    <w:rPr>
      <w:rFonts w:ascii="Garamond" w:hAnsi="Garamond"/>
    </w:rPr>
  </w:style>
  <w:style w:type="paragraph" w:customStyle="1" w:styleId="Byline">
    <w:name w:val="Byline"/>
    <w:rsid w:val="00EC0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36A"/>
    <w:pPr>
      <w:tabs>
        <w:tab w:val="clear" w:pos="3600"/>
        <w:tab w:val="clear" w:pos="3958"/>
      </w:tabs>
      <w:jc w:val="right"/>
    </w:pPr>
  </w:style>
  <w:style w:type="character" w:styleId="Emphasis">
    <w:name w:val="Emphasis"/>
    <w:basedOn w:val="DefaultParagraphFont"/>
    <w:qFormat/>
    <w:rsid w:val="00EC036A"/>
    <w:rPr>
      <w:i/>
    </w:rPr>
  </w:style>
  <w:style w:type="paragraph" w:styleId="Caption">
    <w:name w:val="caption"/>
    <w:basedOn w:val="BodyText"/>
    <w:next w:val="Normal"/>
    <w:qFormat/>
    <w:rsid w:val="00EC036A"/>
    <w:pPr>
      <w:framePr w:w="2268" w:hSpace="181" w:vSpace="181" w:wrap="around" w:vAnchor="text" w:hAnchor="page" w:x="1135" w:y="285" w:anchorLock="1"/>
    </w:pPr>
    <w:rPr>
      <w:i/>
    </w:rPr>
  </w:style>
  <w:style w:type="paragraph" w:customStyle="1" w:styleId="MiniTOCTitle">
    <w:name w:val="MiniTOCTitle"/>
    <w:basedOn w:val="Heading4"/>
    <w:rsid w:val="00EC036A"/>
    <w:pPr>
      <w:spacing w:before="240"/>
      <w:outlineLvl w:val="9"/>
    </w:pPr>
    <w:rPr>
      <w:noProof/>
      <w:sz w:val="24"/>
    </w:rPr>
  </w:style>
  <w:style w:type="paragraph" w:customStyle="1" w:styleId="MiniTOCItem">
    <w:name w:val="MiniTOCItem"/>
    <w:basedOn w:val="ListBullet"/>
    <w:rsid w:val="00EC036A"/>
    <w:pPr>
      <w:numPr>
        <w:numId w:val="0"/>
      </w:numPr>
      <w:tabs>
        <w:tab w:val="right" w:leader="dot" w:pos="6521"/>
      </w:tabs>
      <w:spacing w:before="0" w:after="0"/>
    </w:pPr>
  </w:style>
  <w:style w:type="paragraph" w:customStyle="1" w:styleId="TOFTitle">
    <w:name w:val="TOFTitle"/>
    <w:basedOn w:val="TOCTitle"/>
    <w:rsid w:val="00EC036A"/>
  </w:style>
  <w:style w:type="paragraph" w:styleId="TableofFigures">
    <w:name w:val="table of figures"/>
    <w:basedOn w:val="Normal"/>
    <w:next w:val="Normal"/>
    <w:semiHidden/>
    <w:rsid w:val="00EC036A"/>
    <w:pPr>
      <w:tabs>
        <w:tab w:val="right" w:leader="dot" w:pos="9072"/>
      </w:tabs>
      <w:ind w:left="970" w:hanging="403"/>
    </w:pPr>
    <w:rPr>
      <w:rFonts w:ascii="Times New Roman" w:hAnsi="Times New Roman"/>
      <w:b/>
    </w:rPr>
  </w:style>
  <w:style w:type="paragraph" w:styleId="ListNumber">
    <w:name w:val="List Number"/>
    <w:basedOn w:val="List"/>
    <w:rsid w:val="00EC036A"/>
    <w:pPr>
      <w:numPr>
        <w:numId w:val="10"/>
      </w:numPr>
    </w:pPr>
  </w:style>
  <w:style w:type="character" w:customStyle="1" w:styleId="WingdingSymbols">
    <w:name w:val="Wingding Symbols"/>
    <w:rsid w:val="00EC036A"/>
    <w:rPr>
      <w:rFonts w:ascii="Wingdings" w:hAnsi="Wingdings"/>
    </w:rPr>
  </w:style>
  <w:style w:type="paragraph" w:customStyle="1" w:styleId="TableHeading">
    <w:name w:val="Table Heading"/>
    <w:basedOn w:val="HeadingBase"/>
    <w:rsid w:val="00EC036A"/>
    <w:pPr>
      <w:keepLines/>
      <w:pBdr>
        <w:bottom w:val="single" w:sz="6" w:space="1" w:color="918585"/>
      </w:pBdr>
      <w:spacing w:before="240"/>
    </w:pPr>
  </w:style>
  <w:style w:type="character" w:customStyle="1" w:styleId="HotSpot">
    <w:name w:val="HotSpot"/>
    <w:rsid w:val="00EC036A"/>
    <w:rPr>
      <w:color w:val="0033CC"/>
      <w:u w:val="none"/>
    </w:rPr>
  </w:style>
  <w:style w:type="paragraph" w:customStyle="1" w:styleId="BodyTextRight">
    <w:name w:val="Body Text Right"/>
    <w:basedOn w:val="BodyText"/>
    <w:rsid w:val="00EC036A"/>
    <w:pPr>
      <w:spacing w:before="0" w:after="0"/>
      <w:jc w:val="right"/>
    </w:pPr>
  </w:style>
  <w:style w:type="paragraph" w:styleId="Index3">
    <w:name w:val="index 3"/>
    <w:basedOn w:val="ListNumber2"/>
    <w:next w:val="Normal"/>
    <w:semiHidden/>
    <w:rsid w:val="00EC036A"/>
    <w:pPr>
      <w:numPr>
        <w:numId w:val="0"/>
      </w:numPr>
      <w:tabs>
        <w:tab w:val="right" w:leader="dot" w:pos="4176"/>
      </w:tabs>
    </w:pPr>
  </w:style>
  <w:style w:type="paragraph" w:styleId="ListNumber2">
    <w:name w:val="List Number 2"/>
    <w:basedOn w:val="List2"/>
    <w:rsid w:val="00EC036A"/>
    <w:pPr>
      <w:numPr>
        <w:numId w:val="9"/>
      </w:numPr>
      <w:tabs>
        <w:tab w:val="clear" w:pos="1060"/>
      </w:tabs>
    </w:pPr>
  </w:style>
  <w:style w:type="paragraph" w:customStyle="1" w:styleId="MarginNote">
    <w:name w:val="Margin Note"/>
    <w:basedOn w:val="BodyText"/>
    <w:rsid w:val="00EC0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36A"/>
    <w:rPr>
      <w:sz w:val="32"/>
    </w:rPr>
  </w:style>
  <w:style w:type="paragraph" w:customStyle="1" w:styleId="HeadingProcedure">
    <w:name w:val="Heading Procedure"/>
    <w:basedOn w:val="HeadingBase"/>
    <w:next w:val="Normal"/>
    <w:rsid w:val="00EC036A"/>
    <w:pPr>
      <w:tabs>
        <w:tab w:val="left" w:pos="0"/>
      </w:tabs>
      <w:spacing w:before="120" w:after="60"/>
    </w:pPr>
    <w:rPr>
      <w:i/>
      <w:color w:val="918585"/>
      <w:sz w:val="22"/>
    </w:rPr>
  </w:style>
  <w:style w:type="paragraph" w:customStyle="1" w:styleId="TableBodyText">
    <w:name w:val="Table Body Text"/>
    <w:basedOn w:val="BodyText"/>
    <w:rsid w:val="00EC036A"/>
    <w:pPr>
      <w:spacing w:before="60" w:after="60"/>
    </w:pPr>
  </w:style>
  <w:style w:type="paragraph" w:styleId="ListContinue">
    <w:name w:val="List Continue"/>
    <w:basedOn w:val="List"/>
    <w:rsid w:val="00EC036A"/>
    <w:pPr>
      <w:ind w:firstLine="0"/>
    </w:pPr>
  </w:style>
  <w:style w:type="paragraph" w:customStyle="1" w:styleId="ListNote">
    <w:name w:val="List Note"/>
    <w:basedOn w:val="List"/>
    <w:rsid w:val="00EC036A"/>
    <w:pPr>
      <w:pBdr>
        <w:top w:val="single" w:sz="6" w:space="2" w:color="918585"/>
        <w:bottom w:val="single" w:sz="6" w:space="2" w:color="918585"/>
      </w:pBdr>
      <w:tabs>
        <w:tab w:val="left" w:pos="1021"/>
      </w:tabs>
      <w:ind w:firstLine="0"/>
    </w:pPr>
  </w:style>
  <w:style w:type="paragraph" w:customStyle="1" w:styleId="Warning">
    <w:name w:val="Warning"/>
    <w:basedOn w:val="BodyText"/>
    <w:rsid w:val="00EC036A"/>
    <w:pPr>
      <w:shd w:val="clear" w:color="auto" w:fill="D9D9D9"/>
      <w:tabs>
        <w:tab w:val="left" w:pos="992"/>
      </w:tabs>
      <w:ind w:left="119" w:right="119"/>
    </w:pPr>
    <w:rPr>
      <w:sz w:val="20"/>
    </w:rPr>
  </w:style>
  <w:style w:type="paragraph" w:customStyle="1" w:styleId="MarginIcons">
    <w:name w:val="Margin Icons"/>
    <w:basedOn w:val="BodyText"/>
    <w:rsid w:val="00EC0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36A"/>
    <w:rPr>
      <w:rFonts w:ascii="Courier New" w:hAnsi="Courier New"/>
    </w:rPr>
  </w:style>
  <w:style w:type="paragraph" w:customStyle="1" w:styleId="NoteBullet">
    <w:name w:val="Note Bullet"/>
    <w:basedOn w:val="Note"/>
    <w:rsid w:val="00EC036A"/>
    <w:pPr>
      <w:tabs>
        <w:tab w:val="clear" w:pos="680"/>
      </w:tabs>
      <w:spacing w:before="60" w:after="60"/>
    </w:pPr>
  </w:style>
  <w:style w:type="paragraph" w:customStyle="1" w:styleId="SubHeading2">
    <w:name w:val="SubHeading2"/>
    <w:basedOn w:val="HeadingBase"/>
    <w:rsid w:val="00EC036A"/>
    <w:pPr>
      <w:spacing w:before="240" w:after="60"/>
    </w:pPr>
    <w:rPr>
      <w:sz w:val="20"/>
    </w:rPr>
  </w:style>
  <w:style w:type="paragraph" w:customStyle="1" w:styleId="SubHeading1">
    <w:name w:val="SubHeading1"/>
    <w:basedOn w:val="HeadingBase"/>
    <w:rsid w:val="00EC036A"/>
    <w:pPr>
      <w:spacing w:before="240" w:after="60"/>
    </w:pPr>
    <w:rPr>
      <w:color w:val="918585"/>
      <w:sz w:val="22"/>
    </w:rPr>
  </w:style>
  <w:style w:type="paragraph" w:customStyle="1" w:styleId="SideHeading">
    <w:name w:val="Side Heading"/>
    <w:basedOn w:val="HeadingBase"/>
    <w:rsid w:val="00EC0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36A"/>
    <w:pPr>
      <w:tabs>
        <w:tab w:val="num" w:pos="360"/>
      </w:tabs>
    </w:pPr>
  </w:style>
  <w:style w:type="paragraph" w:styleId="PlainText">
    <w:name w:val="Plain Text"/>
    <w:basedOn w:val="Normal"/>
    <w:link w:val="PlainTextChar"/>
    <w:rsid w:val="00EC036A"/>
    <w:rPr>
      <w:sz w:val="20"/>
    </w:rPr>
  </w:style>
  <w:style w:type="character" w:customStyle="1" w:styleId="PlainTextChar">
    <w:name w:val="Plain Text Char"/>
    <w:basedOn w:val="DefaultParagraphFont"/>
    <w:link w:val="PlainText"/>
    <w:rsid w:val="00EC036A"/>
    <w:rPr>
      <w:rFonts w:ascii="Courier New" w:eastAsia="Times New Roman" w:hAnsi="Courier New" w:cs="Times New Roman"/>
      <w:sz w:val="20"/>
      <w:szCs w:val="20"/>
      <w:lang w:eastAsia="en-US"/>
    </w:rPr>
  </w:style>
  <w:style w:type="character" w:customStyle="1" w:styleId="MenuOption">
    <w:name w:val="Menu Option"/>
    <w:basedOn w:val="DefaultParagraphFont"/>
    <w:rsid w:val="00EC036A"/>
    <w:rPr>
      <w:b/>
      <w:smallCaps/>
    </w:rPr>
  </w:style>
  <w:style w:type="paragraph" w:customStyle="1" w:styleId="TableListNumber">
    <w:name w:val="Table List Number"/>
    <w:basedOn w:val="ListNumber"/>
    <w:rsid w:val="00EC036A"/>
    <w:pPr>
      <w:numPr>
        <w:numId w:val="0"/>
      </w:numPr>
    </w:pPr>
  </w:style>
  <w:style w:type="paragraph" w:styleId="TOC4">
    <w:name w:val="toc 4"/>
    <w:basedOn w:val="TOCBase"/>
    <w:next w:val="Normal"/>
    <w:semiHidden/>
    <w:rsid w:val="00EC036A"/>
    <w:pPr>
      <w:tabs>
        <w:tab w:val="right" w:leader="dot" w:pos="9071"/>
      </w:tabs>
      <w:ind w:left="1701"/>
    </w:pPr>
  </w:style>
  <w:style w:type="paragraph" w:customStyle="1" w:styleId="ListAlpha">
    <w:name w:val="List Alpha"/>
    <w:basedOn w:val="List"/>
    <w:rsid w:val="00EC036A"/>
    <w:pPr>
      <w:numPr>
        <w:numId w:val="8"/>
      </w:numPr>
    </w:pPr>
  </w:style>
  <w:style w:type="paragraph" w:customStyle="1" w:styleId="ListAlpha2">
    <w:name w:val="List Alpha 2"/>
    <w:basedOn w:val="List2"/>
    <w:rsid w:val="00EC036A"/>
    <w:pPr>
      <w:numPr>
        <w:numId w:val="7"/>
      </w:numPr>
    </w:pPr>
  </w:style>
  <w:style w:type="paragraph" w:styleId="List2">
    <w:name w:val="List 2"/>
    <w:basedOn w:val="BodyText"/>
    <w:rsid w:val="00EC036A"/>
    <w:pPr>
      <w:tabs>
        <w:tab w:val="left" w:pos="680"/>
      </w:tabs>
      <w:spacing w:before="60" w:after="60"/>
      <w:ind w:left="680" w:hanging="340"/>
    </w:pPr>
  </w:style>
  <w:style w:type="paragraph" w:styleId="List3">
    <w:name w:val="List 3"/>
    <w:basedOn w:val="BodyText"/>
    <w:rsid w:val="00EC036A"/>
    <w:pPr>
      <w:tabs>
        <w:tab w:val="left" w:pos="1021"/>
      </w:tabs>
      <w:spacing w:before="60" w:after="60"/>
      <w:ind w:left="1020" w:hanging="340"/>
    </w:pPr>
  </w:style>
  <w:style w:type="paragraph" w:styleId="List4">
    <w:name w:val="List 4"/>
    <w:basedOn w:val="BodyText"/>
    <w:rsid w:val="00EC036A"/>
    <w:pPr>
      <w:tabs>
        <w:tab w:val="left" w:pos="1361"/>
      </w:tabs>
      <w:spacing w:before="60" w:after="60"/>
      <w:ind w:left="1361" w:hanging="340"/>
    </w:pPr>
  </w:style>
  <w:style w:type="paragraph" w:styleId="List5">
    <w:name w:val="List 5"/>
    <w:basedOn w:val="BodyText"/>
    <w:rsid w:val="00EC036A"/>
    <w:pPr>
      <w:tabs>
        <w:tab w:val="left" w:pos="1701"/>
      </w:tabs>
      <w:spacing w:before="60" w:after="60"/>
      <w:ind w:left="1701" w:hanging="340"/>
    </w:pPr>
  </w:style>
  <w:style w:type="paragraph" w:styleId="ListBullet3">
    <w:name w:val="List Bullet 3"/>
    <w:basedOn w:val="List3"/>
    <w:rsid w:val="00EC036A"/>
    <w:pPr>
      <w:numPr>
        <w:numId w:val="14"/>
      </w:numPr>
      <w:tabs>
        <w:tab w:val="clear" w:pos="1021"/>
      </w:tabs>
      <w:ind w:left="1037" w:hanging="357"/>
    </w:pPr>
  </w:style>
  <w:style w:type="paragraph" w:styleId="ListBullet4">
    <w:name w:val="List Bullet 4"/>
    <w:basedOn w:val="List4"/>
    <w:rsid w:val="00EC036A"/>
    <w:pPr>
      <w:numPr>
        <w:numId w:val="2"/>
      </w:numPr>
    </w:pPr>
  </w:style>
  <w:style w:type="paragraph" w:styleId="ListBullet5">
    <w:name w:val="List Bullet 5"/>
    <w:basedOn w:val="List5"/>
    <w:rsid w:val="00EC036A"/>
    <w:pPr>
      <w:numPr>
        <w:numId w:val="3"/>
      </w:numPr>
    </w:pPr>
  </w:style>
  <w:style w:type="paragraph" w:styleId="ListContinue2">
    <w:name w:val="List Continue 2"/>
    <w:basedOn w:val="List2"/>
    <w:rsid w:val="00EC036A"/>
    <w:pPr>
      <w:ind w:firstLine="0"/>
    </w:pPr>
  </w:style>
  <w:style w:type="paragraph" w:styleId="ListContinue3">
    <w:name w:val="List Continue 3"/>
    <w:basedOn w:val="List3"/>
    <w:rsid w:val="00EC036A"/>
    <w:pPr>
      <w:ind w:left="1021" w:firstLine="0"/>
    </w:pPr>
  </w:style>
  <w:style w:type="paragraph" w:styleId="ListContinue4">
    <w:name w:val="List Continue 4"/>
    <w:basedOn w:val="List4"/>
    <w:rsid w:val="00EC036A"/>
    <w:pPr>
      <w:ind w:firstLine="0"/>
    </w:pPr>
  </w:style>
  <w:style w:type="paragraph" w:styleId="ListContinue5">
    <w:name w:val="List Continue 5"/>
    <w:basedOn w:val="List5"/>
    <w:rsid w:val="00EC036A"/>
    <w:pPr>
      <w:ind w:firstLine="0"/>
    </w:pPr>
  </w:style>
  <w:style w:type="paragraph" w:styleId="ListNumber3">
    <w:name w:val="List Number 3"/>
    <w:basedOn w:val="List3"/>
    <w:rsid w:val="00EC036A"/>
    <w:pPr>
      <w:numPr>
        <w:numId w:val="4"/>
      </w:numPr>
    </w:pPr>
  </w:style>
  <w:style w:type="paragraph" w:styleId="ListNumber4">
    <w:name w:val="List Number 4"/>
    <w:basedOn w:val="List4"/>
    <w:rsid w:val="00EC036A"/>
    <w:pPr>
      <w:numPr>
        <w:numId w:val="5"/>
      </w:numPr>
    </w:pPr>
  </w:style>
  <w:style w:type="paragraph" w:styleId="ListNumber5">
    <w:name w:val="List Number 5"/>
    <w:basedOn w:val="List5"/>
    <w:rsid w:val="00EC036A"/>
    <w:pPr>
      <w:numPr>
        <w:numId w:val="6"/>
      </w:numPr>
    </w:pPr>
  </w:style>
  <w:style w:type="paragraph" w:styleId="BlockText">
    <w:name w:val="Block Text"/>
    <w:basedOn w:val="Normal"/>
    <w:rsid w:val="00EC036A"/>
    <w:pPr>
      <w:spacing w:after="120"/>
      <w:ind w:left="1440" w:right="1440"/>
    </w:pPr>
  </w:style>
  <w:style w:type="character" w:customStyle="1" w:styleId="Subscript">
    <w:name w:val="Subscript"/>
    <w:basedOn w:val="DefaultParagraphFont"/>
    <w:rsid w:val="00EC036A"/>
    <w:rPr>
      <w:sz w:val="16"/>
      <w:vertAlign w:val="subscript"/>
    </w:rPr>
  </w:style>
  <w:style w:type="character" w:customStyle="1" w:styleId="Superscript">
    <w:name w:val="Superscript"/>
    <w:basedOn w:val="DefaultParagraphFont"/>
    <w:rsid w:val="00EC036A"/>
    <w:rPr>
      <w:sz w:val="16"/>
      <w:vertAlign w:val="superscript"/>
    </w:rPr>
  </w:style>
  <w:style w:type="character" w:customStyle="1" w:styleId="Symbols">
    <w:name w:val="Symbols"/>
    <w:basedOn w:val="DefaultParagraphFont"/>
    <w:rsid w:val="00EC036A"/>
    <w:rPr>
      <w:rFonts w:ascii="Symbol" w:hAnsi="Symbol"/>
    </w:rPr>
  </w:style>
  <w:style w:type="character" w:customStyle="1" w:styleId="MenuOptions">
    <w:name w:val="Menu Options"/>
    <w:basedOn w:val="DefaultParagraphFont"/>
    <w:rsid w:val="00EC036A"/>
    <w:rPr>
      <w:rFonts w:ascii="Arial Narrow" w:hAnsi="Arial Narrow"/>
      <w:smallCaps/>
    </w:rPr>
  </w:style>
  <w:style w:type="character" w:customStyle="1" w:styleId="Buttons">
    <w:name w:val="Buttons"/>
    <w:basedOn w:val="DefaultParagraphFont"/>
    <w:rsid w:val="00EC036A"/>
    <w:rPr>
      <w:b/>
    </w:rPr>
  </w:style>
  <w:style w:type="character" w:customStyle="1" w:styleId="Underlined">
    <w:name w:val="Underlined"/>
    <w:basedOn w:val="DefaultParagraphFont"/>
    <w:rsid w:val="00EC036A"/>
    <w:rPr>
      <w:u w:val="single"/>
    </w:rPr>
  </w:style>
  <w:style w:type="paragraph" w:customStyle="1" w:styleId="TableBodyTextRight">
    <w:name w:val="Table Body Text Right"/>
    <w:basedOn w:val="TableBodyText"/>
    <w:rsid w:val="00EC036A"/>
    <w:pPr>
      <w:widowControl w:val="0"/>
      <w:autoSpaceDE w:val="0"/>
      <w:autoSpaceDN w:val="0"/>
      <w:adjustRightInd w:val="0"/>
      <w:jc w:val="right"/>
    </w:pPr>
    <w:rPr>
      <w:rFonts w:cs="Arial"/>
      <w:szCs w:val="18"/>
    </w:rPr>
  </w:style>
  <w:style w:type="paragraph" w:customStyle="1" w:styleId="CopyrightText">
    <w:name w:val="Copyright Text"/>
    <w:basedOn w:val="BodyText"/>
    <w:rsid w:val="00EC036A"/>
    <w:rPr>
      <w:sz w:val="18"/>
    </w:rPr>
  </w:style>
  <w:style w:type="paragraph" w:customStyle="1" w:styleId="BodySmallRight">
    <w:name w:val="Body Small Right"/>
    <w:basedOn w:val="BodyTextRight"/>
    <w:rsid w:val="00EC036A"/>
    <w:rPr>
      <w:sz w:val="18"/>
      <w:szCs w:val="18"/>
    </w:rPr>
  </w:style>
  <w:style w:type="paragraph" w:customStyle="1" w:styleId="MarginEdition">
    <w:name w:val="Margin Edition"/>
    <w:basedOn w:val="MarginNote"/>
    <w:rsid w:val="00EC036A"/>
    <w:pPr>
      <w:spacing w:before="0" w:after="0"/>
    </w:pPr>
    <w:rPr>
      <w:rFonts w:ascii="Times New Roman" w:hAnsi="Times New Roman"/>
      <w:color w:val="999999"/>
    </w:rPr>
  </w:style>
  <w:style w:type="paragraph" w:customStyle="1" w:styleId="Spacer">
    <w:name w:val="Spacer"/>
    <w:basedOn w:val="Normal"/>
    <w:rsid w:val="00EC036A"/>
    <w:rPr>
      <w:sz w:val="2"/>
      <w:szCs w:val="2"/>
    </w:rPr>
  </w:style>
  <w:style w:type="character" w:customStyle="1" w:styleId="Small">
    <w:name w:val="Small"/>
    <w:basedOn w:val="DefaultParagraphFont"/>
    <w:rsid w:val="00EC036A"/>
    <w:rPr>
      <w:sz w:val="16"/>
    </w:rPr>
  </w:style>
  <w:style w:type="paragraph" w:customStyle="1" w:styleId="WideTable">
    <w:name w:val="Wide Table"/>
    <w:basedOn w:val="Normal"/>
    <w:rsid w:val="00EC036A"/>
    <w:pPr>
      <w:ind w:left="-1418"/>
    </w:pPr>
    <w:rPr>
      <w:sz w:val="2"/>
      <w:szCs w:val="2"/>
    </w:rPr>
  </w:style>
  <w:style w:type="character" w:styleId="PageNumber">
    <w:name w:val="page number"/>
    <w:basedOn w:val="DefaultParagraphFont"/>
    <w:rsid w:val="00EC036A"/>
  </w:style>
  <w:style w:type="paragraph" w:styleId="Quote">
    <w:name w:val="Quote"/>
    <w:basedOn w:val="Heading1"/>
    <w:link w:val="QuoteChar"/>
    <w:qFormat/>
    <w:rsid w:val="00EC036A"/>
    <w:rPr>
      <w:b w:val="0"/>
      <w:sz w:val="72"/>
      <w:szCs w:val="72"/>
      <w:lang w:val="en-NZ"/>
    </w:rPr>
  </w:style>
  <w:style w:type="character" w:customStyle="1" w:styleId="QuoteChar">
    <w:name w:val="Quote Char"/>
    <w:basedOn w:val="DefaultParagraphFont"/>
    <w:link w:val="Quote"/>
    <w:rsid w:val="00EC0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36A"/>
    <w:pPr>
      <w:pageBreakBefore/>
    </w:pPr>
  </w:style>
  <w:style w:type="paragraph" w:customStyle="1" w:styleId="Border">
    <w:name w:val="Border"/>
    <w:basedOn w:val="Normal"/>
    <w:qFormat/>
    <w:rsid w:val="00EC0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36A"/>
    <w:rPr>
      <w:b/>
      <w:bCs/>
      <w:i/>
      <w:iCs/>
      <w:color w:val="auto"/>
    </w:rPr>
  </w:style>
  <w:style w:type="paragraph" w:styleId="IntenseQuote">
    <w:name w:val="Intense Quote"/>
    <w:basedOn w:val="Normal"/>
    <w:next w:val="Normal"/>
    <w:link w:val="IntenseQuoteChar"/>
    <w:uiPriority w:val="30"/>
    <w:qFormat/>
    <w:rsid w:val="00EC0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36A"/>
    <w:rPr>
      <w:smallCaps/>
      <w:color w:val="auto"/>
      <w:u w:val="single"/>
    </w:rPr>
  </w:style>
  <w:style w:type="character" w:styleId="IntenseReference">
    <w:name w:val="Intense Reference"/>
    <w:basedOn w:val="DefaultParagraphFont"/>
    <w:uiPriority w:val="32"/>
    <w:qFormat/>
    <w:rsid w:val="00EC036A"/>
    <w:rPr>
      <w:b/>
      <w:bCs/>
      <w:smallCaps/>
      <w:color w:val="auto"/>
      <w:spacing w:val="5"/>
      <w:u w:val="single"/>
    </w:rPr>
  </w:style>
  <w:style w:type="paragraph" w:customStyle="1" w:styleId="2ColumnHeading">
    <w:name w:val="2Column Heading"/>
    <w:basedOn w:val="BodyText"/>
    <w:qFormat/>
    <w:rsid w:val="00EC036A"/>
    <w:pPr>
      <w:spacing w:after="60"/>
      <w:ind w:left="-2268"/>
    </w:pPr>
    <w:rPr>
      <w:b/>
    </w:rPr>
  </w:style>
  <w:style w:type="paragraph" w:customStyle="1" w:styleId="Heading1TOC">
    <w:name w:val="Heading1 TOC"/>
    <w:basedOn w:val="Normal"/>
    <w:qFormat/>
    <w:rsid w:val="00EC036A"/>
    <w:pPr>
      <w:spacing w:before="240" w:after="120"/>
    </w:pPr>
    <w:rPr>
      <w:rFonts w:ascii="Times New Roman" w:hAnsi="Times New Roman"/>
      <w:b/>
      <w:sz w:val="32"/>
    </w:rPr>
  </w:style>
  <w:style w:type="paragraph" w:customStyle="1" w:styleId="Heading2TOC">
    <w:name w:val="Heading2 TOC"/>
    <w:basedOn w:val="Normal"/>
    <w:qFormat/>
    <w:rsid w:val="00EC036A"/>
    <w:pPr>
      <w:spacing w:before="240" w:after="60"/>
    </w:pPr>
    <w:rPr>
      <w:rFonts w:ascii="Times New Roman" w:hAnsi="Times New Roman"/>
      <w:b/>
      <w:sz w:val="28"/>
    </w:rPr>
  </w:style>
  <w:style w:type="character" w:customStyle="1" w:styleId="Underline">
    <w:name w:val="Underline"/>
    <w:basedOn w:val="DefaultParagraphFont"/>
    <w:qFormat/>
    <w:rsid w:val="00EC036A"/>
    <w:rPr>
      <w:u w:val="single"/>
    </w:rPr>
  </w:style>
  <w:style w:type="character" w:customStyle="1" w:styleId="BoldandItalics">
    <w:name w:val="Bold and Italics"/>
    <w:qFormat/>
    <w:rsid w:val="00EC036A"/>
    <w:rPr>
      <w:b/>
      <w:i/>
      <w:u w:val="none"/>
    </w:rPr>
  </w:style>
  <w:style w:type="paragraph" w:styleId="BalloonText">
    <w:name w:val="Balloon Text"/>
    <w:basedOn w:val="Normal"/>
    <w:link w:val="BalloonTextChar"/>
    <w:rsid w:val="00EC036A"/>
    <w:rPr>
      <w:rFonts w:ascii="Tahoma" w:hAnsi="Tahoma" w:cs="Tahoma"/>
      <w:sz w:val="16"/>
      <w:szCs w:val="16"/>
    </w:rPr>
  </w:style>
  <w:style w:type="character" w:customStyle="1" w:styleId="BalloonTextChar">
    <w:name w:val="Balloon Text Char"/>
    <w:basedOn w:val="DefaultParagraphFont"/>
    <w:link w:val="BalloonText"/>
    <w:rsid w:val="00EC0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36A"/>
    <w:rPr>
      <w:b/>
      <w:color w:val="660033"/>
      <w:spacing w:val="0"/>
    </w:rPr>
  </w:style>
  <w:style w:type="paragraph" w:customStyle="1" w:styleId="Nameditemlist">
    <w:name w:val="Named item list"/>
    <w:basedOn w:val="BodyText"/>
    <w:qFormat/>
    <w:rsid w:val="00EC03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1001</Words>
  <Characters>6531</Characters>
  <Application>Microsoft Office Word</Application>
  <DocSecurity>0</DocSecurity>
  <Lines>300</Lines>
  <Paragraphs>205</Paragraphs>
  <ScaleCrop>false</ScaleCrop>
  <Company>Author-it Software Corporation Ltd.</Company>
  <LinksUpToDate>false</LinksUpToDate>
  <CharactersWithSpaces>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MSA20107 Certificate II in Process Manufacturing</dc:title>
  <dc:subject>Approved</dc:subject>
  <dc:creator>Manufacturing Skills Australia</dc:creator>
  <cp:keywords>Release 4</cp:keywords>
  <dc:description>Review Date: 12 April 2008</dc:description>
  <cp:lastModifiedBy>HSD_TPCMSd.prod</cp:lastModifiedBy>
  <cp:revision>3</cp:revision>
  <dcterms:created xsi:type="dcterms:W3CDTF">2014-02-11T19:06:41Z</dcterms:created>
  <dcterms:modified xsi:type="dcterms:W3CDTF">2014-02-08T02:07:00Z</dcterms:modified>
</cp:coreProperties>
</file>