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B86" w:rsidP="00561B86">
      <w:pPr>
        <w:pStyle w:val="Title"/>
      </w:pPr>
      <w:r>
        <w:fldChar w:fldCharType="begin"/>
      </w:r>
      <w:r>
        <w:instrText xml:space="preserve"> TITLE   \* MERGEFORMAT </w:instrText>
      </w:r>
      <w:r>
        <w:fldChar w:fldCharType="separate"/>
      </w:r>
      <w:r>
        <w:t>MEM18006B Repair and fit engineering components</w:t>
      </w:r>
      <w:r>
        <w:fldChar w:fldCharType="end"/>
      </w:r>
    </w:p>
    <w:p w:rsidR="00561B86" w:rsidP="00561B86">
      <w:pPr>
        <w:pStyle w:val="Version"/>
        <w:sectPr w:rsidSect="006C2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7C8" w:rsidP="006C27C8">
      <w:pPr>
        <w:pStyle w:val="SuperHeading"/>
      </w:pPr>
      <w:r w:rsidRPr="006C27C8">
        <w:t>MEM18006B Repair and fit engineering components</w:t>
      </w:r>
    </w:p>
    <w:p w:rsidR="00000000" w:rsidRPr="006C27C8" w:rsidP="006C27C8">
      <w:pPr>
        <w:pStyle w:val="Heading1"/>
      </w:pPr>
      <w:bookmarkStart w:id="1" w:name="O_311799"/>
      <w:bookmarkEnd w:id="1"/>
      <w:r w:rsidRPr="006C27C8">
        <w:t>Modification History</w:t>
      </w:r>
    </w:p>
    <w:p w:rsidR="00000000" w:rsidRPr="006C27C8" w:rsidP="006C27C8">
      <w:pPr>
        <w:pStyle w:val="BodyText"/>
      </w:pPr>
      <w:r w:rsidRPr="006C27C8">
        <w:t>There are no notes for this unit.</w:t>
      </w:r>
    </w:p>
    <w:p w:rsidR="00000000" w:rsidRPr="006C27C8" w:rsidP="006C27C8">
      <w:pPr>
        <w:pStyle w:val="AllowPageBreak"/>
      </w:pPr>
    </w:p>
    <w:p w:rsidR="00000000" w:rsidRPr="006C27C8" w:rsidP="006C27C8">
      <w:pPr>
        <w:pStyle w:val="Heading1"/>
      </w:pPr>
      <w:bookmarkStart w:id="2" w:name="O_311806"/>
      <w:bookmarkEnd w:id="2"/>
      <w:r w:rsidRPr="006C27C8">
        <w:t>Unit Descriptor</w:t>
      </w:r>
    </w:p>
    <w:p w:rsidR="00000000" w:rsidRPr="006C27C8" w:rsidP="006C27C8">
      <w:pPr>
        <w:pStyle w:val="BodyText"/>
      </w:pPr>
      <w:r w:rsidRPr="006C27C8">
        <w:t>This unit covers fault finding, repairing faulty components, manufacturing new parts/c</w:t>
      </w:r>
      <w:r w:rsidRPr="006C27C8">
        <w:t>omponents, and fitting mechanical engineering components into assemblies or sub-assemblies.</w:t>
      </w:r>
    </w:p>
    <w:p w:rsidR="00000000" w:rsidRPr="006C27C8" w:rsidP="006C27C8">
      <w:pPr>
        <w:pStyle w:val="BodyText"/>
      </w:pPr>
      <w:r w:rsidRPr="006C27C8">
        <w:t>Tasks undertaken use mechanical engineering and maintenance principles, designated procedures, correct and appropriate tools/equipment, and safe working practices.</w:t>
      </w:r>
    </w:p>
    <w:p w:rsidR="00000000" w:rsidRPr="006C27C8" w:rsidP="006C27C8">
      <w:pPr>
        <w:pStyle w:val="AllowPageBreak"/>
      </w:pPr>
    </w:p>
    <w:p w:rsidR="00000000" w:rsidRPr="006C27C8" w:rsidP="006C27C8">
      <w:pPr>
        <w:pStyle w:val="Heading1"/>
      </w:pPr>
      <w:bookmarkStart w:id="3" w:name="O_311805"/>
      <w:bookmarkEnd w:id="3"/>
      <w:r w:rsidRPr="006C27C8">
        <w:t>Application of the Unit</w:t>
      </w:r>
    </w:p>
    <w:p w:rsidR="00000000" w:rsidRPr="006C27C8" w:rsidP="006C27C8">
      <w:pPr>
        <w:pStyle w:val="BodyText"/>
      </w:pPr>
      <w:r w:rsidRPr="006C27C8">
        <w:t>Work is undertaken autonomously or in a team environment using predetermined standards of quality, safety and workshop procedures. This unit includes the repair, replacement, assembling and final fitting of items, s</w:t>
      </w:r>
      <w:r w:rsidRPr="006C27C8">
        <w:t>ub-assemblies and assemblies. All specifications are interpreted from engineering drawings, detailed/technical sketches and associated data sheets; this includes the use of acceptable workshop practices. New components are manufactured as required to speci</w:t>
      </w:r>
      <w:r w:rsidRPr="006C27C8">
        <w:t xml:space="preserve">fications. </w:t>
      </w:r>
    </w:p>
    <w:p w:rsidR="00000000" w:rsidRPr="006C27C8" w:rsidP="006C27C8">
      <w:pPr>
        <w:pStyle w:val="AllowPageBreak"/>
      </w:pPr>
    </w:p>
    <w:p w:rsidR="00000000" w:rsidRPr="006C27C8" w:rsidP="006C27C8">
      <w:pPr>
        <w:pStyle w:val="Heading1"/>
      </w:pPr>
      <w:bookmarkStart w:id="4" w:name="O_311804"/>
      <w:bookmarkEnd w:id="4"/>
      <w:r w:rsidRPr="006C27C8">
        <w:t>Licensing/Regulatory Information</w:t>
      </w:r>
    </w:p>
    <w:p w:rsidR="00000000" w:rsidRPr="006C27C8" w:rsidP="006C27C8">
      <w:pPr>
        <w:pStyle w:val="Heading1"/>
      </w:pPr>
      <w:bookmarkStart w:id="5" w:name="O_311803"/>
      <w:bookmarkEnd w:id="5"/>
      <w:r w:rsidRPr="006C27C8">
        <w:t>Pre-Requisites</w:t>
      </w:r>
    </w:p>
    <w:tbl>
      <w:tblPr>
        <w:tblW w:w="0" w:type="auto"/>
        <w:tblLayout w:type="fixed"/>
        <w:tblCellMar>
          <w:left w:w="62" w:type="dxa"/>
          <w:right w:w="62" w:type="dxa"/>
        </w:tblCellMar>
        <w:tblLook w:val="0000"/>
      </w:tblPr>
      <w:tblGrid>
        <w:gridCol w:w="4500"/>
        <w:gridCol w:w="4500"/>
      </w:tblGrid>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Path 1  </w:t>
            </w:r>
          </w:p>
        </w:tc>
        <w:tc>
          <w:tcPr>
            <w:tcW w:w="4500" w:type="dxa"/>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t>MEM09002B Interpret technical drawing</w:t>
            </w:r>
          </w:p>
          <w:p w:rsidR="00000000" w:rsidRPr="006C27C8" w:rsidP="006C27C8">
            <w:pPr>
              <w:pStyle w:val="BodyText"/>
            </w:pPr>
            <w:r w:rsidRPr="006C27C8">
              <w:t>MEM12023A Perform engineering measurements</w:t>
            </w:r>
          </w:p>
          <w:p w:rsidR="00000000" w:rsidRPr="006C27C8" w:rsidP="006C27C8">
            <w:pPr>
              <w:pStyle w:val="BodyText"/>
            </w:pPr>
            <w:r w:rsidRPr="006C27C8">
              <w:t>MEM18001C Use hand tools</w:t>
            </w:r>
          </w:p>
          <w:p w:rsidR="00000000" w:rsidRPr="006C27C8" w:rsidP="006C27C8">
            <w:pPr>
              <w:pStyle w:val="BodyText"/>
            </w:pPr>
            <w:r w:rsidRPr="006C27C8">
              <w:t>MEM18002B Use power tools/hand held operations</w:t>
            </w:r>
          </w:p>
          <w:p w:rsidR="00000000" w:rsidRPr="006C27C8" w:rsidP="006C27C8">
            <w:pPr>
              <w:pStyle w:val="BodyText"/>
            </w:pPr>
            <w:r w:rsidRPr="006C27C8">
              <w:t>MEM18003C Use tools for precision work</w:t>
            </w:r>
          </w:p>
          <w:p w:rsidR="00000000" w:rsidRPr="006C27C8" w:rsidP="006C27C8">
            <w:pPr>
              <w:pStyle w:val="BodyText"/>
            </w:pPr>
            <w:r w:rsidRPr="006C27C8">
              <w:t>MEM18055B Dismantle, replace and assemble engineering components</w:t>
            </w:r>
          </w:p>
        </w:tc>
      </w:tr>
    </w:tbl>
    <w:p w:rsidR="00000000" w:rsidRPr="006C27C8" w:rsidP="006C27C8">
      <w:pPr>
        <w:pStyle w:val="BodyText"/>
      </w:pPr>
    </w:p>
    <w:p w:rsidR="00000000" w:rsidRPr="006C27C8" w:rsidP="006C27C8">
      <w:pPr>
        <w:pStyle w:val="AllowPageBreak"/>
      </w:pPr>
    </w:p>
    <w:p w:rsidR="00000000" w:rsidRPr="006C27C8" w:rsidP="006C27C8">
      <w:pPr>
        <w:pStyle w:val="Heading1"/>
      </w:pPr>
      <w:bookmarkStart w:id="6" w:name="O_311802"/>
      <w:bookmarkEnd w:id="6"/>
      <w:r w:rsidRPr="006C27C8">
        <w:t>Employability Skills Information</w:t>
      </w:r>
    </w:p>
    <w:p w:rsidR="00000000" w:rsidRPr="006C27C8" w:rsidP="006C27C8">
      <w:pPr>
        <w:pStyle w:val="Heading1"/>
      </w:pPr>
      <w:bookmarkStart w:id="7" w:name="O_311792"/>
      <w:bookmarkEnd w:id="7"/>
      <w:r w:rsidRPr="006C27C8">
        <w:t>Elements and Performance Criteria Pre</w:t>
      </w:r>
      <w:r w:rsidRPr="006C27C8">
        <w:t>-Content</w:t>
      </w:r>
    </w:p>
    <w:p w:rsidR="00000000" w:rsidRPr="006C27C8" w:rsidP="006C27C8">
      <w:pPr>
        <w:pStyle w:val="BodyText"/>
      </w:pPr>
      <w:r w:rsidRPr="006C27C8">
        <w:t>Elements are the essential outcomes of the unit of competency.</w:t>
      </w:r>
    </w:p>
    <w:p w:rsidR="00000000" w:rsidRPr="006C27C8" w:rsidP="006C27C8">
      <w:pPr>
        <w:pStyle w:val="BodyText"/>
      </w:pPr>
      <w:r w:rsidRPr="006C27C8">
        <w:t>Together, performance criteria specify the requirements for competent performance. Text in italics is explained in the range statement following.</w:t>
      </w:r>
    </w:p>
    <w:p w:rsidR="00000000" w:rsidRPr="006C27C8" w:rsidP="006C27C8">
      <w:pPr>
        <w:pStyle w:val="AllowPageBreak"/>
      </w:pPr>
    </w:p>
    <w:p w:rsidR="00000000" w:rsidRPr="006C27C8" w:rsidP="006C27C8">
      <w:pPr>
        <w:pStyle w:val="Heading1"/>
      </w:pPr>
      <w:bookmarkStart w:id="8" w:name="O_311800"/>
      <w:bookmarkEnd w:id="8"/>
      <w:r w:rsidRPr="006C27C8">
        <w:t>Elements and Performa</w:t>
      </w:r>
      <w:r w:rsidRPr="006C27C8">
        <w:t>nce Criteria</w:t>
      </w:r>
    </w:p>
    <w:tbl>
      <w:tblPr>
        <w:tblW w:w="0" w:type="auto"/>
        <w:tblLayout w:type="fixed"/>
        <w:tblCellMar>
          <w:left w:w="62" w:type="dxa"/>
          <w:right w:w="62" w:type="dxa"/>
        </w:tblCellMar>
        <w:tblLook w:val="0000"/>
      </w:tblPr>
      <w:tblGrid>
        <w:gridCol w:w="400"/>
        <w:gridCol w:w="3000"/>
        <w:gridCol w:w="500"/>
        <w:gridCol w:w="5100"/>
      </w:tblGrid>
      <w:tr w:rsidTr="00561B8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Elements and Performance Criteria</w:t>
            </w:r>
          </w:p>
        </w:tc>
      </w:tr>
      <w:tr w:rsidTr="00561B8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Performance Criteria</w:t>
            </w:r>
          </w:p>
        </w:tc>
      </w:tr>
      <w:tr w:rsidTr="00561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1</w:t>
            </w:r>
          </w:p>
        </w:tc>
        <w:tc>
          <w:tcPr>
            <w:tcW w:w="30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Identify scope of repair and/or fit required</w:t>
            </w: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1.1</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Operational specifications for components are obtained from appropriate source and are interpreted and understood.</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1.2</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Operation and condition of components are assessed against specifications.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1.3</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Faulty/worn components are identified.</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1.4</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Causes of faults are determined using appropriate engineering principles, techniques, procedures, tools and equipment.</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1.5</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Repair, replacement, adjustment or manufacture requirements are determined.</w:t>
            </w:r>
          </w:p>
        </w:tc>
      </w:tr>
      <w:tr w:rsidTr="00561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2</w:t>
            </w:r>
          </w:p>
        </w:tc>
        <w:tc>
          <w:tcPr>
            <w:tcW w:w="30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Repair/replace faulty components</w:t>
            </w: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2.1</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Where applicable, appropriate method of repair is determined. </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2.2</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Where applicable, faulty components are repaired or adjusted to conform to specifications.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2.3</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Where applicable, replacement parts are selected from </w:t>
            </w:r>
            <w:r w:rsidRPr="006C27C8">
              <w:rPr>
                <w:rStyle w:val="SpecialBold"/>
              </w:rPr>
              <w:t xml:space="preserve">manufacturers' catalogues </w:t>
            </w:r>
            <w:r w:rsidRPr="006C27C8">
              <w:t>and assessed against specifications.</w:t>
            </w:r>
          </w:p>
        </w:tc>
      </w:tr>
      <w:tr w:rsidTr="00561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3</w:t>
            </w:r>
          </w:p>
        </w:tc>
        <w:tc>
          <w:tcPr>
            <w:tcW w:w="30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Manufacture parts/components</w:t>
            </w: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3.1</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Parts</w:t>
            </w:r>
            <w:r w:rsidRPr="006C27C8">
              <w:t>/component specifications are determined from appropriate source.</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3.2</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Materials are selected to meet specification requirements.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3.3</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New components are produced in conformance to specifications using </w:t>
            </w:r>
            <w:r w:rsidRPr="006C27C8">
              <w:rPr>
                <w:rStyle w:val="SpecialBold"/>
              </w:rPr>
              <w:t>appropriate workshop practices.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3.4</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Completed components are inspected for compliance with dimensions.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3.5</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Where appropriate, component parts are marked for identification prior to assembly.</w:t>
            </w:r>
          </w:p>
        </w:tc>
      </w:tr>
      <w:tr w:rsidTr="00561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4</w:t>
            </w:r>
          </w:p>
        </w:tc>
        <w:tc>
          <w:tcPr>
            <w:tcW w:w="30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Fit engineering components into assemblies or subassemblies</w:t>
            </w: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4.1</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Fitting requirements and sequence of assembly are determined.</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4.2</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Appropriate </w:t>
            </w:r>
            <w:r w:rsidRPr="006C27C8">
              <w:rPr>
                <w:rStyle w:val="SpecialBold"/>
              </w:rPr>
              <w:t xml:space="preserve">fitting principles and techniques </w:t>
            </w:r>
            <w:r w:rsidRPr="006C27C8">
              <w:t>are applied in the preparation and assembly of component parts using fastening equipment and methods which ensures conformance to specificati</w:t>
            </w:r>
            <w:r w:rsidRPr="006C27C8">
              <w:t>ons, operational performance, quality and safety.</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4.3</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Using acceptable engineering practices, correct gland packing, jointing/gasket materials are selected and applied correctly in conformance to specifications and operational requirements.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4.4</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Correct lubrication requirements are determined by appropriate means and attended to where applicable.</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4.5</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Final adjustments are performed on component assembly to meet operational specifications using acceptable engineering principles, fitting techniqu</w:t>
            </w:r>
            <w:r w:rsidRPr="006C27C8">
              <w:t>es and procedures.</w:t>
            </w:r>
          </w:p>
        </w:tc>
      </w:tr>
      <w:tr w:rsidTr="00561B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5</w:t>
            </w:r>
          </w:p>
        </w:tc>
        <w:tc>
          <w:tcPr>
            <w:tcW w:w="30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Check operation of repaired components/unit</w:t>
            </w: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5.1</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Components/unit are checked under operational conditions for compliance to operational specifications using acceptable engineering principles to standard operating procedures.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5.2</w:t>
            </w:r>
          </w:p>
        </w:tc>
        <w:tc>
          <w:tcPr>
            <w:tcW w:w="51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Out of specification modification/alterations are approved by appropriate authority and are recorded and documented to standard operating procedures.</w:t>
            </w:r>
          </w:p>
        </w:tc>
      </w:tr>
      <w:tr w:rsidTr="00561B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5.3</w:t>
            </w:r>
          </w:p>
        </w:tc>
        <w:tc>
          <w:tcPr>
            <w:tcW w:w="5100" w:type="dxa"/>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t>Final component assembly is commissioned and returned to service according to standard operating pr</w:t>
            </w:r>
            <w:r w:rsidRPr="006C27C8">
              <w:t>ocedures.</w:t>
            </w:r>
          </w:p>
        </w:tc>
      </w:tr>
    </w:tbl>
    <w:p w:rsidR="00000000" w:rsidRPr="006C27C8" w:rsidP="006C27C8">
      <w:pPr>
        <w:pStyle w:val="BodyText"/>
      </w:pPr>
    </w:p>
    <w:p w:rsidR="00000000" w:rsidRPr="006C27C8" w:rsidP="006C27C8">
      <w:pPr>
        <w:pStyle w:val="AllowPageBreak"/>
      </w:pPr>
    </w:p>
    <w:p w:rsidR="00000000" w:rsidRPr="006C27C8" w:rsidP="006C27C8">
      <w:pPr>
        <w:pStyle w:val="Heading1"/>
      </w:pPr>
      <w:bookmarkStart w:id="9" w:name="O_311807"/>
      <w:bookmarkEnd w:id="9"/>
      <w:r w:rsidRPr="006C27C8">
        <w:t>Required Skills and Knowledge</w:t>
      </w:r>
    </w:p>
    <w:p w:rsidR="00000000" w:rsidRPr="006C27C8" w:rsidP="006C27C8">
      <w:pPr>
        <w:pStyle w:val="Heading1"/>
      </w:pPr>
      <w:bookmarkStart w:id="10" w:name="O_311798"/>
      <w:bookmarkEnd w:id="10"/>
      <w:r w:rsidRPr="006C27C8">
        <w:t>Evidence Guide</w:t>
      </w:r>
    </w:p>
    <w:tbl>
      <w:tblPr>
        <w:tblW w:w="0" w:type="auto"/>
        <w:tblLayout w:type="fixed"/>
        <w:tblCellMar>
          <w:left w:w="62" w:type="dxa"/>
          <w:right w:w="62" w:type="dxa"/>
        </w:tblCellMar>
        <w:tblLook w:val="0000"/>
      </w:tblPr>
      <w:tblGrid>
        <w:gridCol w:w="4500"/>
        <w:gridCol w:w="4500"/>
      </w:tblGrid>
      <w:tr w:rsidTr="00561B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The evidence guide specifies the evidence required to demonstrate achievement in the unit of competency as a whole. It must be read in conjunction with the unit descr</w:t>
            </w:r>
            <w:r w:rsidRPr="006C27C8">
              <w:t>iptor, performance criteria, range statement and the assessment guidelines for the Metal and Engineering Training Package</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A person who demonstrates competency in this unit must be able to repair and fit engineering components. Competency in this unit cannot be claimed until all prerequisites have been satisfied. </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This unit may be assessed on the job, of</w:t>
            </w:r>
            <w:r w:rsidRPr="006C27C8">
              <w:t xml:space="preserve">f the job or a combination of both on and off the job. Where assessment occurs off the job, that is the candidate is not in productive work, then an appropriate simulation must be used where the range of conditions reflects realistic workplace situations. </w:t>
            </w:r>
            <w:r w:rsidRPr="006C27C8">
              <w:t xml:space="preserve">The competencies covered by this unit would be demonstrated by an individual working alone or as part of a team. The assessment environment should not disadvantage the candidate.  </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This unit could be assessed in conjunction with </w:t>
            </w:r>
            <w:r w:rsidRPr="006C27C8">
              <w:t xml:space="preserve">any other units addressing the safety, quality, communication, materials handling, recording and reporting associated with repairing and fitting engineering components or other units requiring the exercise of the skills and knowledge covered by this unit. </w:t>
            </w:r>
            <w:r w:rsidRPr="006C27C8">
              <w:t xml:space="preserve"> </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Assessors should gather a range of evidence that is valid, sufficient, current and authentic. Evidence can be gathered through a variety of ways including direct observation, supervisor's reports, project work, samples and questioni</w:t>
            </w:r>
            <w:r w:rsidRPr="006C27C8">
              <w:t>ng. Questioning techniques should not require language, literacy and numeracy skills beyond those required in this unit of competency. The candidate must have access to all tools, equipment, materials and documentation required. The candidate must be permi</w:t>
            </w:r>
            <w:r w:rsidRPr="006C27C8">
              <w:t xml:space="preserve">tted to refer to any relevant workplace procedures, product and manufacturing specifications, codes, standards, manuals and reference materials. </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Assessors must be satisfied that the candidate can competently and consistently pe</w:t>
            </w:r>
            <w:r w:rsidRPr="006C27C8">
              <w:t xml:space="preserve">rform all elements of the unit as specified by the criteria, including required knowledge, and be capable of applying the competency in new and different situations and contexts. </w:t>
            </w:r>
          </w:p>
        </w:tc>
      </w:tr>
      <w:tr w:rsidTr="00561B8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Look for evidence that confirms skills in: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obtaining operational specifications for the component/s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assessing operation against specification and identifying faults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checking component/s visually and dimensionally against the operational specifications using work site procedures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checking r</w:t>
            </w:r>
            <w:r w:rsidRPr="006C27C8">
              <w:t xml:space="preserve">epaired components visually and dimensionally for conformance to specifications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adjusting components to achieve conformance to specifications where appropriate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selecting replacement parts which conform to specifications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preparing and assembling components using appropriate fitting techniques and principles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where appropriate, applying gland packing, jointing or gasket materials, using acceptable engineering practices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applying appropriate lubricants to the assembly us</w:t>
            </w:r>
            <w:r w:rsidRPr="006C27C8">
              <w:t xml:space="preserve">ing acceptable engineering practices, where required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checking components for conformance to specification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where appropriate, adjusting components to achieve conformance to specifications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where appropriate, recording any approved modifications/alte</w:t>
            </w:r>
            <w:r w:rsidRPr="006C27C8">
              <w:t xml:space="preserve">rations to work site procedures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inspecting the final assembly and checking conformance to operational specifications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where appropriate returning the final assembly to service in accordance with work site procedures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reading, interpreting and following information on written job instructions, specifications, standard operating procedures, charts, lists, drawings and other applicable reference documents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undertaking numerical operations, geometry and calculations/form</w:t>
            </w:r>
            <w:r w:rsidRPr="006C27C8">
              <w:t xml:space="preserve">ulae within the scope of this unit </w:t>
            </w:r>
          </w:p>
        </w:tc>
      </w:tr>
      <w:tr w:rsidTr="00561B8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Look for evidence that confirms knowledge of: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tools and equipment to be used to dismantle the components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consequences of having components that do not comply with operational specifications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types of adjustment applicable to the components being repaired/fitted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appropriate methods of repair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features and/or dimensions upon which replacement parts are to be selected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the process of identifying replacement parts from third party</w:t>
            </w:r>
            <w:r w:rsidRPr="006C27C8">
              <w:t xml:space="preserve"> suppliers' catalogues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material properties required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manufacturing operations to be used in the production of new components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sequence of operations to be used in the production of new components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fitting requirements for assembling components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appropriate sequence of assembly tasks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purpose of using gland packing, jointing or gasket materials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reasons for selecting particular jointing or packing materials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t>the applications</w:t>
            </w:r>
            <w:r w:rsidRPr="006C27C8">
              <w:t xml:space="preserve"> of different types of lubricants</w:t>
            </w:r>
          </w:p>
          <w:p w:rsidR="00000000" w:rsidP="006C27C8">
            <w:pPr>
              <w:pStyle w:val="BodyText"/>
              <w:rPr>
                <w:lang w:val="en-NZ"/>
              </w:rPr>
            </w:pPr>
            <w:r w:rsidRPr="006C27C8">
              <w:t xml:space="preserve">the consequences of using inappropriate or no lubricant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need to have approval for out of specification modifications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reasons for documenting out of specification modifications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return to service procedures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the consequences of not following work site return to service procedures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hazard and control measures associated with repairing and fitting engineering components, including housekeeping </w:t>
            </w:r>
          </w:p>
        </w:tc>
      </w:tr>
      <w:tr w:rsidTr="00561B8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t>safe work practices and procedu</w:t>
            </w:r>
            <w:r w:rsidRPr="006C27C8">
              <w:t xml:space="preserve">res </w:t>
            </w:r>
          </w:p>
        </w:tc>
      </w:tr>
    </w:tbl>
    <w:p w:rsidR="00000000" w:rsidRPr="006C27C8" w:rsidP="006C27C8">
      <w:pPr>
        <w:pStyle w:val="BodyText"/>
      </w:pPr>
    </w:p>
    <w:p w:rsidR="00000000" w:rsidRPr="006C27C8" w:rsidP="006C27C8">
      <w:pPr>
        <w:pStyle w:val="AllowPageBreak"/>
      </w:pPr>
    </w:p>
    <w:p w:rsidR="00000000" w:rsidRPr="006C27C8" w:rsidP="006C27C8">
      <w:pPr>
        <w:pStyle w:val="Heading1"/>
      </w:pPr>
      <w:bookmarkStart w:id="11" w:name="O_311797"/>
      <w:bookmarkEnd w:id="11"/>
      <w:r w:rsidRPr="006C27C8">
        <w:t>Range Statement</w:t>
      </w:r>
    </w:p>
    <w:tbl>
      <w:tblPr>
        <w:tblW w:w="0" w:type="auto"/>
        <w:tblLayout w:type="fixed"/>
        <w:tblCellMar>
          <w:left w:w="62" w:type="dxa"/>
          <w:right w:w="62" w:type="dxa"/>
        </w:tblCellMar>
        <w:tblLook w:val="0000"/>
      </w:tblPr>
      <w:tblGrid>
        <w:gridCol w:w="4500"/>
        <w:gridCol w:w="4500"/>
      </w:tblGrid>
      <w:tr w:rsidTr="00561B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t>The range statement provides information about the context in which the unit of competency is carried out. The variables and scope cater for different work requirements, work practices and knowledge between States, T</w:t>
            </w:r>
            <w:r w:rsidRPr="006C27C8">
              <w:t>erritories and the Commonwealth, and between organisations and workplaces. The range statement relates to the unit as a whole and provides a focus for assessment. Text in italics in the performance criteria is explained here.</w:t>
            </w:r>
          </w:p>
          <w:p w:rsidR="00000000" w:rsidP="006C27C8">
            <w:pPr>
              <w:pStyle w:val="BodyText"/>
              <w:rPr>
                <w:lang w:val="en-NZ"/>
              </w:rPr>
            </w:pPr>
            <w:r w:rsidRPr="006C27C8">
              <w:t>The following variables may be</w:t>
            </w:r>
            <w:r w:rsidRPr="006C27C8">
              <w:t xml:space="preserve"> present and may include, but are not limited to, the examples listed under the scope. All work is undertaken to relevant legislative requirements, where applicable</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Scope</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Manufacturers' catalogue</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Any appropriate manufacturers' catalogues that contain replacement parts that conform with specifications and operational requirements </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Appropriate workshop practices</w:t>
            </w:r>
          </w:p>
        </w:tc>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t xml:space="preserve">Include drilling, scraping, filing, reaming, tapping, threading etc. </w:t>
            </w:r>
          </w:p>
        </w:tc>
      </w:tr>
      <w:tr w:rsidTr="00561B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27C8">
            <w:pPr>
              <w:pStyle w:val="BodyText"/>
              <w:rPr>
                <w:lang w:val="en-NZ"/>
              </w:rPr>
            </w:pPr>
            <w:r w:rsidRPr="006C27C8">
              <w:rPr>
                <w:rStyle w:val="SpecialBold"/>
              </w:rPr>
              <w:t>Fitting principle</w:t>
            </w:r>
            <w:r w:rsidRPr="006C27C8">
              <w:rPr>
                <w:rStyle w:val="SpecialBold"/>
              </w:rPr>
              <w:t>s and techniques</w:t>
            </w:r>
          </w:p>
        </w:tc>
        <w:tc>
          <w:tcPr>
            <w:tcW w:w="4500" w:type="dxa"/>
            <w:tcBorders>
              <w:top w:val="nil"/>
              <w:left w:val="nil"/>
              <w:bottom w:val="nil"/>
              <w:right w:val="nil"/>
            </w:tcBorders>
            <w:tcMar>
              <w:top w:w="0" w:type="dxa"/>
              <w:left w:w="62" w:type="dxa"/>
              <w:bottom w:w="0" w:type="dxa"/>
              <w:right w:w="62" w:type="dxa"/>
            </w:tcMar>
          </w:tcPr>
          <w:p w:rsidR="00000000" w:rsidRPr="006C27C8" w:rsidP="006C27C8">
            <w:pPr>
              <w:pStyle w:val="BodyText"/>
            </w:pPr>
            <w:r w:rsidRPr="006C27C8">
              <w:t>Limits of tolerance</w:t>
            </w:r>
          </w:p>
          <w:p w:rsidR="00000000" w:rsidRPr="006C27C8" w:rsidP="006C27C8">
            <w:pPr>
              <w:pStyle w:val="BodyText"/>
            </w:pPr>
            <w:r w:rsidRPr="006C27C8">
              <w:t>Allowances and clearances</w:t>
            </w:r>
          </w:p>
          <w:p w:rsidR="00000000" w:rsidRPr="006C27C8" w:rsidP="006C27C8">
            <w:pPr>
              <w:pStyle w:val="BodyText"/>
            </w:pPr>
            <w:r w:rsidRPr="006C27C8">
              <w:t>Effects of wear, stress, temperature</w:t>
            </w:r>
          </w:p>
          <w:p w:rsidR="00000000" w:rsidRPr="006C27C8" w:rsidP="006C27C8">
            <w:pPr>
              <w:pStyle w:val="BodyText"/>
            </w:pPr>
            <w:r w:rsidRPr="006C27C8">
              <w:t>Types of fits - clearance transition interference</w:t>
            </w:r>
          </w:p>
          <w:p w:rsidR="00000000" w:rsidRPr="006C27C8" w:rsidP="006C27C8">
            <w:pPr>
              <w:pStyle w:val="BodyText"/>
            </w:pPr>
            <w:r w:rsidRPr="006C27C8">
              <w:t>Press fitting methods</w:t>
            </w:r>
          </w:p>
          <w:p w:rsidR="00000000" w:rsidRPr="006C27C8" w:rsidP="006C27C8">
            <w:pPr>
              <w:pStyle w:val="BodyText"/>
            </w:pPr>
            <w:r w:rsidRPr="006C27C8">
              <w:t>Force fits</w:t>
            </w:r>
          </w:p>
          <w:p w:rsidR="00000000" w:rsidRPr="006C27C8" w:rsidP="006C27C8">
            <w:pPr>
              <w:pStyle w:val="BodyText"/>
            </w:pPr>
            <w:r w:rsidRPr="006C27C8">
              <w:t>Shrink and freeze (expansion) fits</w:t>
            </w:r>
          </w:p>
          <w:p w:rsidR="00000000" w:rsidRPr="006C27C8" w:rsidP="006C27C8">
            <w:pPr>
              <w:pStyle w:val="BodyText"/>
            </w:pPr>
            <w:r w:rsidRPr="006C27C8">
              <w:t>Keyed fits</w:t>
            </w:r>
          </w:p>
          <w:p w:rsidR="00000000" w:rsidRPr="006C27C8" w:rsidP="006C27C8">
            <w:pPr>
              <w:pStyle w:val="BodyText"/>
            </w:pPr>
            <w:r w:rsidRPr="006C27C8">
              <w:t>Taper fits</w:t>
            </w:r>
          </w:p>
          <w:p w:rsidR="00000000" w:rsidRPr="006C27C8" w:rsidP="006C27C8">
            <w:pPr>
              <w:pStyle w:val="BodyText"/>
            </w:pPr>
            <w:r w:rsidRPr="006C27C8">
              <w:t>Lateral and radial forces</w:t>
            </w:r>
          </w:p>
          <w:p w:rsidR="00000000" w:rsidRPr="006C27C8" w:rsidP="006C27C8">
            <w:pPr>
              <w:pStyle w:val="BodyText"/>
            </w:pPr>
            <w:r w:rsidRPr="006C27C8">
              <w:t>Backlash</w:t>
            </w:r>
          </w:p>
          <w:p w:rsidR="00000000" w:rsidRPr="006C27C8" w:rsidP="006C27C8">
            <w:pPr>
              <w:pStyle w:val="BodyText"/>
            </w:pPr>
            <w:r w:rsidRPr="006C27C8">
              <w:t>Configuration and mating of parts</w:t>
            </w:r>
          </w:p>
          <w:p w:rsidR="00000000" w:rsidRPr="006C27C8" w:rsidP="006C27C8">
            <w:pPr>
              <w:pStyle w:val="BodyText"/>
            </w:pPr>
            <w:r w:rsidRPr="006C27C8">
              <w:t>Applied use of precision tools and measuring equipment</w:t>
            </w:r>
          </w:p>
          <w:p w:rsidR="00000000" w:rsidRPr="006C27C8" w:rsidP="006C27C8">
            <w:pPr>
              <w:pStyle w:val="BodyText"/>
            </w:pPr>
            <w:r w:rsidRPr="006C27C8">
              <w:t>Engineering components - shafts, single and multi throw crankshafts, cams and journals, bearings and bearing surfaces, keys</w:t>
            </w:r>
          </w:p>
          <w:p w:rsidR="00000000" w:rsidRPr="006C27C8" w:rsidP="006C27C8">
            <w:pPr>
              <w:pStyle w:val="BodyText"/>
            </w:pPr>
            <w:r w:rsidRPr="006C27C8">
              <w:t>Squarene</w:t>
            </w:r>
            <w:r w:rsidRPr="006C27C8">
              <w:t>ss, roundness, concentricity, flatness, straightness, surface finish, angular correctness</w:t>
            </w:r>
          </w:p>
          <w:p w:rsidR="00000000" w:rsidRPr="006C27C8" w:rsidP="006C27C8">
            <w:pPr>
              <w:pStyle w:val="BodyText"/>
            </w:pPr>
            <w:r w:rsidRPr="006C27C8">
              <w:t>Datum and centrelines</w:t>
            </w:r>
          </w:p>
          <w:p w:rsidR="00000000" w:rsidRPr="006C27C8" w:rsidP="006C27C8">
            <w:pPr>
              <w:pStyle w:val="BodyText"/>
            </w:pPr>
            <w:r w:rsidRPr="006C27C8">
              <w:t xml:space="preserve">Tapping, reaming, broaching </w:t>
            </w:r>
          </w:p>
        </w:tc>
      </w:tr>
    </w:tbl>
    <w:p w:rsidR="00000000" w:rsidRPr="006C27C8" w:rsidP="006C27C8">
      <w:pPr>
        <w:pStyle w:val="BodyText"/>
      </w:pPr>
    </w:p>
    <w:p w:rsidR="00000000" w:rsidRPr="006C27C8" w:rsidP="006C27C8">
      <w:pPr>
        <w:pStyle w:val="AllowPageBreak"/>
      </w:pPr>
    </w:p>
    <w:p w:rsidR="00000000" w:rsidRPr="006C27C8" w:rsidP="006C27C8">
      <w:pPr>
        <w:pStyle w:val="Heading1"/>
      </w:pPr>
      <w:bookmarkStart w:id="12" w:name="O_311796"/>
      <w:bookmarkEnd w:id="12"/>
      <w:r w:rsidRPr="006C27C8">
        <w:t>Unit Sector(s)</w:t>
      </w:r>
    </w:p>
    <w:p w:rsidR="00000000" w:rsidRPr="006C27C8" w:rsidP="006C27C8">
      <w:pPr>
        <w:pStyle w:val="Heading1"/>
      </w:pPr>
      <w:bookmarkStart w:id="13" w:name="O_311793"/>
      <w:bookmarkEnd w:id="13"/>
      <w:r w:rsidRPr="006C27C8">
        <w:t>Related units</w:t>
      </w:r>
    </w:p>
    <w:p w:rsidR="00000000" w:rsidRPr="006C27C8" w:rsidP="006C27C8">
      <w:pPr>
        <w:pStyle w:val="BodyText"/>
      </w:pPr>
      <w:r w:rsidRPr="006C27C8">
        <w:t>This unit does not address machining competencies a</w:t>
      </w:r>
      <w:r w:rsidRPr="006C27C8">
        <w:t>nd welding; if these are required, the appropriate units should also be accessed. Where additional or higher marking out skills are required, refer Unit MEM12006B (Mark off/out (general engineering). The knowledge and skills associated with the installatio</w:t>
      </w:r>
      <w:r w:rsidRPr="006C27C8">
        <w:t>n, removal, repair or replacement of mechanical seals is covered by Unit MEM18012B (Perform installation and removal of mechanical seals). For high pressure fluid power seals, see Unit MEM18020B (Maintain hydraulic system components).</w:t>
      </w:r>
    </w:p>
    <w:p w:rsidR="00000000" w:rsidRPr="006C27C8" w:rsidP="006C27C8">
      <w:pPr>
        <w:pStyle w:val="AllowPageBreak"/>
      </w:pPr>
    </w:p>
    <w:p w:rsidR="00000000" w:rsidRPr="006C27C8" w:rsidP="006C27C8">
      <w:pPr>
        <w:pStyle w:val="Heading1"/>
      </w:pPr>
      <w:bookmarkStart w:id="14" w:name="O_311794"/>
      <w:bookmarkEnd w:id="14"/>
      <w:r w:rsidRPr="006C27C8">
        <w:t>Comp</w:t>
      </w:r>
      <w:r w:rsidRPr="006C27C8">
        <w:t>etency field</w:t>
      </w:r>
    </w:p>
    <w:p w:rsidR="00000000" w:rsidRPr="006C27C8" w:rsidP="006C27C8">
      <w:pPr>
        <w:pStyle w:val="BodyText"/>
      </w:pPr>
      <w:r w:rsidRPr="006C27C8">
        <w:t>Maintenance&amp;diagnostics</w:t>
      </w:r>
    </w:p>
    <w:p w:rsidR="00000000" w:rsidRPr="006C27C8" w:rsidP="006C27C8">
      <w:pPr>
        <w:pStyle w:val="AllowPageBreak"/>
      </w:pPr>
    </w:p>
    <w:p w:rsidR="00000000" w:rsidRPr="006C27C8" w:rsidP="006C27C8">
      <w:pPr>
        <w:pStyle w:val="Heading1"/>
      </w:pPr>
      <w:bookmarkStart w:id="15" w:name="O_311795"/>
      <w:bookmarkEnd w:id="15"/>
      <w:r w:rsidRPr="006C27C8">
        <w:t>Band</w:t>
      </w:r>
    </w:p>
    <w:p w:rsidR="00000000" w:rsidRPr="006C27C8" w:rsidP="006C27C8">
      <w:pPr>
        <w:pStyle w:val="BodyText"/>
      </w:pPr>
      <w:r w:rsidRPr="006C27C8">
        <w:t>A</w:t>
      </w:r>
    </w:p>
    <w:p w:rsidR="00000000" w:rsidRPr="006C27C8" w:rsidP="006C27C8">
      <w:pPr>
        <w:pStyle w:val="AllowPageBreak"/>
      </w:pPr>
    </w:p>
    <w:p w:rsidR="00000000" w:rsidRPr="006C27C8" w:rsidP="006C27C8">
      <w:pPr>
        <w:pStyle w:val="Heading1"/>
      </w:pPr>
      <w:bookmarkStart w:id="16" w:name="O_311801"/>
      <w:bookmarkEnd w:id="16"/>
      <w:r w:rsidRPr="006C27C8">
        <w:t>Unit Weight</w:t>
      </w:r>
    </w:p>
    <w:p w:rsidR="00000000" w:rsidRPr="006C27C8" w:rsidP="006C27C8">
      <w:pPr>
        <w:pStyle w:val="BodyText"/>
      </w:pPr>
      <w:r w:rsidRPr="006C27C8">
        <w:t>6</w:t>
      </w:r>
    </w:p>
    <w:p w:rsidR="00000000" w:rsidRPr="006C27C8" w:rsidP="006C27C8"/>
    <w:sectPr w:rsidSect="006C2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B86" w:rsidP="00561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86" w:rsidP="006C2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1B86" w:rsidP="006C27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1B86" w:rsidP="006C27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B86" w:rsidP="00561B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86" w:rsidP="006C27C8">
    <w:pPr>
      <w:pStyle w:val="Header"/>
      <w:framePr w:wrap="around"/>
    </w:pPr>
    <w:r>
      <w:fldChar w:fldCharType="begin"/>
    </w:r>
    <w:r>
      <w:instrText xml:space="preserve"> TITLE   \* MERGEFORMAT </w:instrText>
    </w:r>
    <w:r>
      <w:fldChar w:fldCharType="separate"/>
    </w:r>
    <w:r>
      <w:t>MEM18006B Repair and fit engineering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1B86" w:rsidP="006C27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7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7C8"/>
    <w:pPr>
      <w:spacing w:before="360" w:after="60"/>
      <w:outlineLvl w:val="0"/>
    </w:pPr>
    <w:rPr>
      <w:sz w:val="32"/>
    </w:rPr>
  </w:style>
  <w:style w:type="paragraph" w:styleId="Heading2">
    <w:name w:val="heading 2"/>
    <w:basedOn w:val="HeadingBase"/>
    <w:next w:val="BodyText"/>
    <w:link w:val="Heading2Char"/>
    <w:qFormat/>
    <w:rsid w:val="006C27C8"/>
    <w:pPr>
      <w:keepLines/>
      <w:spacing w:before="240" w:after="120"/>
      <w:outlineLvl w:val="1"/>
    </w:pPr>
    <w:rPr>
      <w:sz w:val="28"/>
      <w:szCs w:val="40"/>
    </w:rPr>
  </w:style>
  <w:style w:type="paragraph" w:styleId="Heading3">
    <w:name w:val="heading 3"/>
    <w:basedOn w:val="HeadingBase"/>
    <w:next w:val="BodyText"/>
    <w:link w:val="Heading3Char"/>
    <w:qFormat/>
    <w:rsid w:val="006C27C8"/>
    <w:pPr>
      <w:spacing w:before="180" w:after="120"/>
      <w:outlineLvl w:val="2"/>
    </w:pPr>
    <w:rPr>
      <w:spacing w:val="-10"/>
      <w:kern w:val="32"/>
    </w:rPr>
  </w:style>
  <w:style w:type="paragraph" w:styleId="Heading4">
    <w:name w:val="heading 4"/>
    <w:basedOn w:val="HeadingBase"/>
    <w:next w:val="BodyText"/>
    <w:link w:val="Heading4Char"/>
    <w:qFormat/>
    <w:rsid w:val="006C27C8"/>
    <w:pPr>
      <w:spacing w:before="160" w:after="120"/>
      <w:outlineLvl w:val="3"/>
    </w:pPr>
    <w:rPr>
      <w:sz w:val="22"/>
    </w:rPr>
  </w:style>
  <w:style w:type="paragraph" w:styleId="Heading5">
    <w:name w:val="heading 5"/>
    <w:basedOn w:val="HeadingBase"/>
    <w:next w:val="Normal"/>
    <w:link w:val="Heading5Char"/>
    <w:qFormat/>
    <w:rsid w:val="006C27C8"/>
    <w:pPr>
      <w:spacing w:before="80"/>
      <w:outlineLvl w:val="4"/>
    </w:pPr>
    <w:rPr>
      <w:color w:val="918585"/>
      <w:sz w:val="20"/>
    </w:rPr>
  </w:style>
  <w:style w:type="paragraph" w:styleId="Heading6">
    <w:name w:val="heading 6"/>
    <w:basedOn w:val="HeadingBase"/>
    <w:next w:val="Normal"/>
    <w:link w:val="Heading6Char"/>
    <w:qFormat/>
    <w:rsid w:val="006C27C8"/>
    <w:pPr>
      <w:spacing w:before="60"/>
      <w:outlineLvl w:val="5"/>
    </w:pPr>
    <w:rPr>
      <w:color w:val="918585"/>
      <w:sz w:val="20"/>
    </w:rPr>
  </w:style>
  <w:style w:type="paragraph" w:styleId="Heading7">
    <w:name w:val="heading 7"/>
    <w:basedOn w:val="Normal"/>
    <w:next w:val="Normal"/>
    <w:link w:val="Heading7Char"/>
    <w:qFormat/>
    <w:rsid w:val="006C27C8"/>
    <w:pPr>
      <w:ind w:left="720"/>
      <w:outlineLvl w:val="6"/>
    </w:pPr>
    <w:rPr>
      <w:i/>
    </w:rPr>
  </w:style>
  <w:style w:type="paragraph" w:styleId="Heading8">
    <w:name w:val="heading 8"/>
    <w:basedOn w:val="Normal"/>
    <w:next w:val="Normal"/>
    <w:link w:val="Heading8Char"/>
    <w:qFormat/>
    <w:rsid w:val="006C27C8"/>
    <w:pPr>
      <w:ind w:left="720"/>
      <w:outlineLvl w:val="7"/>
    </w:pPr>
    <w:rPr>
      <w:i/>
    </w:rPr>
  </w:style>
  <w:style w:type="paragraph" w:styleId="Heading9">
    <w:name w:val="heading 9"/>
    <w:basedOn w:val="Normal"/>
    <w:next w:val="Normal"/>
    <w:link w:val="Heading9Char"/>
    <w:qFormat/>
    <w:rsid w:val="006C27C8"/>
    <w:pPr>
      <w:ind w:left="720"/>
      <w:outlineLvl w:val="8"/>
    </w:pPr>
    <w:rPr>
      <w:i/>
    </w:rPr>
  </w:style>
  <w:style w:type="character" w:default="1" w:styleId="DefaultParagraphFont">
    <w:name w:val="Default Paragraph Font"/>
    <w:uiPriority w:val="1"/>
    <w:unhideWhenUsed/>
    <w:rsid w:val="006C2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7C8"/>
  </w:style>
  <w:style w:type="character" w:customStyle="1" w:styleId="Heading1Char">
    <w:name w:val="Heading 1 Char"/>
    <w:basedOn w:val="DefaultParagraphFont"/>
    <w:link w:val="Heading1"/>
    <w:rsid w:val="006C27C8"/>
    <w:rPr>
      <w:rFonts w:ascii="Times New Roman" w:eastAsia="Times New Roman" w:hAnsi="Times New Roman" w:cs="Times New Roman"/>
      <w:b/>
      <w:sz w:val="32"/>
      <w:szCs w:val="20"/>
      <w:lang w:eastAsia="en-US"/>
    </w:rPr>
  </w:style>
  <w:style w:type="paragraph" w:styleId="BodyText">
    <w:name w:val="Body Text"/>
    <w:basedOn w:val="Normal"/>
    <w:link w:val="BodyTextChar"/>
    <w:rsid w:val="006C2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7C8"/>
    <w:rPr>
      <w:rFonts w:ascii="Times New Roman" w:eastAsia="Times New Roman" w:hAnsi="Times New Roman" w:cs="Times New Roman"/>
      <w:sz w:val="24"/>
      <w:lang w:val="en-US" w:eastAsia="en-US"/>
    </w:rPr>
  </w:style>
  <w:style w:type="paragraph" w:styleId="Footer">
    <w:name w:val="footer"/>
    <w:basedOn w:val="Normal"/>
    <w:link w:val="FooterChar"/>
    <w:rsid w:val="006C2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7C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C27C8"/>
    <w:rPr>
      <w:b/>
      <w:spacing w:val="0"/>
    </w:rPr>
  </w:style>
  <w:style w:type="paragraph" w:styleId="Header">
    <w:name w:val="header"/>
    <w:basedOn w:val="Normal"/>
    <w:link w:val="HeaderChar"/>
    <w:rsid w:val="006C2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7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7C8"/>
    <w:pPr>
      <w:spacing w:before="240" w:after="120"/>
      <w:outlineLvl w:val="0"/>
    </w:pPr>
    <w:rPr>
      <w:rFonts w:ascii="Times New Roman" w:hAnsi="Times New Roman"/>
      <w:b/>
      <w:sz w:val="28"/>
    </w:rPr>
  </w:style>
  <w:style w:type="paragraph" w:customStyle="1" w:styleId="AllowPageBreak">
    <w:name w:val="AllowPageBreak"/>
    <w:rsid w:val="006C2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7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7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7C8"/>
    <w:rPr>
      <w:rFonts w:ascii="Courier New" w:eastAsia="Times New Roman" w:hAnsi="Courier New" w:cs="Times New Roman"/>
      <w:i/>
      <w:szCs w:val="20"/>
      <w:lang w:val="en-US" w:eastAsia="en-US"/>
    </w:rPr>
  </w:style>
  <w:style w:type="paragraph" w:customStyle="1" w:styleId="HeadingBase">
    <w:name w:val="Heading Base"/>
    <w:rsid w:val="006C2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7C8"/>
    <w:pPr>
      <w:tabs>
        <w:tab w:val="right" w:leader="dot" w:pos="9072"/>
      </w:tabs>
      <w:ind w:left="567"/>
    </w:pPr>
    <w:rPr>
      <w:szCs w:val="22"/>
    </w:rPr>
  </w:style>
  <w:style w:type="paragraph" w:customStyle="1" w:styleId="TOCBase">
    <w:name w:val="TOC Base"/>
    <w:rsid w:val="006C2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7C8"/>
    <w:pPr>
      <w:tabs>
        <w:tab w:val="right" w:leader="dot" w:pos="9072"/>
      </w:tabs>
      <w:spacing w:before="40" w:after="40"/>
      <w:ind w:left="284"/>
    </w:pPr>
    <w:rPr>
      <w:rFonts w:ascii="Times New Roman" w:hAnsi="Times New Roman"/>
    </w:rPr>
  </w:style>
  <w:style w:type="paragraph" w:styleId="TOC1">
    <w:name w:val="toc 1"/>
    <w:basedOn w:val="TOCBase"/>
    <w:next w:val="Normal"/>
    <w:rsid w:val="006C27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7C8"/>
    <w:pPr>
      <w:spacing w:before="5040"/>
      <w:jc w:val="center"/>
    </w:pPr>
    <w:rPr>
      <w:sz w:val="48"/>
      <w:szCs w:val="72"/>
      <w:lang w:val="en-US"/>
    </w:rPr>
  </w:style>
  <w:style w:type="character" w:customStyle="1" w:styleId="TitleChar">
    <w:name w:val="Title Char"/>
    <w:basedOn w:val="DefaultParagraphFont"/>
    <w:link w:val="Title"/>
    <w:rsid w:val="006C2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7C8"/>
    <w:pPr>
      <w:tabs>
        <w:tab w:val="left" w:pos="3600"/>
        <w:tab w:val="left" w:pos="3958"/>
      </w:tabs>
    </w:pPr>
  </w:style>
  <w:style w:type="paragraph" w:styleId="List">
    <w:name w:val="List"/>
    <w:basedOn w:val="BodyText"/>
    <w:next w:val="BodyText"/>
    <w:rsid w:val="006C27C8"/>
    <w:pPr>
      <w:tabs>
        <w:tab w:val="left" w:pos="340"/>
      </w:tabs>
      <w:spacing w:before="60" w:after="60"/>
      <w:ind w:left="340" w:hanging="340"/>
    </w:pPr>
  </w:style>
  <w:style w:type="paragraph" w:styleId="ListBullet">
    <w:name w:val="List Bullet"/>
    <w:basedOn w:val="List"/>
    <w:rsid w:val="006C27C8"/>
    <w:pPr>
      <w:numPr>
        <w:numId w:val="11"/>
      </w:numPr>
      <w:tabs>
        <w:tab w:val="clear" w:pos="340"/>
      </w:tabs>
      <w:spacing w:before="40" w:after="40"/>
    </w:pPr>
  </w:style>
  <w:style w:type="paragraph" w:customStyle="1" w:styleId="Note">
    <w:name w:val="Note"/>
    <w:basedOn w:val="BodyText"/>
    <w:rsid w:val="006C2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7C8"/>
    <w:pPr>
      <w:framePr w:wrap="auto" w:hAnchor="text" w:y="6049"/>
    </w:pPr>
    <w:rPr>
      <w:color w:val="000000"/>
      <w:sz w:val="40"/>
    </w:rPr>
  </w:style>
  <w:style w:type="paragraph" w:customStyle="1" w:styleId="TOCTitle">
    <w:name w:val="TOCTitle"/>
    <w:basedOn w:val="Heading1"/>
    <w:rsid w:val="006C27C8"/>
    <w:pPr>
      <w:spacing w:after="240"/>
      <w:jc w:val="center"/>
      <w:outlineLvl w:val="9"/>
    </w:pPr>
    <w:rPr>
      <w:caps/>
    </w:rPr>
  </w:style>
  <w:style w:type="paragraph" w:customStyle="1" w:styleId="Version">
    <w:name w:val="Version"/>
    <w:rsid w:val="006C27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7C8"/>
    <w:pPr>
      <w:numPr>
        <w:numId w:val="12"/>
      </w:numPr>
      <w:tabs>
        <w:tab w:val="clear" w:pos="680"/>
      </w:tabs>
    </w:pPr>
  </w:style>
  <w:style w:type="paragraph" w:styleId="Index1">
    <w:name w:val="index 1"/>
    <w:basedOn w:val="Normal"/>
    <w:next w:val="Normal"/>
    <w:semiHidden/>
    <w:rsid w:val="006C27C8"/>
    <w:pPr>
      <w:keepNext w:val="0"/>
      <w:tabs>
        <w:tab w:val="right" w:pos="4176"/>
      </w:tabs>
      <w:ind w:left="198" w:hanging="198"/>
    </w:pPr>
    <w:rPr>
      <w:rFonts w:ascii="Garamond" w:hAnsi="Garamond"/>
    </w:rPr>
  </w:style>
  <w:style w:type="paragraph" w:styleId="IndexHeading">
    <w:name w:val="index heading"/>
    <w:basedOn w:val="Normal"/>
    <w:next w:val="Index1"/>
    <w:semiHidden/>
    <w:rsid w:val="006C27C8"/>
    <w:pPr>
      <w:spacing w:before="120" w:after="120"/>
    </w:pPr>
    <w:rPr>
      <w:rFonts w:ascii="Arial" w:hAnsi="Arial"/>
      <w:b/>
      <w:color w:val="918585"/>
      <w:sz w:val="24"/>
    </w:rPr>
  </w:style>
  <w:style w:type="paragraph" w:customStyle="1" w:styleId="Chapter">
    <w:name w:val="Chapter"/>
    <w:basedOn w:val="Normal"/>
    <w:rsid w:val="006C27C8"/>
    <w:pPr>
      <w:spacing w:before="240"/>
    </w:pPr>
    <w:rPr>
      <w:rFonts w:ascii="Times New Roman" w:hAnsi="Times New Roman"/>
      <w:smallCaps/>
      <w:spacing w:val="80"/>
      <w:sz w:val="28"/>
    </w:rPr>
  </w:style>
  <w:style w:type="paragraph" w:customStyle="1" w:styleId="InChapter">
    <w:name w:val="InChapter"/>
    <w:basedOn w:val="Heading3"/>
    <w:rsid w:val="006C27C8"/>
    <w:pPr>
      <w:spacing w:after="240"/>
      <w:outlineLvl w:val="9"/>
    </w:pPr>
    <w:rPr>
      <w:noProof/>
    </w:rPr>
  </w:style>
  <w:style w:type="paragraph" w:styleId="Index2">
    <w:name w:val="index 2"/>
    <w:basedOn w:val="Normal"/>
    <w:next w:val="Normal"/>
    <w:semiHidden/>
    <w:rsid w:val="006C27C8"/>
    <w:pPr>
      <w:tabs>
        <w:tab w:val="right" w:pos="4176"/>
      </w:tabs>
      <w:ind w:left="568" w:hanging="284"/>
    </w:pPr>
    <w:rPr>
      <w:rFonts w:ascii="Garamond" w:hAnsi="Garamond"/>
    </w:rPr>
  </w:style>
  <w:style w:type="paragraph" w:customStyle="1" w:styleId="Byline">
    <w:name w:val="Byline"/>
    <w:rsid w:val="006C2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7C8"/>
    <w:pPr>
      <w:tabs>
        <w:tab w:val="clear" w:pos="3600"/>
        <w:tab w:val="clear" w:pos="3958"/>
      </w:tabs>
      <w:jc w:val="right"/>
    </w:pPr>
  </w:style>
  <w:style w:type="character" w:styleId="Emphasis">
    <w:name w:val="Emphasis"/>
    <w:basedOn w:val="DefaultParagraphFont"/>
    <w:qFormat/>
    <w:rsid w:val="006C27C8"/>
    <w:rPr>
      <w:i/>
    </w:rPr>
  </w:style>
  <w:style w:type="paragraph" w:styleId="Caption">
    <w:name w:val="caption"/>
    <w:basedOn w:val="BodyText"/>
    <w:next w:val="Normal"/>
    <w:qFormat/>
    <w:rsid w:val="006C27C8"/>
    <w:pPr>
      <w:framePr w:w="2268" w:hSpace="181" w:vSpace="181" w:wrap="around" w:vAnchor="text" w:hAnchor="page" w:x="1135" w:y="285" w:anchorLock="1"/>
    </w:pPr>
    <w:rPr>
      <w:i/>
    </w:rPr>
  </w:style>
  <w:style w:type="paragraph" w:customStyle="1" w:styleId="MiniTOCTitle">
    <w:name w:val="MiniTOCTitle"/>
    <w:basedOn w:val="Heading4"/>
    <w:rsid w:val="006C27C8"/>
    <w:pPr>
      <w:spacing w:before="240"/>
      <w:outlineLvl w:val="9"/>
    </w:pPr>
    <w:rPr>
      <w:noProof/>
      <w:sz w:val="24"/>
    </w:rPr>
  </w:style>
  <w:style w:type="paragraph" w:customStyle="1" w:styleId="MiniTOCItem">
    <w:name w:val="MiniTOCItem"/>
    <w:basedOn w:val="ListBullet"/>
    <w:rsid w:val="006C27C8"/>
    <w:pPr>
      <w:numPr>
        <w:numId w:val="0"/>
      </w:numPr>
      <w:tabs>
        <w:tab w:val="right" w:leader="dot" w:pos="6521"/>
      </w:tabs>
      <w:spacing w:before="0" w:after="0"/>
    </w:pPr>
  </w:style>
  <w:style w:type="paragraph" w:customStyle="1" w:styleId="TOFTitle">
    <w:name w:val="TOFTitle"/>
    <w:basedOn w:val="TOCTitle"/>
    <w:rsid w:val="006C27C8"/>
  </w:style>
  <w:style w:type="paragraph" w:styleId="TableofFigures">
    <w:name w:val="table of figures"/>
    <w:basedOn w:val="Normal"/>
    <w:next w:val="Normal"/>
    <w:semiHidden/>
    <w:rsid w:val="006C27C8"/>
    <w:pPr>
      <w:tabs>
        <w:tab w:val="right" w:leader="dot" w:pos="9072"/>
      </w:tabs>
      <w:ind w:left="970" w:hanging="403"/>
    </w:pPr>
    <w:rPr>
      <w:rFonts w:ascii="Times New Roman" w:hAnsi="Times New Roman"/>
      <w:b/>
    </w:rPr>
  </w:style>
  <w:style w:type="paragraph" w:styleId="ListNumber">
    <w:name w:val="List Number"/>
    <w:basedOn w:val="List"/>
    <w:rsid w:val="006C27C8"/>
    <w:pPr>
      <w:numPr>
        <w:numId w:val="9"/>
      </w:numPr>
    </w:pPr>
  </w:style>
  <w:style w:type="character" w:customStyle="1" w:styleId="WingdingSymbols">
    <w:name w:val="Wingding Symbols"/>
    <w:rsid w:val="006C27C8"/>
    <w:rPr>
      <w:rFonts w:ascii="Wingdings" w:hAnsi="Wingdings"/>
    </w:rPr>
  </w:style>
  <w:style w:type="paragraph" w:customStyle="1" w:styleId="TableHeading">
    <w:name w:val="Table Heading"/>
    <w:basedOn w:val="HeadingBase"/>
    <w:rsid w:val="006C27C8"/>
    <w:pPr>
      <w:keepLines/>
      <w:pBdr>
        <w:bottom w:val="single" w:sz="6" w:space="1" w:color="918585"/>
      </w:pBdr>
      <w:spacing w:before="240"/>
    </w:pPr>
  </w:style>
  <w:style w:type="character" w:customStyle="1" w:styleId="HotSpot">
    <w:name w:val="HotSpot"/>
    <w:rsid w:val="006C27C8"/>
    <w:rPr>
      <w:color w:val="0033CC"/>
      <w:u w:val="none"/>
    </w:rPr>
  </w:style>
  <w:style w:type="paragraph" w:customStyle="1" w:styleId="BodyTextRight">
    <w:name w:val="Body Text Right"/>
    <w:basedOn w:val="BodyText"/>
    <w:rsid w:val="006C27C8"/>
    <w:pPr>
      <w:spacing w:before="0" w:after="0"/>
      <w:jc w:val="right"/>
    </w:pPr>
  </w:style>
  <w:style w:type="paragraph" w:styleId="Index3">
    <w:name w:val="index 3"/>
    <w:basedOn w:val="ListNumber2"/>
    <w:next w:val="Normal"/>
    <w:semiHidden/>
    <w:rsid w:val="006C27C8"/>
    <w:pPr>
      <w:numPr>
        <w:numId w:val="0"/>
      </w:numPr>
      <w:tabs>
        <w:tab w:val="right" w:leader="dot" w:pos="4176"/>
      </w:tabs>
    </w:pPr>
  </w:style>
  <w:style w:type="paragraph" w:styleId="ListNumber2">
    <w:name w:val="List Number 2"/>
    <w:basedOn w:val="List2"/>
    <w:rsid w:val="006C27C8"/>
    <w:pPr>
      <w:numPr>
        <w:numId w:val="8"/>
      </w:numPr>
      <w:tabs>
        <w:tab w:val="clear" w:pos="1060"/>
      </w:tabs>
    </w:pPr>
  </w:style>
  <w:style w:type="paragraph" w:customStyle="1" w:styleId="MarginNote">
    <w:name w:val="Margin Note"/>
    <w:basedOn w:val="BodyText"/>
    <w:rsid w:val="006C2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7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7C8"/>
    <w:rPr>
      <w:sz w:val="32"/>
    </w:rPr>
  </w:style>
  <w:style w:type="paragraph" w:customStyle="1" w:styleId="HeadingProcedure">
    <w:name w:val="Heading Procedure"/>
    <w:basedOn w:val="HeadingBase"/>
    <w:next w:val="Normal"/>
    <w:rsid w:val="006C27C8"/>
    <w:pPr>
      <w:tabs>
        <w:tab w:val="left" w:pos="0"/>
      </w:tabs>
      <w:spacing w:before="120" w:after="60"/>
    </w:pPr>
    <w:rPr>
      <w:i/>
      <w:color w:val="918585"/>
      <w:sz w:val="22"/>
    </w:rPr>
  </w:style>
  <w:style w:type="paragraph" w:customStyle="1" w:styleId="TableBodyText">
    <w:name w:val="Table Body Text"/>
    <w:basedOn w:val="BodyText"/>
    <w:rsid w:val="006C27C8"/>
    <w:pPr>
      <w:spacing w:before="60" w:after="60"/>
    </w:pPr>
  </w:style>
  <w:style w:type="paragraph" w:styleId="ListContinue">
    <w:name w:val="List Continue"/>
    <w:basedOn w:val="List"/>
    <w:rsid w:val="006C27C8"/>
    <w:pPr>
      <w:ind w:firstLine="0"/>
    </w:pPr>
  </w:style>
  <w:style w:type="paragraph" w:customStyle="1" w:styleId="ListNote">
    <w:name w:val="List Note"/>
    <w:basedOn w:val="List"/>
    <w:rsid w:val="006C27C8"/>
    <w:pPr>
      <w:pBdr>
        <w:top w:val="single" w:sz="6" w:space="2" w:color="918585"/>
        <w:bottom w:val="single" w:sz="6" w:space="2" w:color="918585"/>
      </w:pBdr>
      <w:tabs>
        <w:tab w:val="left" w:pos="1021"/>
      </w:tabs>
      <w:ind w:firstLine="0"/>
    </w:pPr>
  </w:style>
  <w:style w:type="paragraph" w:customStyle="1" w:styleId="Warning">
    <w:name w:val="Warning"/>
    <w:basedOn w:val="BodyText"/>
    <w:rsid w:val="006C27C8"/>
    <w:pPr>
      <w:shd w:val="clear" w:color="auto" w:fill="D9D9D9"/>
      <w:tabs>
        <w:tab w:val="left" w:pos="992"/>
      </w:tabs>
      <w:ind w:left="119" w:right="119"/>
    </w:pPr>
    <w:rPr>
      <w:sz w:val="20"/>
    </w:rPr>
  </w:style>
  <w:style w:type="paragraph" w:customStyle="1" w:styleId="MarginIcons">
    <w:name w:val="Margin Icons"/>
    <w:basedOn w:val="BodyText"/>
    <w:rsid w:val="006C2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7C8"/>
    <w:rPr>
      <w:rFonts w:ascii="Courier New" w:hAnsi="Courier New"/>
    </w:rPr>
  </w:style>
  <w:style w:type="paragraph" w:customStyle="1" w:styleId="NoteBullet">
    <w:name w:val="Note Bullet"/>
    <w:basedOn w:val="Note"/>
    <w:rsid w:val="006C27C8"/>
    <w:pPr>
      <w:tabs>
        <w:tab w:val="clear" w:pos="680"/>
      </w:tabs>
      <w:spacing w:before="60" w:after="60"/>
    </w:pPr>
  </w:style>
  <w:style w:type="paragraph" w:customStyle="1" w:styleId="SubHeading2">
    <w:name w:val="SubHeading2"/>
    <w:basedOn w:val="HeadingBase"/>
    <w:rsid w:val="006C27C8"/>
    <w:pPr>
      <w:spacing w:before="240" w:after="60"/>
    </w:pPr>
    <w:rPr>
      <w:sz w:val="20"/>
    </w:rPr>
  </w:style>
  <w:style w:type="paragraph" w:customStyle="1" w:styleId="SubHeading1">
    <w:name w:val="SubHeading1"/>
    <w:basedOn w:val="HeadingBase"/>
    <w:rsid w:val="006C27C8"/>
    <w:pPr>
      <w:spacing w:before="240" w:after="60"/>
    </w:pPr>
    <w:rPr>
      <w:color w:val="918585"/>
      <w:sz w:val="22"/>
    </w:rPr>
  </w:style>
  <w:style w:type="paragraph" w:customStyle="1" w:styleId="SideHeading">
    <w:name w:val="Side Heading"/>
    <w:basedOn w:val="HeadingBase"/>
    <w:rsid w:val="006C2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7C8"/>
    <w:pPr>
      <w:numPr>
        <w:numId w:val="10"/>
      </w:numPr>
    </w:pPr>
  </w:style>
  <w:style w:type="paragraph" w:styleId="PlainText">
    <w:name w:val="Plain Text"/>
    <w:basedOn w:val="Normal"/>
    <w:link w:val="PlainTextChar"/>
    <w:rsid w:val="006C27C8"/>
    <w:rPr>
      <w:sz w:val="20"/>
    </w:rPr>
  </w:style>
  <w:style w:type="character" w:customStyle="1" w:styleId="PlainTextChar">
    <w:name w:val="Plain Text Char"/>
    <w:basedOn w:val="DefaultParagraphFont"/>
    <w:link w:val="PlainText"/>
    <w:rsid w:val="006C27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7C8"/>
    <w:rPr>
      <w:b/>
      <w:smallCaps/>
    </w:rPr>
  </w:style>
  <w:style w:type="paragraph" w:customStyle="1" w:styleId="TableListNumber">
    <w:name w:val="Table List Number"/>
    <w:basedOn w:val="ListNumber"/>
    <w:rsid w:val="006C27C8"/>
    <w:pPr>
      <w:numPr>
        <w:numId w:val="0"/>
      </w:numPr>
    </w:pPr>
  </w:style>
  <w:style w:type="paragraph" w:styleId="TOC4">
    <w:name w:val="toc 4"/>
    <w:basedOn w:val="TOCBase"/>
    <w:next w:val="Normal"/>
    <w:semiHidden/>
    <w:rsid w:val="006C27C8"/>
    <w:pPr>
      <w:tabs>
        <w:tab w:val="right" w:leader="dot" w:pos="9071"/>
      </w:tabs>
      <w:ind w:left="1701"/>
    </w:pPr>
  </w:style>
  <w:style w:type="paragraph" w:customStyle="1" w:styleId="ListAlpha">
    <w:name w:val="List Alpha"/>
    <w:basedOn w:val="List"/>
    <w:rsid w:val="006C27C8"/>
    <w:pPr>
      <w:numPr>
        <w:numId w:val="7"/>
      </w:numPr>
    </w:pPr>
  </w:style>
  <w:style w:type="paragraph" w:customStyle="1" w:styleId="ListAlpha2">
    <w:name w:val="List Alpha 2"/>
    <w:basedOn w:val="List2"/>
    <w:rsid w:val="006C27C8"/>
    <w:pPr>
      <w:numPr>
        <w:numId w:val="6"/>
      </w:numPr>
    </w:pPr>
  </w:style>
  <w:style w:type="paragraph" w:styleId="List2">
    <w:name w:val="List 2"/>
    <w:basedOn w:val="BodyText"/>
    <w:rsid w:val="006C27C8"/>
    <w:pPr>
      <w:tabs>
        <w:tab w:val="left" w:pos="680"/>
      </w:tabs>
      <w:spacing w:before="60" w:after="60"/>
      <w:ind w:left="680" w:hanging="340"/>
    </w:pPr>
  </w:style>
  <w:style w:type="paragraph" w:styleId="List3">
    <w:name w:val="List 3"/>
    <w:basedOn w:val="BodyText"/>
    <w:rsid w:val="006C27C8"/>
    <w:pPr>
      <w:tabs>
        <w:tab w:val="left" w:pos="1021"/>
      </w:tabs>
      <w:spacing w:before="60" w:after="60"/>
      <w:ind w:left="1020" w:hanging="340"/>
    </w:pPr>
  </w:style>
  <w:style w:type="paragraph" w:styleId="List4">
    <w:name w:val="List 4"/>
    <w:basedOn w:val="BodyText"/>
    <w:rsid w:val="006C27C8"/>
    <w:pPr>
      <w:tabs>
        <w:tab w:val="left" w:pos="1361"/>
      </w:tabs>
      <w:spacing w:before="60" w:after="60"/>
      <w:ind w:left="1361" w:hanging="340"/>
    </w:pPr>
  </w:style>
  <w:style w:type="paragraph" w:styleId="List5">
    <w:name w:val="List 5"/>
    <w:basedOn w:val="BodyText"/>
    <w:rsid w:val="006C27C8"/>
    <w:pPr>
      <w:tabs>
        <w:tab w:val="left" w:pos="1701"/>
      </w:tabs>
      <w:spacing w:before="60" w:after="60"/>
      <w:ind w:left="1701" w:hanging="340"/>
    </w:pPr>
  </w:style>
  <w:style w:type="paragraph" w:styleId="ListBullet3">
    <w:name w:val="List Bullet 3"/>
    <w:basedOn w:val="List3"/>
    <w:rsid w:val="006C27C8"/>
    <w:pPr>
      <w:numPr>
        <w:numId w:val="13"/>
      </w:numPr>
      <w:tabs>
        <w:tab w:val="clear" w:pos="1021"/>
      </w:tabs>
      <w:ind w:left="1037" w:hanging="357"/>
    </w:pPr>
  </w:style>
  <w:style w:type="paragraph" w:styleId="ListBullet4">
    <w:name w:val="List Bullet 4"/>
    <w:basedOn w:val="List4"/>
    <w:rsid w:val="006C27C8"/>
    <w:pPr>
      <w:numPr>
        <w:numId w:val="1"/>
      </w:numPr>
    </w:pPr>
  </w:style>
  <w:style w:type="paragraph" w:styleId="ListBullet5">
    <w:name w:val="List Bullet 5"/>
    <w:basedOn w:val="List5"/>
    <w:rsid w:val="006C27C8"/>
    <w:pPr>
      <w:numPr>
        <w:numId w:val="2"/>
      </w:numPr>
    </w:pPr>
  </w:style>
  <w:style w:type="paragraph" w:styleId="ListContinue2">
    <w:name w:val="List Continue 2"/>
    <w:basedOn w:val="List2"/>
    <w:rsid w:val="006C27C8"/>
    <w:pPr>
      <w:ind w:firstLine="0"/>
    </w:pPr>
  </w:style>
  <w:style w:type="paragraph" w:styleId="ListContinue3">
    <w:name w:val="List Continue 3"/>
    <w:basedOn w:val="List3"/>
    <w:rsid w:val="006C27C8"/>
    <w:pPr>
      <w:ind w:left="1021" w:firstLine="0"/>
    </w:pPr>
  </w:style>
  <w:style w:type="paragraph" w:styleId="ListContinue4">
    <w:name w:val="List Continue 4"/>
    <w:basedOn w:val="List4"/>
    <w:rsid w:val="006C27C8"/>
    <w:pPr>
      <w:ind w:firstLine="0"/>
    </w:pPr>
  </w:style>
  <w:style w:type="paragraph" w:styleId="ListContinue5">
    <w:name w:val="List Continue 5"/>
    <w:basedOn w:val="List5"/>
    <w:rsid w:val="006C27C8"/>
    <w:pPr>
      <w:ind w:firstLine="0"/>
    </w:pPr>
  </w:style>
  <w:style w:type="paragraph" w:styleId="ListNumber3">
    <w:name w:val="List Number 3"/>
    <w:basedOn w:val="List3"/>
    <w:rsid w:val="006C27C8"/>
    <w:pPr>
      <w:numPr>
        <w:numId w:val="3"/>
      </w:numPr>
    </w:pPr>
  </w:style>
  <w:style w:type="paragraph" w:styleId="ListNumber4">
    <w:name w:val="List Number 4"/>
    <w:basedOn w:val="List4"/>
    <w:rsid w:val="006C27C8"/>
    <w:pPr>
      <w:numPr>
        <w:numId w:val="4"/>
      </w:numPr>
    </w:pPr>
  </w:style>
  <w:style w:type="paragraph" w:styleId="ListNumber5">
    <w:name w:val="List Number 5"/>
    <w:basedOn w:val="List5"/>
    <w:rsid w:val="006C27C8"/>
    <w:pPr>
      <w:numPr>
        <w:numId w:val="5"/>
      </w:numPr>
    </w:pPr>
  </w:style>
  <w:style w:type="paragraph" w:styleId="BlockText">
    <w:name w:val="Block Text"/>
    <w:basedOn w:val="Normal"/>
    <w:rsid w:val="006C27C8"/>
    <w:pPr>
      <w:spacing w:after="120"/>
      <w:ind w:left="1440" w:right="1440"/>
    </w:pPr>
  </w:style>
  <w:style w:type="character" w:customStyle="1" w:styleId="Subscript">
    <w:name w:val="Subscript"/>
    <w:basedOn w:val="DefaultParagraphFont"/>
    <w:rsid w:val="006C27C8"/>
    <w:rPr>
      <w:sz w:val="16"/>
      <w:vertAlign w:val="subscript"/>
    </w:rPr>
  </w:style>
  <w:style w:type="character" w:customStyle="1" w:styleId="Superscript">
    <w:name w:val="Superscript"/>
    <w:basedOn w:val="DefaultParagraphFont"/>
    <w:rsid w:val="006C27C8"/>
    <w:rPr>
      <w:sz w:val="16"/>
      <w:vertAlign w:val="superscript"/>
    </w:rPr>
  </w:style>
  <w:style w:type="character" w:customStyle="1" w:styleId="Symbols">
    <w:name w:val="Symbols"/>
    <w:basedOn w:val="DefaultParagraphFont"/>
    <w:rsid w:val="006C27C8"/>
    <w:rPr>
      <w:rFonts w:ascii="Symbol" w:hAnsi="Symbol"/>
    </w:rPr>
  </w:style>
  <w:style w:type="character" w:customStyle="1" w:styleId="MenuOptions">
    <w:name w:val="Menu Options"/>
    <w:basedOn w:val="DefaultParagraphFont"/>
    <w:rsid w:val="006C27C8"/>
    <w:rPr>
      <w:rFonts w:ascii="Arial Narrow" w:hAnsi="Arial Narrow"/>
      <w:smallCaps/>
    </w:rPr>
  </w:style>
  <w:style w:type="character" w:customStyle="1" w:styleId="Buttons">
    <w:name w:val="Buttons"/>
    <w:basedOn w:val="DefaultParagraphFont"/>
    <w:rsid w:val="006C27C8"/>
    <w:rPr>
      <w:b/>
    </w:rPr>
  </w:style>
  <w:style w:type="character" w:customStyle="1" w:styleId="Underlined">
    <w:name w:val="Underlined"/>
    <w:basedOn w:val="DefaultParagraphFont"/>
    <w:rsid w:val="006C27C8"/>
    <w:rPr>
      <w:u w:val="single"/>
    </w:rPr>
  </w:style>
  <w:style w:type="paragraph" w:customStyle="1" w:styleId="TableBodyTextRight">
    <w:name w:val="Table Body Text Right"/>
    <w:basedOn w:val="TableBodyText"/>
    <w:rsid w:val="006C27C8"/>
    <w:pPr>
      <w:widowControl w:val="0"/>
      <w:autoSpaceDE w:val="0"/>
      <w:autoSpaceDN w:val="0"/>
      <w:adjustRightInd w:val="0"/>
      <w:jc w:val="right"/>
    </w:pPr>
    <w:rPr>
      <w:rFonts w:cs="Arial"/>
      <w:szCs w:val="18"/>
    </w:rPr>
  </w:style>
  <w:style w:type="paragraph" w:customStyle="1" w:styleId="CopyrightText">
    <w:name w:val="Copyright Text"/>
    <w:basedOn w:val="BodyText"/>
    <w:rsid w:val="006C27C8"/>
    <w:rPr>
      <w:sz w:val="18"/>
    </w:rPr>
  </w:style>
  <w:style w:type="paragraph" w:customStyle="1" w:styleId="BodySmallRight">
    <w:name w:val="Body Small Right"/>
    <w:basedOn w:val="BodyTextRight"/>
    <w:rsid w:val="006C27C8"/>
    <w:rPr>
      <w:sz w:val="18"/>
      <w:szCs w:val="18"/>
    </w:rPr>
  </w:style>
  <w:style w:type="paragraph" w:customStyle="1" w:styleId="MarginEdition">
    <w:name w:val="Margin Edition"/>
    <w:basedOn w:val="MarginNote"/>
    <w:rsid w:val="006C27C8"/>
    <w:pPr>
      <w:spacing w:before="0" w:after="0"/>
    </w:pPr>
    <w:rPr>
      <w:rFonts w:ascii="Times New Roman" w:hAnsi="Times New Roman"/>
      <w:color w:val="999999"/>
    </w:rPr>
  </w:style>
  <w:style w:type="paragraph" w:customStyle="1" w:styleId="Spacer">
    <w:name w:val="Spacer"/>
    <w:basedOn w:val="Normal"/>
    <w:rsid w:val="006C27C8"/>
    <w:rPr>
      <w:sz w:val="2"/>
      <w:szCs w:val="2"/>
    </w:rPr>
  </w:style>
  <w:style w:type="character" w:customStyle="1" w:styleId="Small">
    <w:name w:val="Small"/>
    <w:basedOn w:val="DefaultParagraphFont"/>
    <w:rsid w:val="006C27C8"/>
    <w:rPr>
      <w:sz w:val="16"/>
    </w:rPr>
  </w:style>
  <w:style w:type="paragraph" w:customStyle="1" w:styleId="WideTable">
    <w:name w:val="Wide Table"/>
    <w:basedOn w:val="Normal"/>
    <w:rsid w:val="006C27C8"/>
    <w:pPr>
      <w:ind w:left="-1418"/>
    </w:pPr>
    <w:rPr>
      <w:sz w:val="2"/>
      <w:szCs w:val="2"/>
    </w:rPr>
  </w:style>
  <w:style w:type="character" w:styleId="PageNumber">
    <w:name w:val="page number"/>
    <w:basedOn w:val="DefaultParagraphFont"/>
    <w:rsid w:val="006C27C8"/>
  </w:style>
  <w:style w:type="paragraph" w:styleId="Quote">
    <w:name w:val="Quote"/>
    <w:basedOn w:val="Heading1"/>
    <w:link w:val="QuoteChar"/>
    <w:qFormat/>
    <w:rsid w:val="006C27C8"/>
    <w:rPr>
      <w:b w:val="0"/>
      <w:sz w:val="72"/>
      <w:szCs w:val="72"/>
      <w:lang w:val="en-NZ"/>
    </w:rPr>
  </w:style>
  <w:style w:type="character" w:customStyle="1" w:styleId="QuoteChar">
    <w:name w:val="Quote Char"/>
    <w:basedOn w:val="DefaultParagraphFont"/>
    <w:link w:val="Quote"/>
    <w:rsid w:val="006C2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7C8"/>
    <w:pPr>
      <w:pageBreakBefore/>
    </w:pPr>
  </w:style>
  <w:style w:type="paragraph" w:customStyle="1" w:styleId="Border">
    <w:name w:val="Border"/>
    <w:basedOn w:val="Normal"/>
    <w:qFormat/>
    <w:rsid w:val="006C2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7C8"/>
    <w:rPr>
      <w:b/>
      <w:bCs/>
      <w:i/>
      <w:iCs/>
      <w:color w:val="auto"/>
    </w:rPr>
  </w:style>
  <w:style w:type="paragraph" w:styleId="IntenseQuote">
    <w:name w:val="Intense Quote"/>
    <w:basedOn w:val="Normal"/>
    <w:next w:val="Normal"/>
    <w:link w:val="IntenseQuoteChar"/>
    <w:uiPriority w:val="30"/>
    <w:qFormat/>
    <w:rsid w:val="006C2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7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7C8"/>
    <w:rPr>
      <w:smallCaps/>
      <w:color w:val="auto"/>
      <w:u w:val="single"/>
    </w:rPr>
  </w:style>
  <w:style w:type="character" w:styleId="IntenseReference">
    <w:name w:val="Intense Reference"/>
    <w:basedOn w:val="DefaultParagraphFont"/>
    <w:uiPriority w:val="32"/>
    <w:qFormat/>
    <w:rsid w:val="006C27C8"/>
    <w:rPr>
      <w:b/>
      <w:bCs/>
      <w:smallCaps/>
      <w:color w:val="auto"/>
      <w:spacing w:val="5"/>
      <w:u w:val="single"/>
    </w:rPr>
  </w:style>
  <w:style w:type="paragraph" w:customStyle="1" w:styleId="2ColumnHeading">
    <w:name w:val="2Column Heading"/>
    <w:basedOn w:val="BodyText"/>
    <w:qFormat/>
    <w:rsid w:val="006C27C8"/>
    <w:pPr>
      <w:spacing w:after="60"/>
      <w:ind w:left="-2268"/>
    </w:pPr>
    <w:rPr>
      <w:b/>
    </w:rPr>
  </w:style>
  <w:style w:type="paragraph" w:customStyle="1" w:styleId="Heading1TOC">
    <w:name w:val="Heading1 TOC"/>
    <w:basedOn w:val="Normal"/>
    <w:qFormat/>
    <w:rsid w:val="006C27C8"/>
    <w:pPr>
      <w:spacing w:before="240" w:after="120"/>
    </w:pPr>
    <w:rPr>
      <w:rFonts w:ascii="Times New Roman" w:hAnsi="Times New Roman"/>
      <w:b/>
      <w:sz w:val="32"/>
    </w:rPr>
  </w:style>
  <w:style w:type="paragraph" w:customStyle="1" w:styleId="Heading2TOC">
    <w:name w:val="Heading2 TOC"/>
    <w:basedOn w:val="Normal"/>
    <w:qFormat/>
    <w:rsid w:val="006C27C8"/>
    <w:pPr>
      <w:spacing w:before="240" w:after="60"/>
    </w:pPr>
    <w:rPr>
      <w:rFonts w:ascii="Times New Roman" w:hAnsi="Times New Roman"/>
      <w:b/>
      <w:sz w:val="28"/>
    </w:rPr>
  </w:style>
  <w:style w:type="character" w:customStyle="1" w:styleId="Underline">
    <w:name w:val="Underline"/>
    <w:basedOn w:val="DefaultParagraphFont"/>
    <w:qFormat/>
    <w:rsid w:val="006C27C8"/>
    <w:rPr>
      <w:u w:val="single"/>
    </w:rPr>
  </w:style>
  <w:style w:type="character" w:customStyle="1" w:styleId="BoldandItalics">
    <w:name w:val="Bold and Italics"/>
    <w:qFormat/>
    <w:rsid w:val="006C27C8"/>
    <w:rPr>
      <w:b/>
      <w:i/>
      <w:u w:val="none"/>
    </w:rPr>
  </w:style>
  <w:style w:type="paragraph" w:styleId="BalloonText">
    <w:name w:val="Balloon Text"/>
    <w:basedOn w:val="Normal"/>
    <w:link w:val="BalloonTextChar"/>
    <w:rsid w:val="006C27C8"/>
    <w:rPr>
      <w:rFonts w:ascii="Tahoma" w:hAnsi="Tahoma" w:cs="Tahoma"/>
      <w:sz w:val="16"/>
      <w:szCs w:val="16"/>
    </w:rPr>
  </w:style>
  <w:style w:type="character" w:customStyle="1" w:styleId="BalloonTextChar">
    <w:name w:val="Balloon Text Char"/>
    <w:basedOn w:val="DefaultParagraphFont"/>
    <w:link w:val="BalloonText"/>
    <w:rsid w:val="006C27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7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1548</Words>
  <Characters>10182</Characters>
  <Application>Microsoft Office Word</Application>
  <DocSecurity>0</DocSecurity>
  <Lines>422</Lines>
  <Paragraphs>169</Paragraphs>
  <ScaleCrop>false</ScaleCrop>
  <Company>Author-it Software Corporation Ltd.</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MEM18006B Repair and fit engineering components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2012-05-27T01:50:00Z</dcterms:created>
  <dcterms:modified xsi:type="dcterms:W3CDTF">2012-05-27T01:50:00Z</dcterms:modified>
</cp:coreProperties>
</file>