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FAB" w:rsidP="00925FAB">
      <w:pPr>
        <w:pStyle w:val="Title"/>
      </w:pPr>
      <w:r>
        <w:fldChar w:fldCharType="begin"/>
      </w:r>
      <w:r>
        <w:instrText xml:space="preserve"> TITLE   \* MERGEFORMAT </w:instrText>
      </w:r>
      <w:r>
        <w:fldChar w:fldCharType="separate"/>
      </w:r>
      <w:r>
        <w:t>MEM12006B Mark off/out (general engineering)</w:t>
      </w:r>
      <w:r>
        <w:fldChar w:fldCharType="end"/>
      </w:r>
    </w:p>
    <w:p w:rsidR="00925FAB" w:rsidP="00925FAB">
      <w:pPr>
        <w:pStyle w:val="Version"/>
        <w:sectPr w:rsidSect="001057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7C9" w:rsidP="001057C9">
      <w:pPr>
        <w:pStyle w:val="SuperHeading"/>
      </w:pPr>
      <w:r w:rsidRPr="001057C9">
        <w:t>MEM12006B Mark off/out (general engineering)</w:t>
      </w:r>
    </w:p>
    <w:p w:rsidR="00000000" w:rsidRPr="001057C9" w:rsidP="001057C9">
      <w:pPr>
        <w:pStyle w:val="Heading1"/>
      </w:pPr>
      <w:bookmarkStart w:id="1" w:name="O_311707"/>
      <w:bookmarkEnd w:id="1"/>
      <w:r w:rsidRPr="001057C9">
        <w:t>Modification History</w:t>
      </w:r>
    </w:p>
    <w:p w:rsidR="00000000" w:rsidRPr="001057C9" w:rsidP="001057C9">
      <w:pPr>
        <w:pStyle w:val="BodyText"/>
      </w:pPr>
      <w:r w:rsidRPr="001057C9">
        <w:t>There are no notes for this unit.</w:t>
      </w:r>
    </w:p>
    <w:p w:rsidR="00000000" w:rsidRPr="001057C9" w:rsidP="001057C9">
      <w:pPr>
        <w:pStyle w:val="AllowPageBreak"/>
      </w:pPr>
    </w:p>
    <w:p w:rsidR="00000000" w:rsidRPr="001057C9" w:rsidP="001057C9">
      <w:pPr>
        <w:pStyle w:val="Heading1"/>
      </w:pPr>
      <w:bookmarkStart w:id="2" w:name="O_311704"/>
      <w:bookmarkEnd w:id="2"/>
      <w:r w:rsidRPr="001057C9">
        <w:t>Unit Descriptor</w:t>
      </w:r>
    </w:p>
    <w:p w:rsidR="00000000" w:rsidRPr="001057C9" w:rsidP="001057C9">
      <w:pPr>
        <w:pStyle w:val="BodyText"/>
      </w:pPr>
      <w:r w:rsidRPr="001057C9">
        <w:t xml:space="preserve">This unit covers </w:t>
      </w:r>
      <w:r w:rsidRPr="001057C9">
        <w:t>marking off/out by transferring dimensions from engineering drawings, prints or plans etc.</w:t>
      </w:r>
    </w:p>
    <w:p w:rsidR="00000000" w:rsidRPr="001057C9" w:rsidP="001057C9">
      <w:pPr>
        <w:pStyle w:val="AllowPageBreak"/>
      </w:pPr>
    </w:p>
    <w:p w:rsidR="00000000" w:rsidRPr="001057C9" w:rsidP="001057C9">
      <w:pPr>
        <w:pStyle w:val="Heading1"/>
      </w:pPr>
      <w:bookmarkStart w:id="3" w:name="O_311708"/>
      <w:bookmarkEnd w:id="3"/>
      <w:r w:rsidRPr="001057C9">
        <w:t>Application of the Unit</w:t>
      </w:r>
    </w:p>
    <w:p w:rsidR="00000000" w:rsidRPr="001057C9" w:rsidP="001057C9">
      <w:pPr>
        <w:pStyle w:val="BodyText"/>
      </w:pPr>
      <w:r w:rsidRPr="001057C9">
        <w:t>This unit applies to marking off/out techniques used for the transfer of dimensions from engineering drawings, prints or pla</w:t>
      </w:r>
      <w:r w:rsidRPr="001057C9">
        <w:t xml:space="preserve">ns. </w:t>
      </w:r>
    </w:p>
    <w:p w:rsidR="00000000" w:rsidRPr="001057C9" w:rsidP="001057C9">
      <w:pPr>
        <w:pStyle w:val="BodyText"/>
      </w:pPr>
      <w:r w:rsidRPr="001057C9">
        <w:t>Marking off/out is undertaken using appropriate tools and equipment; templates are produced as required. Marking off/out techniques may apply to a range of materials and shapes.</w:t>
      </w:r>
    </w:p>
    <w:p w:rsidR="00000000" w:rsidRPr="001057C9" w:rsidP="001057C9">
      <w:pPr>
        <w:pStyle w:val="BodyText"/>
      </w:pPr>
      <w:r w:rsidRPr="001057C9">
        <w:t>The task may be performed in a workshop or in situ.</w:t>
      </w:r>
    </w:p>
    <w:p w:rsidR="00000000" w:rsidRPr="001057C9" w:rsidP="001057C9">
      <w:pPr>
        <w:pStyle w:val="AllowPageBreak"/>
      </w:pPr>
    </w:p>
    <w:p w:rsidR="00000000" w:rsidRPr="001057C9" w:rsidP="001057C9">
      <w:pPr>
        <w:pStyle w:val="Heading1"/>
      </w:pPr>
      <w:bookmarkStart w:id="4" w:name="O_311709"/>
      <w:bookmarkEnd w:id="4"/>
      <w:r w:rsidRPr="001057C9">
        <w:t>Lice</w:t>
      </w:r>
      <w:r w:rsidRPr="001057C9">
        <w:t>nsing/Regulatory Information</w:t>
      </w:r>
    </w:p>
    <w:p w:rsidR="00000000" w:rsidRPr="001057C9" w:rsidP="001057C9">
      <w:pPr>
        <w:pStyle w:val="Heading1"/>
      </w:pPr>
      <w:bookmarkStart w:id="5" w:name="O_311710"/>
      <w:bookmarkEnd w:id="5"/>
      <w:r w:rsidRPr="001057C9">
        <w:t>Pre-Requisites</w:t>
      </w:r>
    </w:p>
    <w:tbl>
      <w:tblPr>
        <w:tblW w:w="0" w:type="auto"/>
        <w:tblLayout w:type="fixed"/>
        <w:tblCellMar>
          <w:left w:w="62" w:type="dxa"/>
          <w:right w:w="62" w:type="dxa"/>
        </w:tblCellMar>
        <w:tblLook w:val="0000"/>
      </w:tblPr>
      <w:tblGrid>
        <w:gridCol w:w="4500"/>
        <w:gridCol w:w="4500"/>
      </w:tblGrid>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Path 1</w:t>
            </w:r>
          </w:p>
        </w:tc>
        <w:tc>
          <w:tcPr>
            <w:tcW w:w="4500" w:type="dxa"/>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t>MEM09002B Interpret technical drawing</w:t>
            </w:r>
          </w:p>
          <w:p w:rsidR="00000000" w:rsidRPr="001057C9" w:rsidP="001057C9">
            <w:pPr>
              <w:pStyle w:val="BodyText"/>
            </w:pPr>
            <w:r w:rsidRPr="001057C9">
              <w:t>MEM12023A Perform engineering measurements</w:t>
            </w:r>
          </w:p>
        </w:tc>
      </w:tr>
    </w:tbl>
    <w:p w:rsidR="00000000" w:rsidRPr="001057C9" w:rsidP="001057C9">
      <w:pPr>
        <w:pStyle w:val="BodyText"/>
      </w:pPr>
    </w:p>
    <w:p w:rsidR="00000000" w:rsidRPr="001057C9" w:rsidP="001057C9">
      <w:pPr>
        <w:pStyle w:val="AllowPageBreak"/>
      </w:pPr>
    </w:p>
    <w:p w:rsidR="00000000" w:rsidRPr="001057C9" w:rsidP="001057C9">
      <w:pPr>
        <w:pStyle w:val="Heading1"/>
      </w:pPr>
      <w:bookmarkStart w:id="6" w:name="O_311711"/>
      <w:bookmarkEnd w:id="6"/>
      <w:r w:rsidRPr="001057C9">
        <w:t>Employability Skills Information</w:t>
      </w:r>
    </w:p>
    <w:p w:rsidR="00000000" w:rsidRPr="001057C9" w:rsidP="001057C9">
      <w:pPr>
        <w:pStyle w:val="Heading1"/>
      </w:pPr>
      <w:bookmarkStart w:id="7" w:name="O_311696"/>
      <w:bookmarkEnd w:id="7"/>
      <w:r w:rsidRPr="001057C9">
        <w:t>Elements and Performance Criteria Pre-Content</w:t>
      </w:r>
    </w:p>
    <w:p w:rsidR="00000000" w:rsidRPr="001057C9" w:rsidP="001057C9">
      <w:pPr>
        <w:pStyle w:val="BodyText"/>
      </w:pPr>
      <w:r w:rsidRPr="001057C9">
        <w:t>Elements are the essential outcomes of the unit of competency.</w:t>
      </w:r>
    </w:p>
    <w:p w:rsidR="00000000" w:rsidRPr="001057C9" w:rsidP="001057C9">
      <w:pPr>
        <w:pStyle w:val="BodyText"/>
      </w:pPr>
      <w:r w:rsidRPr="001057C9">
        <w:t>Together, performance criteria specify the requirements for competent performance. Text in italics is explained in the range statement following.</w:t>
      </w:r>
    </w:p>
    <w:p w:rsidR="00000000" w:rsidRPr="001057C9" w:rsidP="001057C9">
      <w:pPr>
        <w:pStyle w:val="AllowPageBreak"/>
      </w:pPr>
    </w:p>
    <w:p w:rsidR="00000000" w:rsidRPr="001057C9" w:rsidP="001057C9">
      <w:pPr>
        <w:pStyle w:val="Heading1"/>
      </w:pPr>
      <w:bookmarkStart w:id="8" w:name="O_311706"/>
      <w:bookmarkEnd w:id="8"/>
      <w:r w:rsidRPr="001057C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25FA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Elements and Performance Criteria</w:t>
            </w:r>
          </w:p>
        </w:tc>
      </w:tr>
      <w:tr w:rsidTr="00925FA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Performance Criteria</w:t>
            </w:r>
          </w:p>
        </w:tc>
      </w:tr>
      <w:tr w:rsidTr="00925F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1</w:t>
            </w:r>
          </w:p>
        </w:tc>
        <w:tc>
          <w:tcPr>
            <w:tcW w:w="30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Determine job requirements</w:t>
            </w:r>
          </w:p>
        </w:tc>
        <w:tc>
          <w:tcPr>
            <w:tcW w:w="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1.1</w:t>
            </w:r>
          </w:p>
        </w:tc>
        <w:tc>
          <w:tcPr>
            <w:tcW w:w="51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Drawings, job instructions and specifications are interpreted and understood.</w:t>
            </w:r>
          </w:p>
        </w:tc>
      </w:tr>
      <w:tr w:rsidTr="00925F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1.2</w:t>
            </w:r>
          </w:p>
        </w:tc>
        <w:tc>
          <w:tcPr>
            <w:tcW w:w="51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Appropriate methods and sequencing are selected consistent with proposed manufacturing process using standard operating procedures.</w:t>
            </w:r>
          </w:p>
        </w:tc>
      </w:tr>
      <w:tr w:rsidTr="00925F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2</w:t>
            </w:r>
          </w:p>
        </w:tc>
        <w:tc>
          <w:tcPr>
            <w:tcW w:w="30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Transfer dimension</w:t>
            </w:r>
          </w:p>
        </w:tc>
        <w:tc>
          <w:tcPr>
            <w:tcW w:w="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2.1</w:t>
            </w:r>
          </w:p>
        </w:tc>
        <w:tc>
          <w:tcPr>
            <w:tcW w:w="51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All marking off/out is carried out to specifications using appropriate tools and equipment.</w:t>
            </w:r>
          </w:p>
        </w:tc>
      </w:tr>
      <w:tr w:rsidTr="00925F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2.2</w:t>
            </w:r>
          </w:p>
        </w:tc>
        <w:tc>
          <w:tcPr>
            <w:tcW w:w="51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Datum points are correctly established.</w:t>
            </w:r>
          </w:p>
        </w:tc>
      </w:tr>
      <w:tr w:rsidTr="00925F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2.3</w:t>
            </w:r>
          </w:p>
        </w:tc>
        <w:tc>
          <w:tcPr>
            <w:tcW w:w="5100" w:type="dxa"/>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t>Dimensions are transferred and correct and appropriate calculations are used where required.</w:t>
            </w:r>
          </w:p>
        </w:tc>
      </w:tr>
    </w:tbl>
    <w:p w:rsidR="00000000" w:rsidRPr="001057C9" w:rsidP="001057C9">
      <w:pPr>
        <w:pStyle w:val="BodyText"/>
      </w:pPr>
    </w:p>
    <w:p w:rsidR="00000000" w:rsidRPr="001057C9" w:rsidP="001057C9">
      <w:pPr>
        <w:pStyle w:val="AllowPageBreak"/>
      </w:pPr>
    </w:p>
    <w:p w:rsidR="00000000" w:rsidRPr="001057C9" w:rsidP="001057C9">
      <w:pPr>
        <w:pStyle w:val="Heading1"/>
      </w:pPr>
      <w:bookmarkStart w:id="9" w:name="O_311705"/>
      <w:bookmarkEnd w:id="9"/>
      <w:r w:rsidRPr="001057C9">
        <w:t>Required Skills and Knowledge</w:t>
      </w:r>
    </w:p>
    <w:p w:rsidR="00000000" w:rsidRPr="001057C9" w:rsidP="001057C9">
      <w:pPr>
        <w:pStyle w:val="Heading1"/>
      </w:pPr>
      <w:bookmarkStart w:id="10" w:name="O_311697"/>
      <w:bookmarkEnd w:id="10"/>
      <w:r w:rsidRPr="001057C9">
        <w:t>Evidence Guide</w:t>
      </w:r>
    </w:p>
    <w:tbl>
      <w:tblPr>
        <w:tblW w:w="0" w:type="auto"/>
        <w:tblLayout w:type="fixed"/>
        <w:tblCellMar>
          <w:left w:w="62" w:type="dxa"/>
          <w:right w:w="62" w:type="dxa"/>
        </w:tblCellMar>
        <w:tblLook w:val="0000"/>
      </w:tblPr>
      <w:tblGrid>
        <w:gridCol w:w="4500"/>
        <w:gridCol w:w="4500"/>
      </w:tblGrid>
      <w:tr w:rsidTr="00925FA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The evidence guide specifies the evidence required to demonstrate achievement in the unit of competency as a whole. It must be read in conjunction with the unit descriptor, performance criteria, range statement and the assessment guidelines for the Metal a</w:t>
            </w:r>
            <w:r w:rsidRPr="001057C9">
              <w:t>nd Engineering Training Package</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A person who demonstrates competency in this unit must be able to mark off/out in a general engineering situation. Competency in this unit </w:t>
            </w:r>
            <w:r w:rsidRPr="001057C9">
              <w:t xml:space="preserve">cannot be claimed until all prerequisites have been satisfied. </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This unit may be assessed on the job, off the job or a combination of both on and off the job. Where assessment occurs off the job, that is the candidate is not in produ</w:t>
            </w:r>
            <w:r w:rsidRPr="001057C9">
              <w:t>ctive work, then an appropriate simulation must be used where the range of conditions reflects realistic workplace situations. The competencies covered by this unit would be demonstrated by an individual working alone or as part of a team. The assessment e</w:t>
            </w:r>
            <w:r w:rsidRPr="001057C9">
              <w:t xml:space="preserve">nvironment should not disadvantage the candidate.  </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This unit could be assessed in conjunction with any other units addressing the safety, quality, communication, materials handling, recording and reporting associated with markin</w:t>
            </w:r>
            <w:r w:rsidRPr="001057C9">
              <w:t xml:space="preserve">g off/out in a general engineering situation or other units requiring the exercise of the skills and knowledge covered by this unit.  </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Assessors should gather a range of evidence that is valid, sufficient, current and authentic. Evide</w:t>
            </w:r>
            <w:r w:rsidRPr="001057C9">
              <w:t xml:space="preserve">nce can be gathered through a variety of ways including direct observation, supervisor's reports, project work, samples and questioning. Questioning techniques should not require language, literacy and numeracy skills beyond those required in this unit of </w:t>
            </w:r>
            <w:r w:rsidRPr="001057C9">
              <w:t xml:space="preserve">competency. The candidate must have access to all tools, equipment, materials and documentation required. The candidate must </w:t>
            </w:r>
            <w:r w:rsidRPr="001057C9">
              <w:t>be permitted to refer to any relevant workplace procedures, product and manufacturing specifications, codes, standards, manuals and</w:t>
            </w:r>
            <w:r w:rsidRPr="001057C9">
              <w:t xml:space="preserve"> reference materials. </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Assessors must be satisfied that the candidate can competently and consistently perform all elements of the unit as specified by the criteria, including required knowledge, and be capable of applying the c</w:t>
            </w:r>
            <w:r w:rsidRPr="001057C9">
              <w:t xml:space="preserve">ompetency in new and different situations and contexts. </w:t>
            </w:r>
          </w:p>
        </w:tc>
      </w:tr>
      <w:tr w:rsidTr="00925FA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Look for evidence that confirms skills in: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determining job requirements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transferring dimensions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applying method and sequence of marking out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making templates as required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establishing datum points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reading and interpreting routine information on written job instructions, specifications and standard operating procedures. May include drawings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performing calculations using formulae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locating, reading and interpreting information on written job instructions, specifications, drawings, charts, lists and other reference documentation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checking and clarifying strategies </w:t>
            </w:r>
          </w:p>
        </w:tc>
      </w:tr>
      <w:tr w:rsidTr="00925FA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Look for evidence that confirms knowledge of: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drawings, job instructions and specifications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procedures for marking off/out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tools, equipment and techniques related to the task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purpose of establishing datum points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method of determining/calculating dimensions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use and application of personal protective equipment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safe work practices and procedures </w:t>
            </w:r>
          </w:p>
        </w:tc>
      </w:tr>
      <w:tr w:rsidTr="00925FA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t xml:space="preserve">relevant hazards and control measures related to the competency </w:t>
            </w:r>
          </w:p>
        </w:tc>
      </w:tr>
    </w:tbl>
    <w:p w:rsidR="00000000" w:rsidRPr="001057C9" w:rsidP="001057C9">
      <w:pPr>
        <w:pStyle w:val="BodyText"/>
      </w:pPr>
    </w:p>
    <w:p w:rsidR="00000000" w:rsidRPr="001057C9" w:rsidP="001057C9">
      <w:pPr>
        <w:pStyle w:val="AllowPageBreak"/>
      </w:pPr>
    </w:p>
    <w:p w:rsidR="00000000" w:rsidRPr="001057C9" w:rsidP="001057C9">
      <w:pPr>
        <w:pStyle w:val="Heading1"/>
      </w:pPr>
      <w:bookmarkStart w:id="11" w:name="O_311703"/>
      <w:bookmarkEnd w:id="11"/>
      <w:r w:rsidRPr="001057C9">
        <w:t>Range Statement</w:t>
      </w:r>
    </w:p>
    <w:tbl>
      <w:tblPr>
        <w:tblW w:w="0" w:type="auto"/>
        <w:tblLayout w:type="fixed"/>
        <w:tblCellMar>
          <w:left w:w="62" w:type="dxa"/>
          <w:right w:w="62" w:type="dxa"/>
        </w:tblCellMar>
        <w:tblLook w:val="0000"/>
      </w:tblPr>
      <w:tblGrid>
        <w:gridCol w:w="4500"/>
        <w:gridCol w:w="4500"/>
      </w:tblGrid>
      <w:tr w:rsidTr="00925FA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t>The range statement provides information about the context in which the unit of competency is carried out. The variables and scope cater for different work requirements, work practices and knowledge between States, Territories and the Commonwealth, and bet</w:t>
            </w:r>
            <w:r w:rsidRPr="001057C9">
              <w:t>ween organisations and workplaces. The range statement relates to the unit as a whole and provides a focus for assessment. Text in italics in the performance criteria is explained here.</w:t>
            </w:r>
          </w:p>
          <w:p w:rsidR="00000000" w:rsidP="001057C9">
            <w:pPr>
              <w:pStyle w:val="BodyText"/>
              <w:rPr>
                <w:lang w:val="en-NZ"/>
              </w:rPr>
            </w:pPr>
            <w:r w:rsidRPr="001057C9">
              <w:t>The following variables may be present and may include, but are not li</w:t>
            </w:r>
            <w:r w:rsidRPr="001057C9">
              <w:t>mited to, the examples listed under the scope. All work is undertaken to relevant legislative requirements, where applicable</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Scope</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Marking off</w:t>
            </w:r>
            <w:r w:rsidRPr="001057C9">
              <w:t>/</w:t>
            </w:r>
            <w:r w:rsidRPr="001057C9">
              <w:rPr>
                <w:rStyle w:val="SpecialBold"/>
              </w:rPr>
              <w:t>out</w:t>
            </w:r>
          </w:p>
        </w:tc>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t xml:space="preserve">Engineering components, jigs and fixtures, castings, templates, dies and tooling etc. </w:t>
            </w:r>
          </w:p>
        </w:tc>
      </w:tr>
      <w:tr w:rsidTr="00925F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57C9">
            <w:pPr>
              <w:pStyle w:val="BodyText"/>
              <w:rPr>
                <w:lang w:val="en-NZ"/>
              </w:rPr>
            </w:pPr>
            <w:r w:rsidRPr="001057C9">
              <w:rPr>
                <w:rStyle w:val="SpecialBold"/>
              </w:rPr>
              <w:t>Tools and</w:t>
            </w:r>
            <w:r w:rsidRPr="001057C9">
              <w:rPr>
                <w:rStyle w:val="SpecialBold"/>
              </w:rPr>
              <w:t xml:space="preserve"> equipment</w:t>
            </w:r>
          </w:p>
        </w:tc>
        <w:tc>
          <w:tcPr>
            <w:tcW w:w="4500" w:type="dxa"/>
            <w:tcBorders>
              <w:top w:val="nil"/>
              <w:left w:val="nil"/>
              <w:bottom w:val="nil"/>
              <w:right w:val="nil"/>
            </w:tcBorders>
            <w:tcMar>
              <w:top w:w="0" w:type="dxa"/>
              <w:left w:w="62" w:type="dxa"/>
              <w:bottom w:w="0" w:type="dxa"/>
              <w:right w:w="62" w:type="dxa"/>
            </w:tcMar>
          </w:tcPr>
          <w:p w:rsidR="00000000" w:rsidRPr="001057C9" w:rsidP="001057C9">
            <w:pPr>
              <w:pStyle w:val="BodyText"/>
            </w:pPr>
            <w:r w:rsidRPr="001057C9">
              <w:t>Marking out tables, surface tables, rotary tables, dividing heads etc., vee blocks, cylinder squares, sine bars and the like, vernier height gauges, protractors, straight edge and set squares, hammers, scribers, centre punch, marking medium etc.</w:t>
            </w:r>
            <w:r w:rsidRPr="001057C9">
              <w:t xml:space="preserve"> </w:t>
            </w:r>
          </w:p>
        </w:tc>
      </w:tr>
    </w:tbl>
    <w:p w:rsidR="00000000" w:rsidRPr="001057C9" w:rsidP="001057C9">
      <w:pPr>
        <w:pStyle w:val="BodyText"/>
      </w:pPr>
    </w:p>
    <w:p w:rsidR="00000000" w:rsidRPr="001057C9" w:rsidP="001057C9">
      <w:pPr>
        <w:pStyle w:val="AllowPageBreak"/>
      </w:pPr>
    </w:p>
    <w:p w:rsidR="00000000" w:rsidRPr="001057C9" w:rsidP="001057C9">
      <w:pPr>
        <w:pStyle w:val="Heading1"/>
      </w:pPr>
      <w:bookmarkStart w:id="12" w:name="O_311702"/>
      <w:bookmarkEnd w:id="12"/>
      <w:r w:rsidRPr="001057C9">
        <w:t>Unit Sector(s)</w:t>
      </w:r>
    </w:p>
    <w:p w:rsidR="00000000" w:rsidRPr="001057C9" w:rsidP="001057C9">
      <w:pPr>
        <w:pStyle w:val="Heading1"/>
      </w:pPr>
      <w:bookmarkStart w:id="13" w:name="O_311698"/>
      <w:bookmarkEnd w:id="13"/>
      <w:r w:rsidRPr="001057C9">
        <w:t>Unit Weight</w:t>
      </w:r>
    </w:p>
    <w:p w:rsidR="00000000" w:rsidRPr="001057C9" w:rsidP="001057C9">
      <w:pPr>
        <w:pStyle w:val="BodyText"/>
      </w:pPr>
      <w:r w:rsidRPr="001057C9">
        <w:t>4</w:t>
      </w:r>
    </w:p>
    <w:p w:rsidR="00000000" w:rsidRPr="001057C9" w:rsidP="001057C9">
      <w:pPr>
        <w:pStyle w:val="AllowPageBreak"/>
      </w:pPr>
    </w:p>
    <w:p w:rsidR="00000000" w:rsidRPr="001057C9" w:rsidP="001057C9">
      <w:pPr>
        <w:pStyle w:val="Heading1"/>
      </w:pPr>
      <w:bookmarkStart w:id="14" w:name="O_311699"/>
      <w:bookmarkEnd w:id="14"/>
      <w:r w:rsidRPr="001057C9">
        <w:t>Related units</w:t>
      </w:r>
    </w:p>
    <w:p w:rsidR="00000000" w:rsidRPr="001057C9" w:rsidP="001057C9">
      <w:pPr>
        <w:pStyle w:val="BodyText"/>
      </w:pPr>
      <w:r w:rsidRPr="001057C9">
        <w:t xml:space="preserve">This unit is not intended to cover the skills used in a simple transfer of a dimension or marking a location point associated with general engineering </w:t>
      </w:r>
      <w:r w:rsidRPr="001057C9">
        <w:t xml:space="preserve">and maintenance functions. For these skills see Unit MEM07005B (Perform general machining), Unit MEM18006B (Repair and fit engineering components) or Unit MEM18014B (Manufacture tools, gauges and dies). </w:t>
      </w:r>
    </w:p>
    <w:p w:rsidR="00000000" w:rsidRPr="001057C9" w:rsidP="001057C9">
      <w:pPr>
        <w:pStyle w:val="BodyText"/>
      </w:pPr>
      <w:r w:rsidRPr="001057C9">
        <w:t xml:space="preserve">Where a higher level of calculation, measurement or </w:t>
      </w:r>
      <w:r w:rsidRPr="001057C9">
        <w:t xml:space="preserve">precision work is required, see Unit MEM30012A (Use mathematical techniques and perform simple statistical computations), Unit MEM12003B (Perform precision mechanical measurement) or Unit MEM18003C (Use tools for precision work) respectively. </w:t>
      </w:r>
    </w:p>
    <w:p w:rsidR="00000000" w:rsidRPr="001057C9" w:rsidP="001057C9">
      <w:pPr>
        <w:pStyle w:val="BodyText"/>
      </w:pPr>
      <w:r w:rsidRPr="001057C9">
        <w:t xml:space="preserve">For marking </w:t>
      </w:r>
      <w:r w:rsidRPr="001057C9">
        <w:t>out structural fabrications and shapes, refer Unit MEM12007C (Mark off/out structural fabrications and shapes).</w:t>
      </w:r>
    </w:p>
    <w:p w:rsidR="00000000" w:rsidRPr="001057C9" w:rsidP="001057C9">
      <w:pPr>
        <w:pStyle w:val="BodyText"/>
      </w:pPr>
      <w:r w:rsidRPr="001057C9">
        <w:t>This unit covers the marking out skills only. When the manufacture of templates is required, other appropriate units may need to be selected.</w:t>
      </w:r>
    </w:p>
    <w:p w:rsidR="00000000" w:rsidRPr="001057C9" w:rsidP="001057C9">
      <w:pPr>
        <w:pStyle w:val="AllowPageBreak"/>
      </w:pPr>
    </w:p>
    <w:p w:rsidR="00000000" w:rsidRPr="001057C9" w:rsidP="001057C9">
      <w:pPr>
        <w:pStyle w:val="Heading1"/>
      </w:pPr>
      <w:bookmarkStart w:id="15" w:name="O_311700"/>
      <w:bookmarkEnd w:id="15"/>
      <w:r w:rsidRPr="001057C9">
        <w:t>Competency field</w:t>
      </w:r>
    </w:p>
    <w:p w:rsidR="00000000" w:rsidRPr="001057C9" w:rsidP="001057C9">
      <w:pPr>
        <w:pStyle w:val="BodyText"/>
      </w:pPr>
      <w:r w:rsidRPr="001057C9">
        <w:t>Measurement</w:t>
      </w:r>
    </w:p>
    <w:p w:rsidR="00000000" w:rsidRPr="001057C9" w:rsidP="001057C9">
      <w:pPr>
        <w:pStyle w:val="AllowPageBreak"/>
      </w:pPr>
    </w:p>
    <w:p w:rsidR="00000000" w:rsidRPr="001057C9" w:rsidP="001057C9">
      <w:pPr>
        <w:pStyle w:val="Heading1"/>
      </w:pPr>
      <w:bookmarkStart w:id="16" w:name="O_311701"/>
      <w:bookmarkEnd w:id="16"/>
      <w:r w:rsidRPr="001057C9">
        <w:t>Band</w:t>
      </w:r>
    </w:p>
    <w:p w:rsidR="00000000" w:rsidRPr="001057C9" w:rsidP="001057C9">
      <w:pPr>
        <w:pStyle w:val="BodyText"/>
      </w:pPr>
      <w:r w:rsidRPr="001057C9">
        <w:t>A</w:t>
      </w:r>
    </w:p>
    <w:p w:rsidR="00000000" w:rsidRPr="001057C9" w:rsidP="001057C9"/>
    <w:sectPr w:rsidSect="001057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FAB" w:rsidP="00925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AB" w:rsidP="00105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5FAB" w:rsidP="001057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5FAB" w:rsidP="001057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9" w:rsidRPr="00925FAB" w:rsidP="00925F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AB" w:rsidP="001057C9">
    <w:pPr>
      <w:pStyle w:val="Header"/>
      <w:framePr w:wrap="around"/>
    </w:pPr>
    <w:r>
      <w:fldChar w:fldCharType="begin"/>
    </w:r>
    <w:r>
      <w:instrText xml:space="preserve"> TITLE   \* MERGEFORMAT </w:instrText>
    </w:r>
    <w:r>
      <w:fldChar w:fldCharType="separate"/>
    </w:r>
    <w:r>
      <w:t>MEM12006B Mark off/out (general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5FAB" w:rsidP="001057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7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7C9"/>
    <w:pPr>
      <w:spacing w:before="360" w:after="60"/>
      <w:outlineLvl w:val="0"/>
    </w:pPr>
    <w:rPr>
      <w:sz w:val="32"/>
    </w:rPr>
  </w:style>
  <w:style w:type="paragraph" w:styleId="Heading2">
    <w:name w:val="heading 2"/>
    <w:basedOn w:val="HeadingBase"/>
    <w:next w:val="BodyText"/>
    <w:link w:val="Heading2Char"/>
    <w:qFormat/>
    <w:rsid w:val="001057C9"/>
    <w:pPr>
      <w:keepLines/>
      <w:spacing w:before="240" w:after="120"/>
      <w:outlineLvl w:val="1"/>
    </w:pPr>
    <w:rPr>
      <w:sz w:val="28"/>
      <w:szCs w:val="40"/>
    </w:rPr>
  </w:style>
  <w:style w:type="paragraph" w:styleId="Heading3">
    <w:name w:val="heading 3"/>
    <w:basedOn w:val="HeadingBase"/>
    <w:next w:val="BodyText"/>
    <w:link w:val="Heading3Char"/>
    <w:qFormat/>
    <w:rsid w:val="001057C9"/>
    <w:pPr>
      <w:spacing w:before="180" w:after="120"/>
      <w:outlineLvl w:val="2"/>
    </w:pPr>
    <w:rPr>
      <w:spacing w:val="-10"/>
      <w:kern w:val="32"/>
    </w:rPr>
  </w:style>
  <w:style w:type="paragraph" w:styleId="Heading4">
    <w:name w:val="heading 4"/>
    <w:basedOn w:val="HeadingBase"/>
    <w:next w:val="BodyText"/>
    <w:link w:val="Heading4Char"/>
    <w:qFormat/>
    <w:rsid w:val="001057C9"/>
    <w:pPr>
      <w:spacing w:before="160" w:after="120"/>
      <w:outlineLvl w:val="3"/>
    </w:pPr>
    <w:rPr>
      <w:sz w:val="22"/>
    </w:rPr>
  </w:style>
  <w:style w:type="paragraph" w:styleId="Heading5">
    <w:name w:val="heading 5"/>
    <w:basedOn w:val="HeadingBase"/>
    <w:next w:val="Normal"/>
    <w:link w:val="Heading5Char"/>
    <w:qFormat/>
    <w:rsid w:val="001057C9"/>
    <w:pPr>
      <w:spacing w:before="80"/>
      <w:outlineLvl w:val="4"/>
    </w:pPr>
    <w:rPr>
      <w:color w:val="918585"/>
      <w:sz w:val="20"/>
    </w:rPr>
  </w:style>
  <w:style w:type="paragraph" w:styleId="Heading6">
    <w:name w:val="heading 6"/>
    <w:basedOn w:val="HeadingBase"/>
    <w:next w:val="Normal"/>
    <w:link w:val="Heading6Char"/>
    <w:qFormat/>
    <w:rsid w:val="001057C9"/>
    <w:pPr>
      <w:spacing w:before="60"/>
      <w:outlineLvl w:val="5"/>
    </w:pPr>
    <w:rPr>
      <w:color w:val="918585"/>
      <w:sz w:val="20"/>
    </w:rPr>
  </w:style>
  <w:style w:type="paragraph" w:styleId="Heading7">
    <w:name w:val="heading 7"/>
    <w:basedOn w:val="Normal"/>
    <w:next w:val="Normal"/>
    <w:link w:val="Heading7Char"/>
    <w:qFormat/>
    <w:rsid w:val="001057C9"/>
    <w:pPr>
      <w:ind w:left="720"/>
      <w:outlineLvl w:val="6"/>
    </w:pPr>
    <w:rPr>
      <w:i/>
    </w:rPr>
  </w:style>
  <w:style w:type="paragraph" w:styleId="Heading8">
    <w:name w:val="heading 8"/>
    <w:basedOn w:val="Normal"/>
    <w:next w:val="Normal"/>
    <w:link w:val="Heading8Char"/>
    <w:qFormat/>
    <w:rsid w:val="001057C9"/>
    <w:pPr>
      <w:ind w:left="720"/>
      <w:outlineLvl w:val="7"/>
    </w:pPr>
    <w:rPr>
      <w:i/>
    </w:rPr>
  </w:style>
  <w:style w:type="paragraph" w:styleId="Heading9">
    <w:name w:val="heading 9"/>
    <w:basedOn w:val="Normal"/>
    <w:next w:val="Normal"/>
    <w:link w:val="Heading9Char"/>
    <w:qFormat/>
    <w:rsid w:val="001057C9"/>
    <w:pPr>
      <w:ind w:left="720"/>
      <w:outlineLvl w:val="8"/>
    </w:pPr>
    <w:rPr>
      <w:i/>
    </w:rPr>
  </w:style>
  <w:style w:type="character" w:default="1" w:styleId="DefaultParagraphFont">
    <w:name w:val="Default Paragraph Font"/>
    <w:uiPriority w:val="1"/>
    <w:unhideWhenUsed/>
    <w:rsid w:val="00105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7C9"/>
  </w:style>
  <w:style w:type="character" w:customStyle="1" w:styleId="Heading1Char">
    <w:name w:val="Heading 1 Char"/>
    <w:link w:val="Heading1"/>
    <w:rsid w:val="001057C9"/>
    <w:rPr>
      <w:rFonts w:ascii="Times New Roman" w:eastAsia="Times New Roman" w:hAnsi="Times New Roman" w:cs="Times New Roman"/>
      <w:b/>
      <w:sz w:val="32"/>
      <w:szCs w:val="20"/>
      <w:lang w:eastAsia="en-US"/>
    </w:rPr>
  </w:style>
  <w:style w:type="paragraph" w:styleId="BodyText">
    <w:name w:val="Body Text"/>
    <w:basedOn w:val="Normal"/>
    <w:link w:val="BodyTextChar"/>
    <w:rsid w:val="001057C9"/>
    <w:pPr>
      <w:spacing w:before="120" w:after="120"/>
      <w:contextualSpacing/>
    </w:pPr>
    <w:rPr>
      <w:rFonts w:ascii="Times New Roman" w:hAnsi="Times New Roman"/>
      <w:sz w:val="24"/>
      <w:szCs w:val="22"/>
    </w:rPr>
  </w:style>
  <w:style w:type="character" w:customStyle="1" w:styleId="BodyTextChar">
    <w:name w:val="Body Text Char"/>
    <w:link w:val="BodyText"/>
    <w:rsid w:val="001057C9"/>
    <w:rPr>
      <w:rFonts w:ascii="Times New Roman" w:eastAsia="Times New Roman" w:hAnsi="Times New Roman" w:cs="Times New Roman"/>
      <w:sz w:val="24"/>
      <w:lang w:val="en-US" w:eastAsia="en-US"/>
    </w:rPr>
  </w:style>
  <w:style w:type="paragraph" w:styleId="Footer">
    <w:name w:val="footer"/>
    <w:basedOn w:val="Normal"/>
    <w:link w:val="FooterChar"/>
    <w:rsid w:val="00105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57C9"/>
    <w:rPr>
      <w:rFonts w:ascii="Times New Roman" w:eastAsia="Times New Roman" w:hAnsi="Times New Roman" w:cs="Times New Roman"/>
      <w:sz w:val="16"/>
      <w:lang w:val="en-US" w:eastAsia="en-US"/>
    </w:rPr>
  </w:style>
  <w:style w:type="character" w:customStyle="1" w:styleId="SpecialBold">
    <w:name w:val="Special Bold"/>
    <w:rsid w:val="001057C9"/>
    <w:rPr>
      <w:b/>
      <w:spacing w:val="0"/>
    </w:rPr>
  </w:style>
  <w:style w:type="paragraph" w:customStyle="1" w:styleId="SuperHeading">
    <w:name w:val="SuperHeading"/>
    <w:basedOn w:val="Normal"/>
    <w:rsid w:val="001057C9"/>
    <w:pPr>
      <w:spacing w:before="240" w:after="120"/>
      <w:outlineLvl w:val="0"/>
    </w:pPr>
    <w:rPr>
      <w:rFonts w:ascii="Times New Roman" w:hAnsi="Times New Roman"/>
      <w:b/>
      <w:sz w:val="28"/>
    </w:rPr>
  </w:style>
  <w:style w:type="paragraph" w:customStyle="1" w:styleId="AllowPageBreak">
    <w:name w:val="AllowPageBreak"/>
    <w:rsid w:val="001057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057C9"/>
    <w:rPr>
      <w:rFonts w:ascii="Times New Roman" w:eastAsia="Times New Roman" w:hAnsi="Times New Roman" w:cs="Times New Roman"/>
      <w:b/>
      <w:sz w:val="28"/>
      <w:szCs w:val="40"/>
      <w:lang w:eastAsia="en-US"/>
    </w:rPr>
  </w:style>
  <w:style w:type="character" w:customStyle="1" w:styleId="Heading3Char">
    <w:name w:val="Heading 3 Char"/>
    <w:link w:val="Heading3"/>
    <w:rsid w:val="001057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57C9"/>
    <w:rPr>
      <w:rFonts w:ascii="Times New Roman" w:eastAsia="Times New Roman" w:hAnsi="Times New Roman" w:cs="Times New Roman"/>
      <w:b/>
      <w:szCs w:val="20"/>
      <w:lang w:eastAsia="en-US"/>
    </w:rPr>
  </w:style>
  <w:style w:type="character" w:customStyle="1" w:styleId="Heading5Char">
    <w:name w:val="Heading 5 Char"/>
    <w:link w:val="Heading5"/>
    <w:rsid w:val="001057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5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7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7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7C9"/>
    <w:rPr>
      <w:rFonts w:ascii="Courier New" w:eastAsia="Times New Roman" w:hAnsi="Courier New" w:cs="Times New Roman"/>
      <w:i/>
      <w:szCs w:val="20"/>
      <w:lang w:val="en-US" w:eastAsia="en-US"/>
    </w:rPr>
  </w:style>
  <w:style w:type="paragraph" w:customStyle="1" w:styleId="HeadingBase">
    <w:name w:val="Heading Base"/>
    <w:rsid w:val="00105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7C9"/>
    <w:pPr>
      <w:tabs>
        <w:tab w:val="right" w:leader="dot" w:pos="9072"/>
      </w:tabs>
      <w:ind w:left="567"/>
    </w:pPr>
    <w:rPr>
      <w:szCs w:val="22"/>
    </w:rPr>
  </w:style>
  <w:style w:type="paragraph" w:customStyle="1" w:styleId="TOCBase">
    <w:name w:val="TOC Base"/>
    <w:rsid w:val="00105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7C9"/>
    <w:pPr>
      <w:tabs>
        <w:tab w:val="right" w:leader="dot" w:pos="9072"/>
      </w:tabs>
      <w:spacing w:before="40" w:after="40"/>
      <w:ind w:left="284"/>
    </w:pPr>
    <w:rPr>
      <w:rFonts w:ascii="Times New Roman" w:hAnsi="Times New Roman"/>
    </w:rPr>
  </w:style>
  <w:style w:type="paragraph" w:styleId="TOC1">
    <w:name w:val="toc 1"/>
    <w:basedOn w:val="TOCBase"/>
    <w:next w:val="Normal"/>
    <w:rsid w:val="001057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7C9"/>
    <w:pPr>
      <w:spacing w:before="5040"/>
      <w:jc w:val="center"/>
    </w:pPr>
    <w:rPr>
      <w:sz w:val="48"/>
      <w:szCs w:val="72"/>
      <w:lang w:val="en-US"/>
    </w:rPr>
  </w:style>
  <w:style w:type="character" w:customStyle="1" w:styleId="TitleChar">
    <w:name w:val="Title Char"/>
    <w:link w:val="Title"/>
    <w:rsid w:val="00105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7C9"/>
    <w:pPr>
      <w:tabs>
        <w:tab w:val="left" w:pos="3600"/>
        <w:tab w:val="left" w:pos="3958"/>
      </w:tabs>
    </w:pPr>
  </w:style>
  <w:style w:type="paragraph" w:styleId="List">
    <w:name w:val="List"/>
    <w:basedOn w:val="BodyText"/>
    <w:next w:val="BodyText"/>
    <w:rsid w:val="001057C9"/>
    <w:pPr>
      <w:tabs>
        <w:tab w:val="left" w:pos="340"/>
      </w:tabs>
      <w:spacing w:before="60" w:after="60"/>
      <w:ind w:left="340" w:hanging="340"/>
    </w:pPr>
  </w:style>
  <w:style w:type="paragraph" w:styleId="ListBullet">
    <w:name w:val="List Bullet"/>
    <w:basedOn w:val="List"/>
    <w:rsid w:val="001057C9"/>
    <w:pPr>
      <w:numPr>
        <w:numId w:val="11"/>
      </w:numPr>
      <w:tabs>
        <w:tab w:val="clear" w:pos="340"/>
      </w:tabs>
      <w:spacing w:before="40" w:after="40"/>
    </w:pPr>
  </w:style>
  <w:style w:type="paragraph" w:customStyle="1" w:styleId="Note">
    <w:name w:val="Note"/>
    <w:basedOn w:val="BodyText"/>
    <w:rsid w:val="00105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7C9"/>
    <w:pPr>
      <w:framePr w:wrap="auto" w:hAnchor="text" w:y="6049"/>
    </w:pPr>
    <w:rPr>
      <w:color w:val="000000"/>
      <w:sz w:val="40"/>
    </w:rPr>
  </w:style>
  <w:style w:type="paragraph" w:customStyle="1" w:styleId="TOCTitle">
    <w:name w:val="TOCTitle"/>
    <w:basedOn w:val="Heading1"/>
    <w:rsid w:val="001057C9"/>
    <w:pPr>
      <w:spacing w:after="240"/>
      <w:jc w:val="center"/>
      <w:outlineLvl w:val="9"/>
    </w:pPr>
    <w:rPr>
      <w:caps/>
    </w:rPr>
  </w:style>
  <w:style w:type="paragraph" w:customStyle="1" w:styleId="Version">
    <w:name w:val="Version"/>
    <w:rsid w:val="001057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7C9"/>
    <w:pPr>
      <w:numPr>
        <w:numId w:val="12"/>
      </w:numPr>
      <w:tabs>
        <w:tab w:val="clear" w:pos="680"/>
      </w:tabs>
    </w:pPr>
  </w:style>
  <w:style w:type="paragraph" w:styleId="Index1">
    <w:name w:val="index 1"/>
    <w:basedOn w:val="Normal"/>
    <w:next w:val="Normal"/>
    <w:semiHidden/>
    <w:rsid w:val="001057C9"/>
    <w:pPr>
      <w:keepNext w:val="0"/>
      <w:tabs>
        <w:tab w:val="right" w:pos="4176"/>
      </w:tabs>
      <w:ind w:left="198" w:hanging="198"/>
    </w:pPr>
    <w:rPr>
      <w:rFonts w:ascii="Garamond" w:hAnsi="Garamond"/>
    </w:rPr>
  </w:style>
  <w:style w:type="paragraph" w:styleId="IndexHeading">
    <w:name w:val="index heading"/>
    <w:basedOn w:val="Normal"/>
    <w:next w:val="Index1"/>
    <w:semiHidden/>
    <w:rsid w:val="001057C9"/>
    <w:pPr>
      <w:spacing w:before="120" w:after="120"/>
    </w:pPr>
    <w:rPr>
      <w:rFonts w:ascii="Arial" w:hAnsi="Arial"/>
      <w:b/>
      <w:color w:val="918585"/>
      <w:sz w:val="24"/>
    </w:rPr>
  </w:style>
  <w:style w:type="paragraph" w:styleId="Header">
    <w:name w:val="header"/>
    <w:basedOn w:val="Normal"/>
    <w:link w:val="HeaderChar"/>
    <w:rsid w:val="00105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57C9"/>
    <w:rPr>
      <w:rFonts w:ascii="Times New Roman" w:eastAsia="Times New Roman" w:hAnsi="Times New Roman" w:cs="Times New Roman"/>
      <w:sz w:val="16"/>
      <w:szCs w:val="20"/>
      <w:lang w:val="en-GB" w:eastAsia="en-US"/>
    </w:rPr>
  </w:style>
  <w:style w:type="paragraph" w:customStyle="1" w:styleId="Chapter">
    <w:name w:val="Chapter"/>
    <w:basedOn w:val="Normal"/>
    <w:rsid w:val="001057C9"/>
    <w:pPr>
      <w:spacing w:before="240"/>
    </w:pPr>
    <w:rPr>
      <w:rFonts w:ascii="Times New Roman" w:hAnsi="Times New Roman"/>
      <w:smallCaps/>
      <w:spacing w:val="80"/>
      <w:sz w:val="28"/>
    </w:rPr>
  </w:style>
  <w:style w:type="paragraph" w:customStyle="1" w:styleId="InChapter">
    <w:name w:val="InChapter"/>
    <w:basedOn w:val="Heading3"/>
    <w:rsid w:val="001057C9"/>
    <w:pPr>
      <w:spacing w:after="240"/>
      <w:outlineLvl w:val="9"/>
    </w:pPr>
    <w:rPr>
      <w:noProof/>
    </w:rPr>
  </w:style>
  <w:style w:type="paragraph" w:styleId="Index2">
    <w:name w:val="index 2"/>
    <w:basedOn w:val="Normal"/>
    <w:next w:val="Normal"/>
    <w:semiHidden/>
    <w:rsid w:val="001057C9"/>
    <w:pPr>
      <w:tabs>
        <w:tab w:val="right" w:pos="4176"/>
      </w:tabs>
      <w:ind w:left="568" w:hanging="284"/>
    </w:pPr>
    <w:rPr>
      <w:rFonts w:ascii="Garamond" w:hAnsi="Garamond"/>
    </w:rPr>
  </w:style>
  <w:style w:type="paragraph" w:customStyle="1" w:styleId="Byline">
    <w:name w:val="Byline"/>
    <w:rsid w:val="00105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7C9"/>
    <w:pPr>
      <w:tabs>
        <w:tab w:val="clear" w:pos="3600"/>
        <w:tab w:val="clear" w:pos="3958"/>
      </w:tabs>
      <w:jc w:val="right"/>
    </w:pPr>
  </w:style>
  <w:style w:type="character" w:styleId="Emphasis">
    <w:name w:val="Emphasis"/>
    <w:qFormat/>
    <w:rsid w:val="001057C9"/>
    <w:rPr>
      <w:i/>
    </w:rPr>
  </w:style>
  <w:style w:type="paragraph" w:styleId="Caption">
    <w:name w:val="caption"/>
    <w:basedOn w:val="BodyText"/>
    <w:next w:val="Normal"/>
    <w:qFormat/>
    <w:rsid w:val="001057C9"/>
    <w:pPr>
      <w:framePr w:w="2268" w:hSpace="181" w:vSpace="181" w:wrap="around" w:vAnchor="text" w:hAnchor="page" w:x="1135" w:y="285" w:anchorLock="1"/>
    </w:pPr>
    <w:rPr>
      <w:i/>
    </w:rPr>
  </w:style>
  <w:style w:type="paragraph" w:customStyle="1" w:styleId="MiniTOCTitle">
    <w:name w:val="MiniTOCTitle"/>
    <w:basedOn w:val="Heading4"/>
    <w:rsid w:val="001057C9"/>
    <w:pPr>
      <w:spacing w:before="240"/>
      <w:outlineLvl w:val="9"/>
    </w:pPr>
    <w:rPr>
      <w:noProof/>
      <w:sz w:val="24"/>
    </w:rPr>
  </w:style>
  <w:style w:type="paragraph" w:customStyle="1" w:styleId="MiniTOCItem">
    <w:name w:val="MiniTOCItem"/>
    <w:basedOn w:val="ListBullet"/>
    <w:rsid w:val="001057C9"/>
    <w:pPr>
      <w:numPr>
        <w:numId w:val="0"/>
      </w:numPr>
      <w:tabs>
        <w:tab w:val="right" w:leader="dot" w:pos="6521"/>
      </w:tabs>
      <w:spacing w:before="0" w:after="0"/>
    </w:pPr>
  </w:style>
  <w:style w:type="paragraph" w:customStyle="1" w:styleId="TOFTitle">
    <w:name w:val="TOFTitle"/>
    <w:basedOn w:val="TOCTitle"/>
    <w:rsid w:val="001057C9"/>
  </w:style>
  <w:style w:type="paragraph" w:styleId="TableofFigures">
    <w:name w:val="table of figures"/>
    <w:basedOn w:val="Normal"/>
    <w:next w:val="Normal"/>
    <w:semiHidden/>
    <w:rsid w:val="001057C9"/>
    <w:pPr>
      <w:tabs>
        <w:tab w:val="right" w:leader="dot" w:pos="9072"/>
      </w:tabs>
      <w:ind w:left="970" w:hanging="403"/>
    </w:pPr>
    <w:rPr>
      <w:rFonts w:ascii="Times New Roman" w:hAnsi="Times New Roman"/>
      <w:b/>
    </w:rPr>
  </w:style>
  <w:style w:type="paragraph" w:styleId="ListNumber">
    <w:name w:val="List Number"/>
    <w:basedOn w:val="List"/>
    <w:rsid w:val="001057C9"/>
    <w:pPr>
      <w:numPr>
        <w:numId w:val="9"/>
      </w:numPr>
    </w:pPr>
  </w:style>
  <w:style w:type="character" w:customStyle="1" w:styleId="WingdingSymbols">
    <w:name w:val="Wingding Symbols"/>
    <w:rsid w:val="001057C9"/>
    <w:rPr>
      <w:rFonts w:ascii="Wingdings" w:hAnsi="Wingdings"/>
    </w:rPr>
  </w:style>
  <w:style w:type="paragraph" w:customStyle="1" w:styleId="TableHeading">
    <w:name w:val="Table Heading"/>
    <w:basedOn w:val="HeadingBase"/>
    <w:rsid w:val="001057C9"/>
    <w:pPr>
      <w:keepLines/>
      <w:pBdr>
        <w:bottom w:val="single" w:sz="6" w:space="1" w:color="918585"/>
      </w:pBdr>
      <w:spacing w:before="240"/>
    </w:pPr>
  </w:style>
  <w:style w:type="character" w:customStyle="1" w:styleId="HotSpot">
    <w:name w:val="HotSpot"/>
    <w:rsid w:val="001057C9"/>
    <w:rPr>
      <w:color w:val="0033CC"/>
      <w:u w:val="none"/>
    </w:rPr>
  </w:style>
  <w:style w:type="paragraph" w:customStyle="1" w:styleId="BodyTextRight">
    <w:name w:val="Body Text Right"/>
    <w:basedOn w:val="BodyText"/>
    <w:rsid w:val="001057C9"/>
    <w:pPr>
      <w:spacing w:before="0" w:after="0"/>
      <w:jc w:val="right"/>
    </w:pPr>
  </w:style>
  <w:style w:type="paragraph" w:styleId="Index3">
    <w:name w:val="index 3"/>
    <w:basedOn w:val="ListNumber2"/>
    <w:next w:val="Normal"/>
    <w:semiHidden/>
    <w:rsid w:val="001057C9"/>
    <w:pPr>
      <w:numPr>
        <w:numId w:val="0"/>
      </w:numPr>
      <w:tabs>
        <w:tab w:val="right" w:leader="dot" w:pos="4176"/>
      </w:tabs>
    </w:pPr>
  </w:style>
  <w:style w:type="paragraph" w:styleId="ListNumber2">
    <w:name w:val="List Number 2"/>
    <w:basedOn w:val="List2"/>
    <w:rsid w:val="001057C9"/>
    <w:pPr>
      <w:numPr>
        <w:numId w:val="8"/>
      </w:numPr>
      <w:tabs>
        <w:tab w:val="clear" w:pos="1060"/>
      </w:tabs>
    </w:pPr>
  </w:style>
  <w:style w:type="paragraph" w:customStyle="1" w:styleId="MarginNote">
    <w:name w:val="Margin Note"/>
    <w:basedOn w:val="BodyText"/>
    <w:rsid w:val="00105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57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7C9"/>
    <w:rPr>
      <w:sz w:val="32"/>
    </w:rPr>
  </w:style>
  <w:style w:type="paragraph" w:customStyle="1" w:styleId="HeadingProcedure">
    <w:name w:val="Heading Procedure"/>
    <w:basedOn w:val="HeadingBase"/>
    <w:next w:val="Normal"/>
    <w:rsid w:val="001057C9"/>
    <w:pPr>
      <w:tabs>
        <w:tab w:val="left" w:pos="0"/>
      </w:tabs>
      <w:spacing w:before="120" w:after="60"/>
    </w:pPr>
    <w:rPr>
      <w:i/>
      <w:color w:val="918585"/>
      <w:sz w:val="22"/>
    </w:rPr>
  </w:style>
  <w:style w:type="paragraph" w:customStyle="1" w:styleId="TableBodyText">
    <w:name w:val="Table Body Text"/>
    <w:basedOn w:val="BodyText"/>
    <w:rsid w:val="001057C9"/>
    <w:pPr>
      <w:spacing w:before="60" w:after="60"/>
    </w:pPr>
  </w:style>
  <w:style w:type="paragraph" w:styleId="ListContinue">
    <w:name w:val="List Continue"/>
    <w:basedOn w:val="List"/>
    <w:rsid w:val="001057C9"/>
    <w:pPr>
      <w:ind w:firstLine="0"/>
    </w:pPr>
  </w:style>
  <w:style w:type="paragraph" w:customStyle="1" w:styleId="ListNote">
    <w:name w:val="List Note"/>
    <w:basedOn w:val="List"/>
    <w:rsid w:val="001057C9"/>
    <w:pPr>
      <w:pBdr>
        <w:top w:val="single" w:sz="6" w:space="2" w:color="918585"/>
        <w:bottom w:val="single" w:sz="6" w:space="2" w:color="918585"/>
      </w:pBdr>
      <w:tabs>
        <w:tab w:val="left" w:pos="1021"/>
      </w:tabs>
      <w:ind w:firstLine="0"/>
    </w:pPr>
  </w:style>
  <w:style w:type="paragraph" w:customStyle="1" w:styleId="Warning">
    <w:name w:val="Warning"/>
    <w:basedOn w:val="BodyText"/>
    <w:rsid w:val="001057C9"/>
    <w:pPr>
      <w:shd w:val="clear" w:color="auto" w:fill="D9D9D9"/>
      <w:tabs>
        <w:tab w:val="left" w:pos="992"/>
      </w:tabs>
      <w:ind w:left="119" w:right="119"/>
    </w:pPr>
    <w:rPr>
      <w:sz w:val="20"/>
    </w:rPr>
  </w:style>
  <w:style w:type="paragraph" w:customStyle="1" w:styleId="MarginIcons">
    <w:name w:val="Margin Icons"/>
    <w:basedOn w:val="BodyText"/>
    <w:rsid w:val="001057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57C9"/>
    <w:rPr>
      <w:rFonts w:ascii="Courier New" w:hAnsi="Courier New"/>
    </w:rPr>
  </w:style>
  <w:style w:type="paragraph" w:customStyle="1" w:styleId="NoteBullet">
    <w:name w:val="Note Bullet"/>
    <w:basedOn w:val="Note"/>
    <w:rsid w:val="001057C9"/>
    <w:pPr>
      <w:tabs>
        <w:tab w:val="clear" w:pos="680"/>
      </w:tabs>
      <w:spacing w:before="60" w:after="60"/>
    </w:pPr>
  </w:style>
  <w:style w:type="paragraph" w:customStyle="1" w:styleId="SubHeading2">
    <w:name w:val="SubHeading2"/>
    <w:basedOn w:val="HeadingBase"/>
    <w:rsid w:val="001057C9"/>
    <w:pPr>
      <w:spacing w:before="240" w:after="60"/>
    </w:pPr>
    <w:rPr>
      <w:sz w:val="20"/>
    </w:rPr>
  </w:style>
  <w:style w:type="paragraph" w:customStyle="1" w:styleId="SubHeading1">
    <w:name w:val="SubHeading1"/>
    <w:basedOn w:val="HeadingBase"/>
    <w:rsid w:val="001057C9"/>
    <w:pPr>
      <w:spacing w:before="240" w:after="60"/>
    </w:pPr>
    <w:rPr>
      <w:color w:val="918585"/>
      <w:sz w:val="22"/>
    </w:rPr>
  </w:style>
  <w:style w:type="paragraph" w:customStyle="1" w:styleId="SideHeading">
    <w:name w:val="Side Heading"/>
    <w:basedOn w:val="HeadingBase"/>
    <w:rsid w:val="00105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7C9"/>
    <w:pPr>
      <w:numPr>
        <w:numId w:val="10"/>
      </w:numPr>
    </w:pPr>
  </w:style>
  <w:style w:type="paragraph" w:styleId="PlainText">
    <w:name w:val="Plain Text"/>
    <w:basedOn w:val="Normal"/>
    <w:link w:val="PlainTextChar"/>
    <w:rsid w:val="001057C9"/>
    <w:rPr>
      <w:sz w:val="20"/>
    </w:rPr>
  </w:style>
  <w:style w:type="character" w:customStyle="1" w:styleId="PlainTextChar">
    <w:name w:val="Plain Text Char"/>
    <w:basedOn w:val="DefaultParagraphFont"/>
    <w:link w:val="PlainText"/>
    <w:rsid w:val="001057C9"/>
    <w:rPr>
      <w:rFonts w:ascii="Courier New" w:eastAsia="Times New Roman" w:hAnsi="Courier New" w:cs="Times New Roman"/>
      <w:sz w:val="20"/>
      <w:szCs w:val="20"/>
      <w:lang w:val="en-US" w:eastAsia="en-US"/>
    </w:rPr>
  </w:style>
  <w:style w:type="character" w:customStyle="1" w:styleId="MenuOption">
    <w:name w:val="Menu Option"/>
    <w:rsid w:val="001057C9"/>
    <w:rPr>
      <w:b/>
      <w:smallCaps/>
    </w:rPr>
  </w:style>
  <w:style w:type="paragraph" w:customStyle="1" w:styleId="TableListNumber">
    <w:name w:val="Table List Number"/>
    <w:basedOn w:val="ListNumber"/>
    <w:rsid w:val="001057C9"/>
    <w:pPr>
      <w:numPr>
        <w:numId w:val="0"/>
      </w:numPr>
    </w:pPr>
  </w:style>
  <w:style w:type="paragraph" w:styleId="TOC4">
    <w:name w:val="toc 4"/>
    <w:basedOn w:val="TOCBase"/>
    <w:next w:val="Normal"/>
    <w:semiHidden/>
    <w:rsid w:val="001057C9"/>
    <w:pPr>
      <w:tabs>
        <w:tab w:val="right" w:leader="dot" w:pos="9071"/>
      </w:tabs>
      <w:ind w:left="1701"/>
    </w:pPr>
  </w:style>
  <w:style w:type="paragraph" w:customStyle="1" w:styleId="ListAlpha">
    <w:name w:val="List Alpha"/>
    <w:basedOn w:val="List"/>
    <w:rsid w:val="001057C9"/>
    <w:pPr>
      <w:numPr>
        <w:numId w:val="7"/>
      </w:numPr>
    </w:pPr>
  </w:style>
  <w:style w:type="paragraph" w:customStyle="1" w:styleId="ListAlpha2">
    <w:name w:val="List Alpha 2"/>
    <w:basedOn w:val="List2"/>
    <w:rsid w:val="001057C9"/>
    <w:pPr>
      <w:numPr>
        <w:numId w:val="6"/>
      </w:numPr>
    </w:pPr>
  </w:style>
  <w:style w:type="paragraph" w:styleId="List2">
    <w:name w:val="List 2"/>
    <w:basedOn w:val="BodyText"/>
    <w:rsid w:val="001057C9"/>
    <w:pPr>
      <w:tabs>
        <w:tab w:val="left" w:pos="680"/>
      </w:tabs>
      <w:spacing w:before="60" w:after="60"/>
      <w:ind w:left="680" w:hanging="340"/>
    </w:pPr>
  </w:style>
  <w:style w:type="paragraph" w:styleId="List3">
    <w:name w:val="List 3"/>
    <w:basedOn w:val="BodyText"/>
    <w:rsid w:val="001057C9"/>
    <w:pPr>
      <w:tabs>
        <w:tab w:val="left" w:pos="1021"/>
      </w:tabs>
      <w:spacing w:before="60" w:after="60"/>
      <w:ind w:left="1020" w:hanging="340"/>
    </w:pPr>
  </w:style>
  <w:style w:type="paragraph" w:styleId="List4">
    <w:name w:val="List 4"/>
    <w:basedOn w:val="BodyText"/>
    <w:rsid w:val="001057C9"/>
    <w:pPr>
      <w:tabs>
        <w:tab w:val="left" w:pos="1361"/>
      </w:tabs>
      <w:spacing w:before="60" w:after="60"/>
      <w:ind w:left="1361" w:hanging="340"/>
    </w:pPr>
  </w:style>
  <w:style w:type="paragraph" w:styleId="List5">
    <w:name w:val="List 5"/>
    <w:basedOn w:val="BodyText"/>
    <w:rsid w:val="001057C9"/>
    <w:pPr>
      <w:tabs>
        <w:tab w:val="left" w:pos="1701"/>
      </w:tabs>
      <w:spacing w:before="60" w:after="60"/>
      <w:ind w:left="1701" w:hanging="340"/>
    </w:pPr>
  </w:style>
  <w:style w:type="paragraph" w:styleId="ListBullet3">
    <w:name w:val="List Bullet 3"/>
    <w:basedOn w:val="List3"/>
    <w:rsid w:val="001057C9"/>
    <w:pPr>
      <w:numPr>
        <w:numId w:val="13"/>
      </w:numPr>
      <w:tabs>
        <w:tab w:val="clear" w:pos="1021"/>
      </w:tabs>
      <w:ind w:left="1037" w:hanging="357"/>
    </w:pPr>
  </w:style>
  <w:style w:type="paragraph" w:styleId="ListBullet4">
    <w:name w:val="List Bullet 4"/>
    <w:basedOn w:val="List4"/>
    <w:rsid w:val="001057C9"/>
    <w:pPr>
      <w:numPr>
        <w:numId w:val="1"/>
      </w:numPr>
    </w:pPr>
  </w:style>
  <w:style w:type="paragraph" w:styleId="ListBullet5">
    <w:name w:val="List Bullet 5"/>
    <w:basedOn w:val="List5"/>
    <w:rsid w:val="001057C9"/>
    <w:pPr>
      <w:numPr>
        <w:numId w:val="2"/>
      </w:numPr>
    </w:pPr>
  </w:style>
  <w:style w:type="paragraph" w:styleId="ListContinue2">
    <w:name w:val="List Continue 2"/>
    <w:basedOn w:val="List2"/>
    <w:rsid w:val="001057C9"/>
    <w:pPr>
      <w:ind w:firstLine="0"/>
    </w:pPr>
  </w:style>
  <w:style w:type="paragraph" w:styleId="ListContinue3">
    <w:name w:val="List Continue 3"/>
    <w:basedOn w:val="List3"/>
    <w:rsid w:val="001057C9"/>
    <w:pPr>
      <w:ind w:left="1021" w:firstLine="0"/>
    </w:pPr>
  </w:style>
  <w:style w:type="paragraph" w:styleId="ListContinue4">
    <w:name w:val="List Continue 4"/>
    <w:basedOn w:val="List4"/>
    <w:rsid w:val="001057C9"/>
    <w:pPr>
      <w:ind w:firstLine="0"/>
    </w:pPr>
  </w:style>
  <w:style w:type="paragraph" w:styleId="ListContinue5">
    <w:name w:val="List Continue 5"/>
    <w:basedOn w:val="List5"/>
    <w:rsid w:val="001057C9"/>
    <w:pPr>
      <w:ind w:firstLine="0"/>
    </w:pPr>
  </w:style>
  <w:style w:type="paragraph" w:styleId="ListNumber3">
    <w:name w:val="List Number 3"/>
    <w:basedOn w:val="List3"/>
    <w:rsid w:val="001057C9"/>
    <w:pPr>
      <w:numPr>
        <w:numId w:val="3"/>
      </w:numPr>
    </w:pPr>
  </w:style>
  <w:style w:type="paragraph" w:styleId="ListNumber4">
    <w:name w:val="List Number 4"/>
    <w:basedOn w:val="List4"/>
    <w:rsid w:val="001057C9"/>
    <w:pPr>
      <w:numPr>
        <w:numId w:val="4"/>
      </w:numPr>
    </w:pPr>
  </w:style>
  <w:style w:type="paragraph" w:styleId="ListNumber5">
    <w:name w:val="List Number 5"/>
    <w:basedOn w:val="List5"/>
    <w:rsid w:val="001057C9"/>
    <w:pPr>
      <w:numPr>
        <w:numId w:val="5"/>
      </w:numPr>
    </w:pPr>
  </w:style>
  <w:style w:type="paragraph" w:styleId="BlockText">
    <w:name w:val="Block Text"/>
    <w:basedOn w:val="Normal"/>
    <w:rsid w:val="001057C9"/>
    <w:pPr>
      <w:spacing w:after="120"/>
      <w:ind w:left="1440" w:right="1440"/>
    </w:pPr>
  </w:style>
  <w:style w:type="character" w:customStyle="1" w:styleId="Subscript">
    <w:name w:val="Subscript"/>
    <w:rsid w:val="001057C9"/>
    <w:rPr>
      <w:sz w:val="16"/>
      <w:vertAlign w:val="subscript"/>
    </w:rPr>
  </w:style>
  <w:style w:type="character" w:customStyle="1" w:styleId="Superscript">
    <w:name w:val="Superscript"/>
    <w:rsid w:val="001057C9"/>
    <w:rPr>
      <w:sz w:val="16"/>
      <w:vertAlign w:val="superscript"/>
    </w:rPr>
  </w:style>
  <w:style w:type="character" w:customStyle="1" w:styleId="Symbols">
    <w:name w:val="Symbols"/>
    <w:rsid w:val="001057C9"/>
    <w:rPr>
      <w:rFonts w:ascii="Symbol" w:hAnsi="Symbol"/>
    </w:rPr>
  </w:style>
  <w:style w:type="character" w:customStyle="1" w:styleId="MenuOptions">
    <w:name w:val="Menu Options"/>
    <w:rsid w:val="001057C9"/>
    <w:rPr>
      <w:rFonts w:ascii="Arial Narrow" w:hAnsi="Arial Narrow"/>
      <w:smallCaps/>
    </w:rPr>
  </w:style>
  <w:style w:type="character" w:customStyle="1" w:styleId="Buttons">
    <w:name w:val="Buttons"/>
    <w:rsid w:val="001057C9"/>
    <w:rPr>
      <w:b/>
    </w:rPr>
  </w:style>
  <w:style w:type="character" w:customStyle="1" w:styleId="Underlined">
    <w:name w:val="Underlined"/>
    <w:rsid w:val="001057C9"/>
    <w:rPr>
      <w:u w:val="single"/>
    </w:rPr>
  </w:style>
  <w:style w:type="paragraph" w:customStyle="1" w:styleId="TableBodyTextRight">
    <w:name w:val="Table Body Text Right"/>
    <w:basedOn w:val="TableBodyText"/>
    <w:rsid w:val="001057C9"/>
    <w:pPr>
      <w:widowControl w:val="0"/>
      <w:autoSpaceDE w:val="0"/>
      <w:autoSpaceDN w:val="0"/>
      <w:adjustRightInd w:val="0"/>
      <w:jc w:val="right"/>
    </w:pPr>
    <w:rPr>
      <w:rFonts w:cs="Arial"/>
      <w:szCs w:val="18"/>
    </w:rPr>
  </w:style>
  <w:style w:type="paragraph" w:customStyle="1" w:styleId="CopyrightText">
    <w:name w:val="Copyright Text"/>
    <w:basedOn w:val="BodyText"/>
    <w:rsid w:val="001057C9"/>
    <w:rPr>
      <w:sz w:val="18"/>
    </w:rPr>
  </w:style>
  <w:style w:type="paragraph" w:customStyle="1" w:styleId="BodySmallRight">
    <w:name w:val="Body Small Right"/>
    <w:basedOn w:val="BodyTextRight"/>
    <w:rsid w:val="001057C9"/>
    <w:rPr>
      <w:sz w:val="18"/>
      <w:szCs w:val="18"/>
    </w:rPr>
  </w:style>
  <w:style w:type="paragraph" w:customStyle="1" w:styleId="MarginEdition">
    <w:name w:val="Margin Edition"/>
    <w:basedOn w:val="MarginNote"/>
    <w:rsid w:val="001057C9"/>
    <w:pPr>
      <w:spacing w:before="0" w:after="0"/>
    </w:pPr>
    <w:rPr>
      <w:rFonts w:ascii="Times New Roman" w:hAnsi="Times New Roman"/>
      <w:color w:val="999999"/>
    </w:rPr>
  </w:style>
  <w:style w:type="paragraph" w:customStyle="1" w:styleId="Spacer">
    <w:name w:val="Spacer"/>
    <w:basedOn w:val="Normal"/>
    <w:rsid w:val="001057C9"/>
    <w:rPr>
      <w:sz w:val="2"/>
      <w:szCs w:val="2"/>
    </w:rPr>
  </w:style>
  <w:style w:type="character" w:customStyle="1" w:styleId="Small">
    <w:name w:val="Small"/>
    <w:rsid w:val="001057C9"/>
    <w:rPr>
      <w:sz w:val="16"/>
    </w:rPr>
  </w:style>
  <w:style w:type="paragraph" w:customStyle="1" w:styleId="WideTable">
    <w:name w:val="Wide Table"/>
    <w:basedOn w:val="Normal"/>
    <w:rsid w:val="001057C9"/>
    <w:pPr>
      <w:ind w:left="-1418"/>
    </w:pPr>
    <w:rPr>
      <w:sz w:val="2"/>
      <w:szCs w:val="2"/>
    </w:rPr>
  </w:style>
  <w:style w:type="character" w:styleId="PageNumber">
    <w:name w:val="page number"/>
    <w:rsid w:val="001057C9"/>
  </w:style>
  <w:style w:type="paragraph" w:styleId="Quote">
    <w:name w:val="Quote"/>
    <w:basedOn w:val="Heading1"/>
    <w:link w:val="QuoteChar"/>
    <w:qFormat/>
    <w:rsid w:val="001057C9"/>
    <w:rPr>
      <w:b w:val="0"/>
      <w:sz w:val="72"/>
      <w:szCs w:val="72"/>
      <w:lang w:val="en-NZ"/>
    </w:rPr>
  </w:style>
  <w:style w:type="character" w:customStyle="1" w:styleId="QuoteChar">
    <w:name w:val="Quote Char"/>
    <w:link w:val="Quote"/>
    <w:rsid w:val="00105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7C9"/>
    <w:pPr>
      <w:pageBreakBefore/>
    </w:pPr>
  </w:style>
  <w:style w:type="paragraph" w:customStyle="1" w:styleId="Border">
    <w:name w:val="Border"/>
    <w:basedOn w:val="Normal"/>
    <w:qFormat/>
    <w:rsid w:val="001057C9"/>
    <w:pPr>
      <w:pBdr>
        <w:top w:val="single" w:sz="18" w:space="1" w:color="auto"/>
      </w:pBdr>
    </w:pPr>
    <w:rPr>
      <w:rFonts w:ascii="Times New Roman" w:hAnsi="Times New Roman"/>
      <w:color w:val="FFFFFF"/>
      <w:sz w:val="2"/>
    </w:rPr>
  </w:style>
  <w:style w:type="character" w:styleId="IntenseEmphasis">
    <w:name w:val="Intense Emphasis"/>
    <w:uiPriority w:val="21"/>
    <w:qFormat/>
    <w:rsid w:val="001057C9"/>
    <w:rPr>
      <w:b/>
      <w:bCs/>
      <w:i/>
      <w:iCs/>
      <w:color w:val="auto"/>
    </w:rPr>
  </w:style>
  <w:style w:type="paragraph" w:styleId="IntenseQuote">
    <w:name w:val="Intense Quote"/>
    <w:basedOn w:val="Normal"/>
    <w:next w:val="Normal"/>
    <w:link w:val="IntenseQuoteChar"/>
    <w:uiPriority w:val="30"/>
    <w:qFormat/>
    <w:rsid w:val="001057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57C9"/>
    <w:rPr>
      <w:rFonts w:ascii="Courier New" w:eastAsia="Times New Roman" w:hAnsi="Courier New" w:cs="Times New Roman"/>
      <w:b/>
      <w:bCs/>
      <w:i/>
      <w:iCs/>
      <w:szCs w:val="20"/>
      <w:lang w:val="en-US" w:eastAsia="en-US"/>
    </w:rPr>
  </w:style>
  <w:style w:type="character" w:styleId="SubtleReference">
    <w:name w:val="Subtle Reference"/>
    <w:uiPriority w:val="31"/>
    <w:qFormat/>
    <w:rsid w:val="001057C9"/>
    <w:rPr>
      <w:smallCaps/>
      <w:color w:val="auto"/>
      <w:u w:val="single"/>
    </w:rPr>
  </w:style>
  <w:style w:type="character" w:styleId="IntenseReference">
    <w:name w:val="Intense Reference"/>
    <w:uiPriority w:val="32"/>
    <w:qFormat/>
    <w:rsid w:val="001057C9"/>
    <w:rPr>
      <w:b/>
      <w:bCs/>
      <w:smallCaps/>
      <w:color w:val="auto"/>
      <w:spacing w:val="5"/>
      <w:u w:val="single"/>
    </w:rPr>
  </w:style>
  <w:style w:type="paragraph" w:customStyle="1" w:styleId="2ColumnHeading">
    <w:name w:val="2Column Heading"/>
    <w:basedOn w:val="BodyText"/>
    <w:qFormat/>
    <w:rsid w:val="001057C9"/>
    <w:pPr>
      <w:spacing w:after="60"/>
      <w:ind w:left="-2268"/>
    </w:pPr>
    <w:rPr>
      <w:b/>
    </w:rPr>
  </w:style>
  <w:style w:type="paragraph" w:customStyle="1" w:styleId="Heading1TOC">
    <w:name w:val="Heading1 TOC"/>
    <w:basedOn w:val="Normal"/>
    <w:qFormat/>
    <w:rsid w:val="001057C9"/>
    <w:pPr>
      <w:spacing w:before="240" w:after="120"/>
    </w:pPr>
    <w:rPr>
      <w:rFonts w:ascii="Times New Roman" w:hAnsi="Times New Roman"/>
      <w:b/>
      <w:sz w:val="32"/>
    </w:rPr>
  </w:style>
  <w:style w:type="paragraph" w:customStyle="1" w:styleId="Heading2TOC">
    <w:name w:val="Heading2 TOC"/>
    <w:basedOn w:val="Normal"/>
    <w:qFormat/>
    <w:rsid w:val="001057C9"/>
    <w:pPr>
      <w:spacing w:before="240" w:after="60"/>
    </w:pPr>
    <w:rPr>
      <w:rFonts w:ascii="Times New Roman" w:hAnsi="Times New Roman"/>
      <w:b/>
      <w:sz w:val="28"/>
    </w:rPr>
  </w:style>
  <w:style w:type="character" w:customStyle="1" w:styleId="Underline">
    <w:name w:val="Underline"/>
    <w:qFormat/>
    <w:rsid w:val="001057C9"/>
    <w:rPr>
      <w:u w:val="single"/>
    </w:rPr>
  </w:style>
  <w:style w:type="character" w:customStyle="1" w:styleId="BoldandItalics">
    <w:name w:val="Bold and Italics"/>
    <w:qFormat/>
    <w:rsid w:val="001057C9"/>
    <w:rPr>
      <w:b/>
      <w:i/>
      <w:u w:val="none"/>
    </w:rPr>
  </w:style>
  <w:style w:type="paragraph" w:styleId="BalloonText">
    <w:name w:val="Balloon Text"/>
    <w:basedOn w:val="Normal"/>
    <w:link w:val="BalloonTextChar"/>
    <w:rsid w:val="001057C9"/>
    <w:rPr>
      <w:rFonts w:ascii="Tahoma" w:hAnsi="Tahoma" w:cs="Tahoma"/>
      <w:sz w:val="16"/>
      <w:szCs w:val="16"/>
    </w:rPr>
  </w:style>
  <w:style w:type="character" w:customStyle="1" w:styleId="BalloonTextChar">
    <w:name w:val="Balloon Text Char"/>
    <w:link w:val="BalloonText"/>
    <w:rsid w:val="001057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7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57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991</Words>
  <Characters>6081</Characters>
  <Application>Microsoft Office Word</Application>
  <DocSecurity>0</DocSecurity>
  <Lines>222</Lines>
  <Paragraphs>93</Paragraphs>
  <ScaleCrop>false</ScaleCrop>
  <Company>Author-it Software Corporation Ltd.</Company>
  <LinksUpToDate>false</LinksUpToDate>
  <CharactersWithSpaces>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MEM12006B Mark off/out (general engineering)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