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56A1" w:rsidP="00F256A1">
      <w:pPr>
        <w:pStyle w:val="Title"/>
      </w:pPr>
      <w:r>
        <w:fldChar w:fldCharType="begin"/>
      </w:r>
      <w:r>
        <w:instrText xml:space="preserve"> TITLE   \* MERGEFORMAT </w:instrText>
      </w:r>
      <w:r>
        <w:fldChar w:fldCharType="separate"/>
      </w:r>
      <w:r>
        <w:t>MEM07008C Perform grinding operations</w:t>
      </w:r>
      <w:r>
        <w:fldChar w:fldCharType="end"/>
      </w:r>
    </w:p>
    <w:p w:rsidR="00F256A1" w:rsidP="00F256A1">
      <w:pPr>
        <w:pStyle w:val="Version"/>
        <w:sectPr w:rsidSect="001406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0666" w:rsidP="00140666">
      <w:pPr>
        <w:pStyle w:val="SuperHeading"/>
      </w:pPr>
      <w:r w:rsidRPr="00140666">
        <w:t>MEM07008C Perform grinding operations</w:t>
      </w:r>
    </w:p>
    <w:p w:rsidR="00000000" w:rsidRPr="00140666" w:rsidP="00140666">
      <w:pPr>
        <w:pStyle w:val="Heading1"/>
      </w:pPr>
      <w:bookmarkStart w:id="1" w:name="O_311693"/>
      <w:bookmarkEnd w:id="1"/>
      <w:r w:rsidRPr="00140666">
        <w:t>Modification History</w:t>
      </w:r>
    </w:p>
    <w:p w:rsidR="00000000" w:rsidRPr="00140666" w:rsidP="00140666">
      <w:pPr>
        <w:pStyle w:val="BodyText"/>
      </w:pPr>
      <w:r w:rsidRPr="00140666">
        <w:t>There are no notes for this unit.</w:t>
      </w:r>
    </w:p>
    <w:p w:rsidR="00000000" w:rsidRPr="00140666" w:rsidP="00140666">
      <w:pPr>
        <w:pStyle w:val="AllowPageBreak"/>
      </w:pPr>
    </w:p>
    <w:p w:rsidR="00000000" w:rsidRPr="00140666" w:rsidP="00140666">
      <w:pPr>
        <w:pStyle w:val="Heading1"/>
      </w:pPr>
      <w:bookmarkStart w:id="2" w:name="O_311692"/>
      <w:bookmarkEnd w:id="2"/>
      <w:r w:rsidRPr="00140666">
        <w:t>Unit Descriptor</w:t>
      </w:r>
    </w:p>
    <w:p w:rsidR="00000000" w:rsidRPr="00140666" w:rsidP="00140666">
      <w:pPr>
        <w:pStyle w:val="BodyText"/>
      </w:pPr>
      <w:r w:rsidRPr="00140666">
        <w:t>This unit covers determining the job requirements, observing safety precautions, selecting appro</w:t>
      </w:r>
      <w:r w:rsidRPr="00140666">
        <w:t>priate wheels and accessories, performing the grinding operations and checking the components for conformance to specifications.</w:t>
      </w:r>
    </w:p>
    <w:p w:rsidR="00000000" w:rsidRPr="00140666" w:rsidP="00140666">
      <w:pPr>
        <w:pStyle w:val="AllowPageBreak"/>
      </w:pPr>
    </w:p>
    <w:p w:rsidR="00000000" w:rsidRPr="00140666" w:rsidP="00140666">
      <w:pPr>
        <w:pStyle w:val="Heading1"/>
      </w:pPr>
      <w:bookmarkStart w:id="3" w:name="O_311691"/>
      <w:bookmarkEnd w:id="3"/>
      <w:r w:rsidRPr="00140666">
        <w:t>Application of the Unit</w:t>
      </w:r>
    </w:p>
    <w:p w:rsidR="00000000" w:rsidRPr="00140666" w:rsidP="00140666">
      <w:pPr>
        <w:pStyle w:val="BodyText"/>
      </w:pPr>
      <w:r w:rsidRPr="00140666">
        <w:t>This unit applies to grinding operations performed on surface, cylindrical and centrel</w:t>
      </w:r>
      <w:r w:rsidRPr="00140666">
        <w:t xml:space="preserve">ess grinding machines. It requires use of measuring equipment and standard engineering materials and tooling. </w:t>
      </w:r>
    </w:p>
    <w:p w:rsidR="00000000" w:rsidRPr="00140666" w:rsidP="00140666">
      <w:pPr>
        <w:pStyle w:val="BodyText"/>
      </w:pPr>
      <w:r w:rsidRPr="00140666">
        <w:t>Work is performed to established processes, practices and to drawings or sketches, specifications and instructions as appropriate.</w:t>
      </w:r>
    </w:p>
    <w:p w:rsidR="00000000" w:rsidRPr="00140666" w:rsidP="00140666">
      <w:pPr>
        <w:pStyle w:val="BodyText"/>
      </w:pPr>
      <w:r w:rsidRPr="00140666">
        <w:t>Work is carrie</w:t>
      </w:r>
      <w:r w:rsidRPr="00140666">
        <w:t>d out autonomously to predetermined standards of quality and safety.</w:t>
      </w:r>
    </w:p>
    <w:p w:rsidR="00000000" w:rsidRPr="00140666" w:rsidP="00140666">
      <w:pPr>
        <w:pStyle w:val="AllowPageBreak"/>
      </w:pPr>
    </w:p>
    <w:p w:rsidR="00000000" w:rsidRPr="00140666" w:rsidP="00140666">
      <w:pPr>
        <w:pStyle w:val="Heading1"/>
      </w:pPr>
      <w:bookmarkStart w:id="4" w:name="O_311690"/>
      <w:bookmarkEnd w:id="4"/>
      <w:r w:rsidRPr="00140666">
        <w:t>Licensing/Regulatory Information</w:t>
      </w:r>
    </w:p>
    <w:p w:rsidR="00000000" w:rsidRPr="00140666" w:rsidP="00140666">
      <w:pPr>
        <w:pStyle w:val="Heading1"/>
      </w:pPr>
      <w:bookmarkStart w:id="5" w:name="O_311689"/>
      <w:bookmarkEnd w:id="5"/>
      <w:r w:rsidRPr="00140666">
        <w:t>Pre-Requisites</w:t>
      </w:r>
    </w:p>
    <w:tbl>
      <w:tblPr>
        <w:tblW w:w="0" w:type="auto"/>
        <w:tblLayout w:type="fixed"/>
        <w:tblCellMar>
          <w:left w:w="62" w:type="dxa"/>
          <w:right w:w="62" w:type="dxa"/>
        </w:tblCellMar>
        <w:tblLook w:val="0000"/>
      </w:tblPr>
      <w:tblGrid>
        <w:gridCol w:w="4500"/>
        <w:gridCol w:w="4500"/>
      </w:tblGrid>
      <w:tr w:rsidTr="00F256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p>
        </w:tc>
      </w:tr>
      <w:tr w:rsidTr="00F256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Path 1</w:t>
            </w:r>
          </w:p>
        </w:tc>
        <w:tc>
          <w:tcPr>
            <w:tcW w:w="4500" w:type="dxa"/>
            <w:tcBorders>
              <w:top w:val="nil"/>
              <w:left w:val="nil"/>
              <w:bottom w:val="nil"/>
              <w:right w:val="nil"/>
            </w:tcBorders>
            <w:tcMar>
              <w:top w:w="0" w:type="dxa"/>
              <w:left w:w="62" w:type="dxa"/>
              <w:bottom w:w="0" w:type="dxa"/>
              <w:right w:w="62" w:type="dxa"/>
            </w:tcMar>
          </w:tcPr>
          <w:p w:rsidR="00000000" w:rsidRPr="00140666" w:rsidP="00140666">
            <w:pPr>
              <w:pStyle w:val="BodyText"/>
            </w:pPr>
            <w:r w:rsidRPr="00140666">
              <w:t>MEM07005B Perform general machining</w:t>
            </w:r>
          </w:p>
          <w:p w:rsidR="00000000" w:rsidRPr="00140666" w:rsidP="00140666">
            <w:pPr>
              <w:pStyle w:val="BodyText"/>
            </w:pPr>
            <w:r w:rsidRPr="00140666">
              <w:t>MEM09002B Interpret technical drawing</w:t>
            </w:r>
          </w:p>
          <w:p w:rsidR="00000000" w:rsidRPr="00140666" w:rsidP="00140666">
            <w:pPr>
              <w:pStyle w:val="BodyText"/>
            </w:pPr>
            <w:r w:rsidRPr="00140666">
              <w:t>MEM12023A Perform engineering measurements</w:t>
            </w:r>
          </w:p>
          <w:p w:rsidR="00000000" w:rsidRPr="00140666" w:rsidP="00140666">
            <w:pPr>
              <w:pStyle w:val="BodyText"/>
            </w:pPr>
            <w:r w:rsidRPr="00140666">
              <w:t>MEM18001C Use hand tools</w:t>
            </w:r>
          </w:p>
        </w:tc>
      </w:tr>
    </w:tbl>
    <w:p w:rsidR="00000000" w:rsidRPr="00140666" w:rsidP="00140666">
      <w:pPr>
        <w:pStyle w:val="BodyText"/>
      </w:pPr>
    </w:p>
    <w:p w:rsidR="00000000" w:rsidRPr="00140666" w:rsidP="00140666">
      <w:pPr>
        <w:pStyle w:val="AllowPageBreak"/>
      </w:pPr>
    </w:p>
    <w:p w:rsidR="00000000" w:rsidRPr="00140666" w:rsidP="00140666">
      <w:pPr>
        <w:pStyle w:val="Heading1"/>
      </w:pPr>
      <w:bookmarkStart w:id="6" w:name="O_311688"/>
      <w:bookmarkEnd w:id="6"/>
      <w:r w:rsidRPr="00140666">
        <w:t>Employability Skills Information</w:t>
      </w:r>
    </w:p>
    <w:p w:rsidR="00000000" w:rsidRPr="00140666" w:rsidP="00140666">
      <w:pPr>
        <w:pStyle w:val="Heading1"/>
      </w:pPr>
      <w:bookmarkStart w:id="7" w:name="O_311680"/>
      <w:bookmarkEnd w:id="7"/>
      <w:r w:rsidRPr="00140666">
        <w:t>Elements and Performance Criteria Pre-Content</w:t>
      </w:r>
    </w:p>
    <w:p w:rsidR="00000000" w:rsidRPr="00140666" w:rsidP="00140666">
      <w:pPr>
        <w:pStyle w:val="BodyText"/>
      </w:pPr>
      <w:r w:rsidRPr="00140666">
        <w:t>Elements are the essential outcomes of the unit of competency.</w:t>
      </w:r>
    </w:p>
    <w:p w:rsidR="00000000" w:rsidRPr="00140666" w:rsidP="00140666">
      <w:pPr>
        <w:pStyle w:val="BodyText"/>
      </w:pPr>
      <w:r w:rsidRPr="00140666">
        <w:t>Together, p</w:t>
      </w:r>
      <w:r w:rsidRPr="00140666">
        <w:t>erformance criteria specify the requirements for competent performance. Text in italics is explained in the range statement following.</w:t>
      </w:r>
    </w:p>
    <w:p w:rsidR="00000000" w:rsidRPr="00140666" w:rsidP="00140666">
      <w:pPr>
        <w:pStyle w:val="AllowPageBreak"/>
      </w:pPr>
    </w:p>
    <w:p w:rsidR="00000000" w:rsidRPr="00140666" w:rsidP="00140666">
      <w:pPr>
        <w:pStyle w:val="Heading1"/>
      </w:pPr>
      <w:bookmarkStart w:id="8" w:name="O_311695"/>
      <w:bookmarkEnd w:id="8"/>
      <w:r w:rsidRPr="0014066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256A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rPr>
                <w:rStyle w:val="SpecialBold"/>
              </w:rPr>
              <w:t>Elements and Performance Criteria</w:t>
            </w:r>
          </w:p>
        </w:tc>
      </w:tr>
      <w:tr w:rsidTr="00F256A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40666" w:rsidP="00140666">
            <w:pPr>
              <w:pStyle w:val="BodyText"/>
            </w:pPr>
            <w:r w:rsidRPr="0014066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rPr>
                <w:rStyle w:val="SpecialBold"/>
              </w:rPr>
              <w:t>Performance Criteria</w:t>
            </w:r>
          </w:p>
        </w:tc>
      </w:tr>
      <w:tr w:rsidTr="00F256A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1</w:t>
            </w:r>
          </w:p>
        </w:tc>
        <w:tc>
          <w:tcPr>
            <w:tcW w:w="3000" w:type="dxa"/>
            <w:vMerge w:val="restart"/>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Determine job requirements</w:t>
            </w:r>
          </w:p>
        </w:tc>
        <w:tc>
          <w:tcPr>
            <w:tcW w:w="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1.1</w:t>
            </w:r>
          </w:p>
        </w:tc>
        <w:tc>
          <w:tcPr>
            <w:tcW w:w="51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Job requirements are determined from </w:t>
            </w:r>
            <w:r w:rsidRPr="00140666">
              <w:rPr>
                <w:rStyle w:val="SpecialBold"/>
              </w:rPr>
              <w:t>specifications</w:t>
            </w:r>
            <w:r w:rsidRPr="00140666">
              <w:t>, and sequence of operations is determined.</w:t>
            </w:r>
          </w:p>
        </w:tc>
      </w:tr>
      <w:tr w:rsidTr="00F256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1.2</w:t>
            </w:r>
          </w:p>
        </w:tc>
        <w:tc>
          <w:tcPr>
            <w:tcW w:w="51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Correct and appropriate </w:t>
            </w:r>
            <w:r w:rsidRPr="00140666">
              <w:rPr>
                <w:rStyle w:val="SpecialBold"/>
              </w:rPr>
              <w:t xml:space="preserve">holding devices </w:t>
            </w:r>
            <w:r w:rsidRPr="00140666">
              <w:t>are selected and applied.</w:t>
            </w:r>
          </w:p>
        </w:tc>
      </w:tr>
      <w:tr w:rsidTr="00F256A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2</w:t>
            </w:r>
          </w:p>
        </w:tc>
        <w:tc>
          <w:tcPr>
            <w:tcW w:w="3000" w:type="dxa"/>
            <w:vMerge w:val="restart"/>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Observe safety precautions</w:t>
            </w:r>
          </w:p>
        </w:tc>
        <w:tc>
          <w:tcPr>
            <w:tcW w:w="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2.1</w:t>
            </w:r>
          </w:p>
        </w:tc>
        <w:tc>
          <w:tcPr>
            <w:tcW w:w="51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Machine guards, coolant and dust extraction devices are checked.</w:t>
            </w:r>
          </w:p>
        </w:tc>
      </w:tr>
      <w:tr w:rsidTr="00F256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2.2</w:t>
            </w:r>
          </w:p>
        </w:tc>
        <w:tc>
          <w:tcPr>
            <w:tcW w:w="51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Correct safety procedures are observed and protective clothing and safety glasses are worn.</w:t>
            </w:r>
          </w:p>
        </w:tc>
      </w:tr>
      <w:tr w:rsidTr="00F256A1">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3</w:t>
            </w:r>
          </w:p>
        </w:tc>
        <w:tc>
          <w:tcPr>
            <w:tcW w:w="30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Select grinding wheels and accessories</w:t>
            </w:r>
          </w:p>
        </w:tc>
        <w:tc>
          <w:tcPr>
            <w:tcW w:w="500" w:type="dxa"/>
            <w:tcBorders>
              <w:top w:val="nil"/>
              <w:left w:val="nil"/>
              <w:bottom w:val="nil"/>
              <w:right w:val="nil"/>
            </w:tcBorders>
            <w:tcMar>
              <w:top w:w="0" w:type="dxa"/>
              <w:left w:w="62" w:type="dxa"/>
              <w:bottom w:w="0" w:type="dxa"/>
              <w:right w:w="62" w:type="dxa"/>
            </w:tcMar>
          </w:tcPr>
          <w:p w:rsidR="00000000" w:rsidRPr="00140666" w:rsidP="00140666">
            <w:pPr>
              <w:pStyle w:val="BodyText"/>
            </w:pPr>
            <w:r w:rsidRPr="00140666">
              <w:t>3.1</w:t>
            </w:r>
          </w:p>
        </w:tc>
        <w:tc>
          <w:tcPr>
            <w:tcW w:w="51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rPr>
                <w:rStyle w:val="SpecialBold"/>
              </w:rPr>
              <w:t xml:space="preserve">Wheels </w:t>
            </w:r>
            <w:r w:rsidRPr="00140666">
              <w:t xml:space="preserve">are selected, </w:t>
            </w:r>
            <w:r w:rsidRPr="00140666">
              <w:rPr>
                <w:rStyle w:val="SpecialBold"/>
              </w:rPr>
              <w:t xml:space="preserve">balanced </w:t>
            </w:r>
            <w:r w:rsidRPr="00140666">
              <w:t>and dressed based on knowledge of grinding wheel structure and application. Accessories are selected to facilitate production to job specifications.</w:t>
            </w:r>
          </w:p>
        </w:tc>
      </w:tr>
      <w:tr w:rsidTr="00F256A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4</w:t>
            </w:r>
          </w:p>
        </w:tc>
        <w:tc>
          <w:tcPr>
            <w:tcW w:w="3000" w:type="dxa"/>
            <w:vMerge w:val="restart"/>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Perform grinding operations</w:t>
            </w:r>
          </w:p>
        </w:tc>
        <w:tc>
          <w:tcPr>
            <w:tcW w:w="500" w:type="dxa"/>
            <w:tcBorders>
              <w:top w:val="nil"/>
              <w:left w:val="nil"/>
              <w:bottom w:val="nil"/>
              <w:right w:val="nil"/>
            </w:tcBorders>
            <w:tcMar>
              <w:top w:w="0" w:type="dxa"/>
              <w:left w:w="62" w:type="dxa"/>
              <w:bottom w:w="0" w:type="dxa"/>
              <w:right w:w="62" w:type="dxa"/>
            </w:tcMar>
          </w:tcPr>
          <w:p w:rsidR="00000000" w:rsidRPr="00140666" w:rsidP="00140666">
            <w:pPr>
              <w:pStyle w:val="BodyText"/>
            </w:pPr>
            <w:r w:rsidRPr="00140666">
              <w:t>4.1</w:t>
            </w:r>
          </w:p>
        </w:tc>
        <w:tc>
          <w:tcPr>
            <w:tcW w:w="51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rPr>
                <w:rStyle w:val="SpecialBold"/>
              </w:rPr>
              <w:t xml:space="preserve">Grinding machine </w:t>
            </w:r>
            <w:r w:rsidRPr="00140666">
              <w:t>is set up and adjusted in accordance with defined proce</w:t>
            </w:r>
            <w:r w:rsidRPr="00140666">
              <w:t>dures.</w:t>
            </w:r>
          </w:p>
        </w:tc>
      </w:tr>
      <w:tr w:rsidTr="00F256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4.2</w:t>
            </w:r>
          </w:p>
        </w:tc>
        <w:tc>
          <w:tcPr>
            <w:tcW w:w="51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Work piece is held or clamped appropriately to avoid damage.</w:t>
            </w:r>
          </w:p>
        </w:tc>
      </w:tr>
      <w:tr w:rsidTr="00F256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4.3</w:t>
            </w:r>
          </w:p>
        </w:tc>
        <w:tc>
          <w:tcPr>
            <w:tcW w:w="51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Grinding operations are performed safely, utilising all guards, safety procedures and personal protective clothing and equipment.</w:t>
            </w:r>
          </w:p>
        </w:tc>
      </w:tr>
      <w:tr w:rsidTr="00F256A1">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5</w:t>
            </w:r>
          </w:p>
        </w:tc>
        <w:tc>
          <w:tcPr>
            <w:tcW w:w="30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Check components for conformance with specifications</w:t>
            </w:r>
          </w:p>
        </w:tc>
        <w:tc>
          <w:tcPr>
            <w:tcW w:w="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5.1</w:t>
            </w:r>
          </w:p>
        </w:tc>
        <w:tc>
          <w:tcPr>
            <w:tcW w:w="5100" w:type="dxa"/>
            <w:tcBorders>
              <w:top w:val="nil"/>
              <w:left w:val="nil"/>
              <w:bottom w:val="nil"/>
              <w:right w:val="nil"/>
            </w:tcBorders>
            <w:tcMar>
              <w:top w:w="0" w:type="dxa"/>
              <w:left w:w="62" w:type="dxa"/>
              <w:bottom w:w="0" w:type="dxa"/>
              <w:right w:w="62" w:type="dxa"/>
            </w:tcMar>
          </w:tcPr>
          <w:p w:rsidR="00000000" w:rsidRPr="00140666" w:rsidP="00140666">
            <w:pPr>
              <w:pStyle w:val="BodyText"/>
            </w:pPr>
            <w:r w:rsidRPr="00140666">
              <w:t>Components are checked for conformance to specification using appropriate techniques, tools and equipment.</w:t>
            </w:r>
          </w:p>
        </w:tc>
      </w:tr>
    </w:tbl>
    <w:p w:rsidR="00000000" w:rsidRPr="00140666" w:rsidP="00140666">
      <w:pPr>
        <w:pStyle w:val="BodyText"/>
      </w:pPr>
    </w:p>
    <w:p w:rsidR="00000000" w:rsidRPr="00140666" w:rsidP="00140666">
      <w:pPr>
        <w:pStyle w:val="AllowPageBreak"/>
      </w:pPr>
    </w:p>
    <w:p w:rsidR="00000000" w:rsidRPr="00140666" w:rsidP="00140666">
      <w:pPr>
        <w:pStyle w:val="Heading1"/>
      </w:pPr>
      <w:bookmarkStart w:id="9" w:name="O_311694"/>
      <w:bookmarkEnd w:id="9"/>
      <w:r w:rsidRPr="00140666">
        <w:t>Required Skills and Knowledge</w:t>
      </w:r>
    </w:p>
    <w:p w:rsidR="00000000" w:rsidRPr="00140666" w:rsidP="00140666">
      <w:pPr>
        <w:pStyle w:val="Heading1"/>
      </w:pPr>
      <w:bookmarkStart w:id="10" w:name="O_311685"/>
      <w:bookmarkEnd w:id="10"/>
      <w:r w:rsidRPr="00140666">
        <w:t>Evidence Guide</w:t>
      </w:r>
    </w:p>
    <w:tbl>
      <w:tblPr>
        <w:tblW w:w="0" w:type="auto"/>
        <w:tblLayout w:type="fixed"/>
        <w:tblCellMar>
          <w:left w:w="62" w:type="dxa"/>
          <w:right w:w="62" w:type="dxa"/>
        </w:tblCellMar>
        <w:tblLook w:val="0000"/>
      </w:tblPr>
      <w:tblGrid>
        <w:gridCol w:w="4500"/>
        <w:gridCol w:w="4500"/>
      </w:tblGrid>
      <w:tr w:rsidTr="00F256A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The evidence guide specifies the evidence required to demonstrate achievement in the unit of competency as a whole. It must be read in conjunction with the unit descriptor, performance criteria, range statement and the assessment guidelines for the Metal a</w:t>
            </w:r>
            <w:r w:rsidRPr="00140666">
              <w:t>nd Engineering Training Package</w:t>
            </w:r>
          </w:p>
        </w:tc>
      </w:tr>
      <w:tr w:rsidTr="00F256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rPr>
                <w:rStyle w:val="SpecialBold"/>
              </w:rPr>
              <w:t>Overview of assessment requirements</w:t>
            </w: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A person who demonstrates competency in this unit must be able to perform grinding operations on a range of machines. Competency in this unit cannot be claimed until all prerequisites ha</w:t>
            </w:r>
            <w:r w:rsidRPr="00140666">
              <w:t xml:space="preserve">ve been satisfied. </w:t>
            </w:r>
          </w:p>
        </w:tc>
      </w:tr>
      <w:tr w:rsidTr="00F256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rPr>
                <w:rStyle w:val="SpecialBold"/>
              </w:rPr>
              <w:t>Context of assessment</w:t>
            </w: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This unit may be assessed on the job, off the job or a combination of both on and off the job. Where assessment occurs off the job, that is </w:t>
            </w:r>
            <w:r w:rsidRPr="00140666">
              <w:t>the candidate is not in productive work, then an appropriate simulation must be used where the range of conditions reflects realistic workplace situations. The competencies covered by this unit would be demonstrated by an individual working alone or as par</w:t>
            </w:r>
            <w:r w:rsidRPr="00140666">
              <w:t xml:space="preserve">t of a team. The assessment environment should not disadvantage the candidate.  </w:t>
            </w:r>
          </w:p>
        </w:tc>
      </w:tr>
      <w:tr w:rsidTr="00F256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rPr>
                <w:rStyle w:val="SpecialBold"/>
              </w:rPr>
              <w:t>Interdependent assessment</w:t>
            </w: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This unit could be assessed in conjunction with any other units addressing the safety, quality, communication, materials handling, recording and rep</w:t>
            </w:r>
            <w:r w:rsidRPr="00140666">
              <w:t xml:space="preserve">orting associated with performing grinding operations or other units requiring the exercise of the skills and knowledge covered by this unit. </w:t>
            </w:r>
          </w:p>
        </w:tc>
      </w:tr>
      <w:tr w:rsidTr="00F256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Assessors should gather a range of evidence that is valid, sufficient, current and authenti</w:t>
            </w:r>
            <w:r w:rsidRPr="00140666">
              <w:t xml:space="preserve">c. Evidence can be gathered through a variety of ways including direct observation, supervisor's reports, project work, samples and questioning. Questioning techniques should not require language, literacy and numeracy skills beyond those required in this </w:t>
            </w:r>
            <w:r w:rsidRPr="00140666">
              <w:t>unit of competency. The candidate must have access to all tools, equipment, materials and documentation required. The candidate must be permitted to refer to any relevant workplace procedures, product and manufacturing specifications, codes, standards, man</w:t>
            </w:r>
            <w:r w:rsidRPr="00140666">
              <w:t xml:space="preserve">uals and reference materials. </w:t>
            </w:r>
          </w:p>
        </w:tc>
      </w:tr>
      <w:tr w:rsidTr="00F256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rPr>
                <w:rStyle w:val="SpecialBold"/>
              </w:rPr>
              <w:t>Consistency of performance</w:t>
            </w: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Assessors must be satisfied that the candidate can competently and consistently perform all elements of the unit as specified by the criteria, including required knowledge, and be capable of applyi</w:t>
            </w:r>
            <w:r w:rsidRPr="00140666">
              <w:t xml:space="preserve">ng the competency in new and different situations and contexts. </w:t>
            </w:r>
          </w:p>
        </w:tc>
      </w:tr>
      <w:tr w:rsidTr="00F256A1">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rPr>
                <w:rStyle w:val="SpecialBold"/>
              </w:rPr>
              <w:t>Required skills</w:t>
            </w: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Look for evidence that confirms skills in: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reading and interpreting information on written job instructions, procedures, specifications, charts, lists, drawings and other </w:t>
            </w:r>
            <w:r w:rsidRPr="00140666">
              <w:t xml:space="preserve">applicable reference documents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checking and clarifying task related information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preparing an operational work plan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planning and sequencing operations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using precision measurement equipment within the scope of this unit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setting u</w:t>
            </w:r>
            <w:r w:rsidRPr="00140666">
              <w:t xml:space="preserve">p work using tools, techniques and equipment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using coolant and dust extraction devices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selecting and preparing grinding wheels and accessories appropriate to the grinding task(s)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performing and monitoring internal/external cylindrical grinding process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clamping/mounting work pieces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checking for conformance to specifications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performing numerical operations and calculations within the scope of this unit </w:t>
            </w:r>
          </w:p>
        </w:tc>
      </w:tr>
      <w:tr w:rsidTr="00F256A1">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rPr>
                <w:rStyle w:val="SpecialBold"/>
              </w:rPr>
              <w:t>Required knowledge</w:t>
            </w: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L</w:t>
            </w:r>
            <w:r w:rsidRPr="00140666">
              <w:t xml:space="preserve">ook for evidence that confirms knowledge of: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reasons for selecting the chosen sequence of operations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the application of a range of holding devices/accessories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reasons for selecting specific work holding devices, tools, techniques and equipment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coolant selection/function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standard grinding wheel shapes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the range of abrasive materials used in grinding wheels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factors impacting grinding wheel selection including grain size of abrasive particles; grade or strength of bond; and bond material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grinding wheel dressing tools and their application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internal/external cylindrical grinding process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principles of effective clamping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grinding operations/procedures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the function of any grinding accessories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tools, techniques and equipment for checking components for conformance to specifications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hazards and control measures associated with grinding operations, including housekeeping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use and application of personal protective equipment </w:t>
            </w:r>
          </w:p>
        </w:tc>
      </w:tr>
      <w:tr w:rsidTr="00F256A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140666" w:rsidP="00140666">
            <w:pPr>
              <w:pStyle w:val="BodyText"/>
            </w:pPr>
            <w:r w:rsidRPr="00140666">
              <w:t xml:space="preserve">safe work practices and procedures </w:t>
            </w:r>
          </w:p>
        </w:tc>
      </w:tr>
    </w:tbl>
    <w:p w:rsidR="00000000" w:rsidRPr="00140666" w:rsidP="00140666">
      <w:pPr>
        <w:pStyle w:val="BodyText"/>
      </w:pPr>
    </w:p>
    <w:p w:rsidR="00000000" w:rsidRPr="00140666" w:rsidP="00140666">
      <w:pPr>
        <w:pStyle w:val="AllowPageBreak"/>
      </w:pPr>
    </w:p>
    <w:p w:rsidR="00000000" w:rsidRPr="00140666" w:rsidP="00140666">
      <w:pPr>
        <w:pStyle w:val="Heading1"/>
      </w:pPr>
      <w:bookmarkStart w:id="11" w:name="O_311684"/>
      <w:bookmarkEnd w:id="11"/>
      <w:r w:rsidRPr="00140666">
        <w:t>Range Statement</w:t>
      </w:r>
    </w:p>
    <w:tbl>
      <w:tblPr>
        <w:tblW w:w="0" w:type="auto"/>
        <w:tblLayout w:type="fixed"/>
        <w:tblCellMar>
          <w:left w:w="62" w:type="dxa"/>
          <w:right w:w="62" w:type="dxa"/>
        </w:tblCellMar>
        <w:tblLook w:val="0000"/>
      </w:tblPr>
      <w:tblGrid>
        <w:gridCol w:w="4500"/>
        <w:gridCol w:w="4500"/>
      </w:tblGrid>
      <w:tr w:rsidTr="00F256A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40666" w:rsidP="00140666">
            <w:pPr>
              <w:pStyle w:val="BodyText"/>
            </w:pPr>
            <w:r w:rsidRPr="00140666">
              <w:t xml:space="preserve">The range statement provides information about the context in which the unit of competency is carried out. The variables and scope cater for different work requirements, work practices </w:t>
            </w:r>
            <w:r w:rsidRPr="00140666">
              <w:t>and knowledge between States, Territories and the Commonwealth, and between organisations and workplaces. The range statement relates to the unit as a whole and provides a focus for assessment. Text in italics in the performance criteria is explained here.</w:t>
            </w:r>
          </w:p>
          <w:p w:rsidR="00000000" w:rsidP="00140666">
            <w:pPr>
              <w:pStyle w:val="BodyText"/>
              <w:rPr>
                <w:lang w:val="en-NZ"/>
              </w:rPr>
            </w:pPr>
            <w:r w:rsidRPr="00140666">
              <w:t>The following variables may be present and may include, but are not limited to, the examples listed under the scope. All work is undertaken to relevant legislative requirements, where applicable</w:t>
            </w:r>
          </w:p>
        </w:tc>
      </w:tr>
      <w:tr w:rsidTr="00F256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140666" w:rsidP="00140666">
            <w:pPr>
              <w:pStyle w:val="BodyText"/>
            </w:pPr>
            <w:r w:rsidRPr="00140666">
              <w:rPr>
                <w:rStyle w:val="SpecialBold"/>
              </w:rPr>
              <w:t>Variable</w:t>
            </w: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rPr>
                <w:rStyle w:val="SpecialBold"/>
              </w:rPr>
              <w:t>Scope</w:t>
            </w:r>
          </w:p>
        </w:tc>
      </w:tr>
      <w:tr w:rsidTr="00F256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rPr>
                <w:rStyle w:val="SpecialBold"/>
              </w:rPr>
              <w:t>Specifications</w:t>
            </w: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Dimensions and tolerances, geometry and tolerances, surface finish </w:t>
            </w:r>
          </w:p>
        </w:tc>
      </w:tr>
      <w:tr w:rsidTr="00F256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rPr>
                <w:rStyle w:val="SpecialBold"/>
              </w:rPr>
              <w:t>Holding devices</w:t>
            </w: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Vices, clamps, magnetic chucks, face plates, collets, 3/4 jaw chuck, etc. </w:t>
            </w:r>
          </w:p>
        </w:tc>
      </w:tr>
      <w:tr w:rsidTr="00F256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rPr>
                <w:rStyle w:val="SpecialBold"/>
              </w:rPr>
              <w:t>Wheels</w:t>
            </w: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Shape, grit/bond composition </w:t>
            </w:r>
          </w:p>
        </w:tc>
      </w:tr>
      <w:tr w:rsidTr="00F256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rPr>
                <w:rStyle w:val="SpecialBold"/>
              </w:rPr>
              <w:t>Balanced</w:t>
            </w:r>
          </w:p>
        </w:tc>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t xml:space="preserve">Static and dynamic balancing </w:t>
            </w:r>
          </w:p>
        </w:tc>
      </w:tr>
      <w:tr w:rsidTr="00F256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40666">
            <w:pPr>
              <w:pStyle w:val="BodyText"/>
              <w:rPr>
                <w:lang w:val="en-NZ"/>
              </w:rPr>
            </w:pPr>
            <w:r w:rsidRPr="00140666">
              <w:rPr>
                <w:rStyle w:val="SpecialBold"/>
              </w:rPr>
              <w:t>Grinding machine</w:t>
            </w:r>
          </w:p>
        </w:tc>
        <w:tc>
          <w:tcPr>
            <w:tcW w:w="4500" w:type="dxa"/>
            <w:tcBorders>
              <w:top w:val="nil"/>
              <w:left w:val="nil"/>
              <w:bottom w:val="nil"/>
              <w:right w:val="nil"/>
            </w:tcBorders>
            <w:tcMar>
              <w:top w:w="0" w:type="dxa"/>
              <w:left w:w="62" w:type="dxa"/>
              <w:bottom w:w="0" w:type="dxa"/>
              <w:right w:w="62" w:type="dxa"/>
            </w:tcMar>
          </w:tcPr>
          <w:p w:rsidR="00000000" w:rsidRPr="00140666" w:rsidP="00140666">
            <w:pPr>
              <w:pStyle w:val="BodyText"/>
            </w:pPr>
            <w:r w:rsidRPr="00140666">
              <w:t xml:space="preserve">Surface, cylindrical and centreless machines </w:t>
            </w:r>
          </w:p>
        </w:tc>
      </w:tr>
    </w:tbl>
    <w:p w:rsidR="00000000" w:rsidRPr="00140666" w:rsidP="00140666">
      <w:pPr>
        <w:pStyle w:val="BodyText"/>
      </w:pPr>
    </w:p>
    <w:p w:rsidR="00000000" w:rsidRPr="00140666" w:rsidP="00140666">
      <w:pPr>
        <w:pStyle w:val="AllowPageBreak"/>
      </w:pPr>
    </w:p>
    <w:p w:rsidR="00000000" w:rsidRPr="00140666" w:rsidP="00140666">
      <w:pPr>
        <w:pStyle w:val="Heading1"/>
      </w:pPr>
      <w:bookmarkStart w:id="12" w:name="O_311683"/>
      <w:bookmarkEnd w:id="12"/>
      <w:r w:rsidRPr="00140666">
        <w:t>Unit Sector(s)</w:t>
      </w:r>
    </w:p>
    <w:p w:rsidR="00000000" w:rsidRPr="00140666" w:rsidP="00140666">
      <w:pPr>
        <w:pStyle w:val="Heading1"/>
      </w:pPr>
      <w:bookmarkStart w:id="13" w:name="O_311681"/>
      <w:bookmarkEnd w:id="13"/>
      <w:r w:rsidRPr="00140666">
        <w:t>Competency field</w:t>
      </w:r>
    </w:p>
    <w:p w:rsidR="00000000" w:rsidRPr="00140666" w:rsidP="00140666">
      <w:pPr>
        <w:pStyle w:val="BodyText"/>
      </w:pPr>
      <w:r w:rsidRPr="00140666">
        <w:t>Machine&amp;process operations</w:t>
      </w:r>
    </w:p>
    <w:p w:rsidR="00000000" w:rsidRPr="00140666" w:rsidP="00140666">
      <w:pPr>
        <w:pStyle w:val="AllowPageBreak"/>
      </w:pPr>
    </w:p>
    <w:p w:rsidR="00000000" w:rsidRPr="00140666" w:rsidP="00140666">
      <w:pPr>
        <w:pStyle w:val="Heading1"/>
      </w:pPr>
      <w:bookmarkStart w:id="14" w:name="O_311682"/>
      <w:bookmarkEnd w:id="14"/>
      <w:r w:rsidRPr="00140666">
        <w:t>Band</w:t>
      </w:r>
    </w:p>
    <w:p w:rsidR="00000000" w:rsidRPr="00140666" w:rsidP="00140666">
      <w:pPr>
        <w:pStyle w:val="BodyText"/>
      </w:pPr>
      <w:r w:rsidRPr="00140666">
        <w:t>A</w:t>
      </w:r>
    </w:p>
    <w:p w:rsidR="00000000" w:rsidRPr="00140666" w:rsidP="00140666">
      <w:pPr>
        <w:pStyle w:val="AllowPageBreak"/>
      </w:pPr>
    </w:p>
    <w:p w:rsidR="00000000" w:rsidRPr="00140666" w:rsidP="00140666">
      <w:pPr>
        <w:pStyle w:val="Heading1"/>
      </w:pPr>
      <w:bookmarkStart w:id="15" w:name="O_311686"/>
      <w:bookmarkEnd w:id="15"/>
      <w:r w:rsidRPr="00140666">
        <w:t>Unit Weight</w:t>
      </w:r>
    </w:p>
    <w:p w:rsidR="00000000" w:rsidRPr="00140666" w:rsidP="00140666">
      <w:pPr>
        <w:pStyle w:val="BodyText"/>
      </w:pPr>
      <w:r w:rsidRPr="00140666">
        <w:t>4</w:t>
      </w:r>
    </w:p>
    <w:p w:rsidR="00000000" w:rsidRPr="00140666" w:rsidP="00140666">
      <w:pPr>
        <w:pStyle w:val="AllowPageBreak"/>
      </w:pPr>
    </w:p>
    <w:p w:rsidR="00000000" w:rsidRPr="00140666" w:rsidP="00140666">
      <w:pPr>
        <w:pStyle w:val="Heading1"/>
      </w:pPr>
      <w:bookmarkStart w:id="16" w:name="O_311687"/>
      <w:bookmarkEnd w:id="16"/>
      <w:r w:rsidRPr="00140666">
        <w:t>Related units</w:t>
      </w:r>
    </w:p>
    <w:p w:rsidR="00000000" w:rsidRPr="00140666" w:rsidP="00140666">
      <w:pPr>
        <w:pStyle w:val="BodyText"/>
      </w:pPr>
      <w:r w:rsidRPr="00140666">
        <w:t>Where precision mechanical measurement is required, Unit MEM12003B (Perform precision mechanical measurement) should also be considered.</w:t>
      </w:r>
    </w:p>
    <w:p w:rsidR="00000000" w:rsidRPr="00140666" w:rsidP="00140666"/>
    <w:sectPr w:rsidSect="001406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6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56A1" w:rsidP="00F256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6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6A1" w:rsidP="001406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256A1" w:rsidP="001406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256A1" w:rsidP="001406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6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56A1" w:rsidP="00F256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6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6A1" w:rsidP="00140666">
    <w:pPr>
      <w:pStyle w:val="Header"/>
      <w:framePr w:wrap="around"/>
    </w:pPr>
    <w:r>
      <w:fldChar w:fldCharType="begin"/>
    </w:r>
    <w:r>
      <w:instrText xml:space="preserve"> TITLE   \* MERGEFORMAT </w:instrText>
    </w:r>
    <w:r>
      <w:fldChar w:fldCharType="separate"/>
    </w:r>
    <w:r>
      <w:t>MEM07008C Perform grinding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56A1" w:rsidP="001406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6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0666"/>
    <w:pPr>
      <w:spacing w:before="360" w:after="60"/>
      <w:outlineLvl w:val="0"/>
    </w:pPr>
    <w:rPr>
      <w:sz w:val="32"/>
    </w:rPr>
  </w:style>
  <w:style w:type="paragraph" w:styleId="Heading2">
    <w:name w:val="heading 2"/>
    <w:basedOn w:val="HeadingBase"/>
    <w:next w:val="BodyText"/>
    <w:link w:val="Heading2Char"/>
    <w:qFormat/>
    <w:rsid w:val="00140666"/>
    <w:pPr>
      <w:keepLines/>
      <w:spacing w:before="240" w:after="120"/>
      <w:outlineLvl w:val="1"/>
    </w:pPr>
    <w:rPr>
      <w:sz w:val="28"/>
      <w:szCs w:val="40"/>
    </w:rPr>
  </w:style>
  <w:style w:type="paragraph" w:styleId="Heading3">
    <w:name w:val="heading 3"/>
    <w:basedOn w:val="HeadingBase"/>
    <w:next w:val="BodyText"/>
    <w:link w:val="Heading3Char"/>
    <w:qFormat/>
    <w:rsid w:val="00140666"/>
    <w:pPr>
      <w:spacing w:before="180" w:after="120"/>
      <w:outlineLvl w:val="2"/>
    </w:pPr>
    <w:rPr>
      <w:spacing w:val="-10"/>
      <w:kern w:val="32"/>
    </w:rPr>
  </w:style>
  <w:style w:type="paragraph" w:styleId="Heading4">
    <w:name w:val="heading 4"/>
    <w:basedOn w:val="HeadingBase"/>
    <w:next w:val="BodyText"/>
    <w:link w:val="Heading4Char"/>
    <w:qFormat/>
    <w:rsid w:val="00140666"/>
    <w:pPr>
      <w:spacing w:before="160" w:after="120"/>
      <w:outlineLvl w:val="3"/>
    </w:pPr>
    <w:rPr>
      <w:sz w:val="22"/>
    </w:rPr>
  </w:style>
  <w:style w:type="paragraph" w:styleId="Heading5">
    <w:name w:val="heading 5"/>
    <w:basedOn w:val="HeadingBase"/>
    <w:next w:val="Normal"/>
    <w:link w:val="Heading5Char"/>
    <w:qFormat/>
    <w:rsid w:val="00140666"/>
    <w:pPr>
      <w:spacing w:before="80"/>
      <w:outlineLvl w:val="4"/>
    </w:pPr>
    <w:rPr>
      <w:color w:val="918585"/>
      <w:sz w:val="20"/>
    </w:rPr>
  </w:style>
  <w:style w:type="paragraph" w:styleId="Heading6">
    <w:name w:val="heading 6"/>
    <w:basedOn w:val="HeadingBase"/>
    <w:next w:val="Normal"/>
    <w:link w:val="Heading6Char"/>
    <w:qFormat/>
    <w:rsid w:val="00140666"/>
    <w:pPr>
      <w:spacing w:before="60"/>
      <w:outlineLvl w:val="5"/>
    </w:pPr>
    <w:rPr>
      <w:color w:val="918585"/>
      <w:sz w:val="20"/>
    </w:rPr>
  </w:style>
  <w:style w:type="paragraph" w:styleId="Heading7">
    <w:name w:val="heading 7"/>
    <w:basedOn w:val="Normal"/>
    <w:next w:val="Normal"/>
    <w:link w:val="Heading7Char"/>
    <w:qFormat/>
    <w:rsid w:val="00140666"/>
    <w:pPr>
      <w:ind w:left="720"/>
      <w:outlineLvl w:val="6"/>
    </w:pPr>
    <w:rPr>
      <w:i/>
    </w:rPr>
  </w:style>
  <w:style w:type="paragraph" w:styleId="Heading8">
    <w:name w:val="heading 8"/>
    <w:basedOn w:val="Normal"/>
    <w:next w:val="Normal"/>
    <w:link w:val="Heading8Char"/>
    <w:qFormat/>
    <w:rsid w:val="00140666"/>
    <w:pPr>
      <w:ind w:left="720"/>
      <w:outlineLvl w:val="7"/>
    </w:pPr>
    <w:rPr>
      <w:i/>
    </w:rPr>
  </w:style>
  <w:style w:type="paragraph" w:styleId="Heading9">
    <w:name w:val="heading 9"/>
    <w:basedOn w:val="Normal"/>
    <w:next w:val="Normal"/>
    <w:link w:val="Heading9Char"/>
    <w:qFormat/>
    <w:rsid w:val="00140666"/>
    <w:pPr>
      <w:ind w:left="720"/>
      <w:outlineLvl w:val="8"/>
    </w:pPr>
    <w:rPr>
      <w:i/>
    </w:rPr>
  </w:style>
  <w:style w:type="character" w:default="1" w:styleId="DefaultParagraphFont">
    <w:name w:val="Default Paragraph Font"/>
    <w:uiPriority w:val="1"/>
    <w:unhideWhenUsed/>
    <w:rsid w:val="001406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666"/>
  </w:style>
  <w:style w:type="character" w:customStyle="1" w:styleId="Heading1Char">
    <w:name w:val="Heading 1 Char"/>
    <w:basedOn w:val="DefaultParagraphFont"/>
    <w:link w:val="Heading1"/>
    <w:rsid w:val="00140666"/>
    <w:rPr>
      <w:rFonts w:ascii="Times New Roman" w:eastAsia="Times New Roman" w:hAnsi="Times New Roman" w:cs="Times New Roman"/>
      <w:b/>
      <w:sz w:val="32"/>
      <w:szCs w:val="20"/>
      <w:lang w:eastAsia="en-US"/>
    </w:rPr>
  </w:style>
  <w:style w:type="paragraph" w:styleId="BodyText">
    <w:name w:val="Body Text"/>
    <w:basedOn w:val="Normal"/>
    <w:link w:val="BodyTextChar"/>
    <w:rsid w:val="001406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0666"/>
    <w:rPr>
      <w:rFonts w:ascii="Times New Roman" w:eastAsia="Times New Roman" w:hAnsi="Times New Roman" w:cs="Times New Roman"/>
      <w:sz w:val="24"/>
      <w:lang w:val="en-US" w:eastAsia="en-US"/>
    </w:rPr>
  </w:style>
  <w:style w:type="paragraph" w:styleId="Footer">
    <w:name w:val="footer"/>
    <w:basedOn w:val="Normal"/>
    <w:link w:val="FooterChar"/>
    <w:rsid w:val="001406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66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40666"/>
    <w:rPr>
      <w:b/>
      <w:spacing w:val="0"/>
    </w:rPr>
  </w:style>
  <w:style w:type="paragraph" w:styleId="Header">
    <w:name w:val="header"/>
    <w:basedOn w:val="Normal"/>
    <w:link w:val="HeaderChar"/>
    <w:rsid w:val="001406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6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0666"/>
    <w:pPr>
      <w:spacing w:before="240" w:after="120"/>
      <w:outlineLvl w:val="0"/>
    </w:pPr>
    <w:rPr>
      <w:rFonts w:ascii="Times New Roman" w:hAnsi="Times New Roman"/>
      <w:b/>
      <w:sz w:val="28"/>
    </w:rPr>
  </w:style>
  <w:style w:type="paragraph" w:customStyle="1" w:styleId="AllowPageBreak">
    <w:name w:val="AllowPageBreak"/>
    <w:rsid w:val="001406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06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6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6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6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6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6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06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0666"/>
    <w:rPr>
      <w:rFonts w:ascii="Courier New" w:eastAsia="Times New Roman" w:hAnsi="Courier New" w:cs="Times New Roman"/>
      <w:i/>
      <w:szCs w:val="20"/>
      <w:lang w:val="en-US" w:eastAsia="en-US"/>
    </w:rPr>
  </w:style>
  <w:style w:type="paragraph" w:customStyle="1" w:styleId="HeadingBase">
    <w:name w:val="Heading Base"/>
    <w:rsid w:val="001406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666"/>
    <w:pPr>
      <w:tabs>
        <w:tab w:val="right" w:leader="dot" w:pos="9072"/>
      </w:tabs>
      <w:ind w:left="567"/>
    </w:pPr>
    <w:rPr>
      <w:szCs w:val="22"/>
    </w:rPr>
  </w:style>
  <w:style w:type="paragraph" w:customStyle="1" w:styleId="TOCBase">
    <w:name w:val="TOC Base"/>
    <w:rsid w:val="001406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666"/>
    <w:pPr>
      <w:tabs>
        <w:tab w:val="right" w:leader="dot" w:pos="9072"/>
      </w:tabs>
      <w:spacing w:before="40" w:after="40"/>
      <w:ind w:left="284"/>
    </w:pPr>
    <w:rPr>
      <w:rFonts w:ascii="Times New Roman" w:hAnsi="Times New Roman"/>
    </w:rPr>
  </w:style>
  <w:style w:type="paragraph" w:styleId="TOC1">
    <w:name w:val="toc 1"/>
    <w:basedOn w:val="TOCBase"/>
    <w:next w:val="Normal"/>
    <w:rsid w:val="001406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0666"/>
    <w:pPr>
      <w:spacing w:before="5040"/>
      <w:jc w:val="center"/>
    </w:pPr>
    <w:rPr>
      <w:sz w:val="48"/>
      <w:szCs w:val="72"/>
      <w:lang w:val="en-US"/>
    </w:rPr>
  </w:style>
  <w:style w:type="character" w:customStyle="1" w:styleId="TitleChar">
    <w:name w:val="Title Char"/>
    <w:basedOn w:val="DefaultParagraphFont"/>
    <w:link w:val="Title"/>
    <w:rsid w:val="001406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666"/>
    <w:pPr>
      <w:tabs>
        <w:tab w:val="left" w:pos="3600"/>
        <w:tab w:val="left" w:pos="3958"/>
      </w:tabs>
    </w:pPr>
  </w:style>
  <w:style w:type="paragraph" w:styleId="List">
    <w:name w:val="List"/>
    <w:basedOn w:val="BodyText"/>
    <w:next w:val="BodyText"/>
    <w:rsid w:val="00140666"/>
    <w:pPr>
      <w:tabs>
        <w:tab w:val="left" w:pos="340"/>
      </w:tabs>
      <w:spacing w:before="60" w:after="60"/>
      <w:ind w:left="340" w:hanging="340"/>
    </w:pPr>
  </w:style>
  <w:style w:type="paragraph" w:styleId="ListBullet">
    <w:name w:val="List Bullet"/>
    <w:basedOn w:val="List"/>
    <w:rsid w:val="00140666"/>
    <w:pPr>
      <w:numPr>
        <w:numId w:val="11"/>
      </w:numPr>
      <w:tabs>
        <w:tab w:val="clear" w:pos="340"/>
      </w:tabs>
      <w:spacing w:before="40" w:after="40"/>
    </w:pPr>
  </w:style>
  <w:style w:type="paragraph" w:customStyle="1" w:styleId="Note">
    <w:name w:val="Note"/>
    <w:basedOn w:val="BodyText"/>
    <w:rsid w:val="001406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0666"/>
    <w:pPr>
      <w:framePr w:wrap="auto" w:hAnchor="text" w:y="6049"/>
    </w:pPr>
    <w:rPr>
      <w:color w:val="000000"/>
      <w:sz w:val="40"/>
    </w:rPr>
  </w:style>
  <w:style w:type="paragraph" w:customStyle="1" w:styleId="TOCTitle">
    <w:name w:val="TOCTitle"/>
    <w:basedOn w:val="Heading1"/>
    <w:rsid w:val="00140666"/>
    <w:pPr>
      <w:spacing w:after="240"/>
      <w:jc w:val="center"/>
      <w:outlineLvl w:val="9"/>
    </w:pPr>
    <w:rPr>
      <w:caps/>
    </w:rPr>
  </w:style>
  <w:style w:type="paragraph" w:customStyle="1" w:styleId="Version">
    <w:name w:val="Version"/>
    <w:rsid w:val="001406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0666"/>
    <w:pPr>
      <w:numPr>
        <w:numId w:val="12"/>
      </w:numPr>
      <w:tabs>
        <w:tab w:val="clear" w:pos="680"/>
      </w:tabs>
    </w:pPr>
  </w:style>
  <w:style w:type="paragraph" w:styleId="Index1">
    <w:name w:val="index 1"/>
    <w:basedOn w:val="Normal"/>
    <w:next w:val="Normal"/>
    <w:semiHidden/>
    <w:rsid w:val="00140666"/>
    <w:pPr>
      <w:keepNext w:val="0"/>
      <w:tabs>
        <w:tab w:val="right" w:pos="4176"/>
      </w:tabs>
      <w:ind w:left="198" w:hanging="198"/>
    </w:pPr>
    <w:rPr>
      <w:rFonts w:ascii="Garamond" w:hAnsi="Garamond"/>
    </w:rPr>
  </w:style>
  <w:style w:type="paragraph" w:styleId="IndexHeading">
    <w:name w:val="index heading"/>
    <w:basedOn w:val="Normal"/>
    <w:next w:val="Index1"/>
    <w:semiHidden/>
    <w:rsid w:val="00140666"/>
    <w:pPr>
      <w:spacing w:before="120" w:after="120"/>
    </w:pPr>
    <w:rPr>
      <w:rFonts w:ascii="Arial" w:hAnsi="Arial"/>
      <w:b/>
      <w:color w:val="918585"/>
      <w:sz w:val="24"/>
    </w:rPr>
  </w:style>
  <w:style w:type="paragraph" w:customStyle="1" w:styleId="Chapter">
    <w:name w:val="Chapter"/>
    <w:basedOn w:val="Normal"/>
    <w:rsid w:val="00140666"/>
    <w:pPr>
      <w:spacing w:before="240"/>
    </w:pPr>
    <w:rPr>
      <w:rFonts w:ascii="Times New Roman" w:hAnsi="Times New Roman"/>
      <w:smallCaps/>
      <w:spacing w:val="80"/>
      <w:sz w:val="28"/>
    </w:rPr>
  </w:style>
  <w:style w:type="paragraph" w:customStyle="1" w:styleId="InChapter">
    <w:name w:val="InChapter"/>
    <w:basedOn w:val="Heading3"/>
    <w:rsid w:val="00140666"/>
    <w:pPr>
      <w:spacing w:after="240"/>
      <w:outlineLvl w:val="9"/>
    </w:pPr>
    <w:rPr>
      <w:noProof/>
    </w:rPr>
  </w:style>
  <w:style w:type="paragraph" w:styleId="Index2">
    <w:name w:val="index 2"/>
    <w:basedOn w:val="Normal"/>
    <w:next w:val="Normal"/>
    <w:semiHidden/>
    <w:rsid w:val="00140666"/>
    <w:pPr>
      <w:tabs>
        <w:tab w:val="right" w:pos="4176"/>
      </w:tabs>
      <w:ind w:left="568" w:hanging="284"/>
    </w:pPr>
    <w:rPr>
      <w:rFonts w:ascii="Garamond" w:hAnsi="Garamond"/>
    </w:rPr>
  </w:style>
  <w:style w:type="paragraph" w:customStyle="1" w:styleId="Byline">
    <w:name w:val="Byline"/>
    <w:rsid w:val="001406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666"/>
    <w:pPr>
      <w:tabs>
        <w:tab w:val="clear" w:pos="3600"/>
        <w:tab w:val="clear" w:pos="3958"/>
      </w:tabs>
      <w:jc w:val="right"/>
    </w:pPr>
  </w:style>
  <w:style w:type="character" w:styleId="Emphasis">
    <w:name w:val="Emphasis"/>
    <w:basedOn w:val="DefaultParagraphFont"/>
    <w:qFormat/>
    <w:rsid w:val="00140666"/>
    <w:rPr>
      <w:i/>
    </w:rPr>
  </w:style>
  <w:style w:type="paragraph" w:styleId="Caption">
    <w:name w:val="caption"/>
    <w:basedOn w:val="BodyText"/>
    <w:next w:val="Normal"/>
    <w:qFormat/>
    <w:rsid w:val="00140666"/>
    <w:pPr>
      <w:framePr w:w="2268" w:hSpace="181" w:vSpace="181" w:wrap="around" w:vAnchor="text" w:hAnchor="page" w:x="1135" w:y="285" w:anchorLock="1"/>
    </w:pPr>
    <w:rPr>
      <w:i/>
    </w:rPr>
  </w:style>
  <w:style w:type="paragraph" w:customStyle="1" w:styleId="MiniTOCTitle">
    <w:name w:val="MiniTOCTitle"/>
    <w:basedOn w:val="Heading4"/>
    <w:rsid w:val="00140666"/>
    <w:pPr>
      <w:spacing w:before="240"/>
      <w:outlineLvl w:val="9"/>
    </w:pPr>
    <w:rPr>
      <w:noProof/>
      <w:sz w:val="24"/>
    </w:rPr>
  </w:style>
  <w:style w:type="paragraph" w:customStyle="1" w:styleId="MiniTOCItem">
    <w:name w:val="MiniTOCItem"/>
    <w:basedOn w:val="ListBullet"/>
    <w:rsid w:val="00140666"/>
    <w:pPr>
      <w:numPr>
        <w:numId w:val="0"/>
      </w:numPr>
      <w:tabs>
        <w:tab w:val="right" w:leader="dot" w:pos="6521"/>
      </w:tabs>
      <w:spacing w:before="0" w:after="0"/>
    </w:pPr>
  </w:style>
  <w:style w:type="paragraph" w:customStyle="1" w:styleId="TOFTitle">
    <w:name w:val="TOFTitle"/>
    <w:basedOn w:val="TOCTitle"/>
    <w:rsid w:val="00140666"/>
  </w:style>
  <w:style w:type="paragraph" w:styleId="TableofFigures">
    <w:name w:val="table of figures"/>
    <w:basedOn w:val="Normal"/>
    <w:next w:val="Normal"/>
    <w:semiHidden/>
    <w:rsid w:val="00140666"/>
    <w:pPr>
      <w:tabs>
        <w:tab w:val="right" w:leader="dot" w:pos="9072"/>
      </w:tabs>
      <w:ind w:left="970" w:hanging="403"/>
    </w:pPr>
    <w:rPr>
      <w:rFonts w:ascii="Times New Roman" w:hAnsi="Times New Roman"/>
      <w:b/>
    </w:rPr>
  </w:style>
  <w:style w:type="paragraph" w:styleId="ListNumber">
    <w:name w:val="List Number"/>
    <w:basedOn w:val="List"/>
    <w:rsid w:val="00140666"/>
    <w:pPr>
      <w:numPr>
        <w:numId w:val="9"/>
      </w:numPr>
    </w:pPr>
  </w:style>
  <w:style w:type="character" w:customStyle="1" w:styleId="WingdingSymbols">
    <w:name w:val="Wingding Symbols"/>
    <w:rsid w:val="00140666"/>
    <w:rPr>
      <w:rFonts w:ascii="Wingdings" w:hAnsi="Wingdings"/>
    </w:rPr>
  </w:style>
  <w:style w:type="paragraph" w:customStyle="1" w:styleId="TableHeading">
    <w:name w:val="Table Heading"/>
    <w:basedOn w:val="HeadingBase"/>
    <w:rsid w:val="00140666"/>
    <w:pPr>
      <w:keepLines/>
      <w:pBdr>
        <w:bottom w:val="single" w:sz="6" w:space="1" w:color="918585"/>
      </w:pBdr>
      <w:spacing w:before="240"/>
    </w:pPr>
  </w:style>
  <w:style w:type="character" w:customStyle="1" w:styleId="HotSpot">
    <w:name w:val="HotSpot"/>
    <w:rsid w:val="00140666"/>
    <w:rPr>
      <w:color w:val="0033CC"/>
      <w:u w:val="none"/>
    </w:rPr>
  </w:style>
  <w:style w:type="paragraph" w:customStyle="1" w:styleId="BodyTextRight">
    <w:name w:val="Body Text Right"/>
    <w:basedOn w:val="BodyText"/>
    <w:rsid w:val="00140666"/>
    <w:pPr>
      <w:spacing w:before="0" w:after="0"/>
      <w:jc w:val="right"/>
    </w:pPr>
  </w:style>
  <w:style w:type="paragraph" w:styleId="Index3">
    <w:name w:val="index 3"/>
    <w:basedOn w:val="ListNumber2"/>
    <w:next w:val="Normal"/>
    <w:semiHidden/>
    <w:rsid w:val="00140666"/>
    <w:pPr>
      <w:numPr>
        <w:numId w:val="0"/>
      </w:numPr>
      <w:tabs>
        <w:tab w:val="right" w:leader="dot" w:pos="4176"/>
      </w:tabs>
    </w:pPr>
  </w:style>
  <w:style w:type="paragraph" w:styleId="ListNumber2">
    <w:name w:val="List Number 2"/>
    <w:basedOn w:val="List2"/>
    <w:rsid w:val="00140666"/>
    <w:pPr>
      <w:numPr>
        <w:numId w:val="8"/>
      </w:numPr>
      <w:tabs>
        <w:tab w:val="clear" w:pos="1060"/>
      </w:tabs>
    </w:pPr>
  </w:style>
  <w:style w:type="paragraph" w:customStyle="1" w:styleId="MarginNote">
    <w:name w:val="Margin Note"/>
    <w:basedOn w:val="BodyText"/>
    <w:rsid w:val="001406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6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6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0666"/>
    <w:rPr>
      <w:sz w:val="32"/>
    </w:rPr>
  </w:style>
  <w:style w:type="paragraph" w:customStyle="1" w:styleId="HeadingProcedure">
    <w:name w:val="Heading Procedure"/>
    <w:basedOn w:val="HeadingBase"/>
    <w:next w:val="Normal"/>
    <w:rsid w:val="00140666"/>
    <w:pPr>
      <w:tabs>
        <w:tab w:val="left" w:pos="0"/>
      </w:tabs>
      <w:spacing w:before="120" w:after="60"/>
    </w:pPr>
    <w:rPr>
      <w:i/>
      <w:color w:val="918585"/>
      <w:sz w:val="22"/>
    </w:rPr>
  </w:style>
  <w:style w:type="paragraph" w:customStyle="1" w:styleId="TableBodyText">
    <w:name w:val="Table Body Text"/>
    <w:basedOn w:val="BodyText"/>
    <w:rsid w:val="00140666"/>
    <w:pPr>
      <w:spacing w:before="60" w:after="60"/>
    </w:pPr>
  </w:style>
  <w:style w:type="paragraph" w:styleId="ListContinue">
    <w:name w:val="List Continue"/>
    <w:basedOn w:val="List"/>
    <w:rsid w:val="00140666"/>
    <w:pPr>
      <w:ind w:firstLine="0"/>
    </w:pPr>
  </w:style>
  <w:style w:type="paragraph" w:customStyle="1" w:styleId="ListNote">
    <w:name w:val="List Note"/>
    <w:basedOn w:val="List"/>
    <w:rsid w:val="00140666"/>
    <w:pPr>
      <w:pBdr>
        <w:top w:val="single" w:sz="6" w:space="2" w:color="918585"/>
        <w:bottom w:val="single" w:sz="6" w:space="2" w:color="918585"/>
      </w:pBdr>
      <w:tabs>
        <w:tab w:val="left" w:pos="1021"/>
      </w:tabs>
      <w:ind w:firstLine="0"/>
    </w:pPr>
  </w:style>
  <w:style w:type="paragraph" w:customStyle="1" w:styleId="Warning">
    <w:name w:val="Warning"/>
    <w:basedOn w:val="BodyText"/>
    <w:rsid w:val="00140666"/>
    <w:pPr>
      <w:shd w:val="clear" w:color="auto" w:fill="D9D9D9"/>
      <w:tabs>
        <w:tab w:val="left" w:pos="992"/>
      </w:tabs>
      <w:ind w:left="119" w:right="119"/>
    </w:pPr>
    <w:rPr>
      <w:sz w:val="20"/>
    </w:rPr>
  </w:style>
  <w:style w:type="paragraph" w:customStyle="1" w:styleId="MarginIcons">
    <w:name w:val="Margin Icons"/>
    <w:basedOn w:val="BodyText"/>
    <w:rsid w:val="001406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666"/>
    <w:rPr>
      <w:rFonts w:ascii="Courier New" w:hAnsi="Courier New"/>
    </w:rPr>
  </w:style>
  <w:style w:type="paragraph" w:customStyle="1" w:styleId="NoteBullet">
    <w:name w:val="Note Bullet"/>
    <w:basedOn w:val="Note"/>
    <w:rsid w:val="00140666"/>
    <w:pPr>
      <w:tabs>
        <w:tab w:val="clear" w:pos="680"/>
      </w:tabs>
      <w:spacing w:before="60" w:after="60"/>
    </w:pPr>
  </w:style>
  <w:style w:type="paragraph" w:customStyle="1" w:styleId="SubHeading2">
    <w:name w:val="SubHeading2"/>
    <w:basedOn w:val="HeadingBase"/>
    <w:rsid w:val="00140666"/>
    <w:pPr>
      <w:spacing w:before="240" w:after="60"/>
    </w:pPr>
    <w:rPr>
      <w:sz w:val="20"/>
    </w:rPr>
  </w:style>
  <w:style w:type="paragraph" w:customStyle="1" w:styleId="SubHeading1">
    <w:name w:val="SubHeading1"/>
    <w:basedOn w:val="HeadingBase"/>
    <w:rsid w:val="00140666"/>
    <w:pPr>
      <w:spacing w:before="240" w:after="60"/>
    </w:pPr>
    <w:rPr>
      <w:color w:val="918585"/>
      <w:sz w:val="22"/>
    </w:rPr>
  </w:style>
  <w:style w:type="paragraph" w:customStyle="1" w:styleId="SideHeading">
    <w:name w:val="Side Heading"/>
    <w:basedOn w:val="HeadingBase"/>
    <w:rsid w:val="001406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666"/>
    <w:pPr>
      <w:numPr>
        <w:numId w:val="10"/>
      </w:numPr>
    </w:pPr>
  </w:style>
  <w:style w:type="paragraph" w:styleId="PlainText">
    <w:name w:val="Plain Text"/>
    <w:basedOn w:val="Normal"/>
    <w:link w:val="PlainTextChar"/>
    <w:rsid w:val="00140666"/>
    <w:rPr>
      <w:sz w:val="20"/>
    </w:rPr>
  </w:style>
  <w:style w:type="character" w:customStyle="1" w:styleId="PlainTextChar">
    <w:name w:val="Plain Text Char"/>
    <w:basedOn w:val="DefaultParagraphFont"/>
    <w:link w:val="PlainText"/>
    <w:rsid w:val="001406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0666"/>
    <w:rPr>
      <w:b/>
      <w:smallCaps/>
    </w:rPr>
  </w:style>
  <w:style w:type="paragraph" w:customStyle="1" w:styleId="TableListNumber">
    <w:name w:val="Table List Number"/>
    <w:basedOn w:val="ListNumber"/>
    <w:rsid w:val="00140666"/>
    <w:pPr>
      <w:numPr>
        <w:numId w:val="0"/>
      </w:numPr>
    </w:pPr>
  </w:style>
  <w:style w:type="paragraph" w:styleId="TOC4">
    <w:name w:val="toc 4"/>
    <w:basedOn w:val="TOCBase"/>
    <w:next w:val="Normal"/>
    <w:semiHidden/>
    <w:rsid w:val="00140666"/>
    <w:pPr>
      <w:tabs>
        <w:tab w:val="right" w:leader="dot" w:pos="9071"/>
      </w:tabs>
      <w:ind w:left="1701"/>
    </w:pPr>
  </w:style>
  <w:style w:type="paragraph" w:customStyle="1" w:styleId="ListAlpha">
    <w:name w:val="List Alpha"/>
    <w:basedOn w:val="List"/>
    <w:rsid w:val="00140666"/>
    <w:pPr>
      <w:numPr>
        <w:numId w:val="7"/>
      </w:numPr>
    </w:pPr>
  </w:style>
  <w:style w:type="paragraph" w:customStyle="1" w:styleId="ListAlpha2">
    <w:name w:val="List Alpha 2"/>
    <w:basedOn w:val="List2"/>
    <w:rsid w:val="00140666"/>
    <w:pPr>
      <w:numPr>
        <w:numId w:val="6"/>
      </w:numPr>
    </w:pPr>
  </w:style>
  <w:style w:type="paragraph" w:styleId="List2">
    <w:name w:val="List 2"/>
    <w:basedOn w:val="BodyText"/>
    <w:rsid w:val="00140666"/>
    <w:pPr>
      <w:tabs>
        <w:tab w:val="left" w:pos="680"/>
      </w:tabs>
      <w:spacing w:before="60" w:after="60"/>
      <w:ind w:left="680" w:hanging="340"/>
    </w:pPr>
  </w:style>
  <w:style w:type="paragraph" w:styleId="List3">
    <w:name w:val="List 3"/>
    <w:basedOn w:val="BodyText"/>
    <w:rsid w:val="00140666"/>
    <w:pPr>
      <w:tabs>
        <w:tab w:val="left" w:pos="1021"/>
      </w:tabs>
      <w:spacing w:before="60" w:after="60"/>
      <w:ind w:left="1020" w:hanging="340"/>
    </w:pPr>
  </w:style>
  <w:style w:type="paragraph" w:styleId="List4">
    <w:name w:val="List 4"/>
    <w:basedOn w:val="BodyText"/>
    <w:rsid w:val="00140666"/>
    <w:pPr>
      <w:tabs>
        <w:tab w:val="left" w:pos="1361"/>
      </w:tabs>
      <w:spacing w:before="60" w:after="60"/>
      <w:ind w:left="1361" w:hanging="340"/>
    </w:pPr>
  </w:style>
  <w:style w:type="paragraph" w:styleId="List5">
    <w:name w:val="List 5"/>
    <w:basedOn w:val="BodyText"/>
    <w:rsid w:val="00140666"/>
    <w:pPr>
      <w:tabs>
        <w:tab w:val="left" w:pos="1701"/>
      </w:tabs>
      <w:spacing w:before="60" w:after="60"/>
      <w:ind w:left="1701" w:hanging="340"/>
    </w:pPr>
  </w:style>
  <w:style w:type="paragraph" w:styleId="ListBullet3">
    <w:name w:val="List Bullet 3"/>
    <w:basedOn w:val="List3"/>
    <w:rsid w:val="00140666"/>
    <w:pPr>
      <w:numPr>
        <w:numId w:val="13"/>
      </w:numPr>
      <w:tabs>
        <w:tab w:val="clear" w:pos="1021"/>
      </w:tabs>
      <w:ind w:left="1037" w:hanging="357"/>
    </w:pPr>
  </w:style>
  <w:style w:type="paragraph" w:styleId="ListBullet4">
    <w:name w:val="List Bullet 4"/>
    <w:basedOn w:val="List4"/>
    <w:rsid w:val="00140666"/>
    <w:pPr>
      <w:numPr>
        <w:numId w:val="1"/>
      </w:numPr>
    </w:pPr>
  </w:style>
  <w:style w:type="paragraph" w:styleId="ListBullet5">
    <w:name w:val="List Bullet 5"/>
    <w:basedOn w:val="List5"/>
    <w:rsid w:val="00140666"/>
    <w:pPr>
      <w:numPr>
        <w:numId w:val="2"/>
      </w:numPr>
    </w:pPr>
  </w:style>
  <w:style w:type="paragraph" w:styleId="ListContinue2">
    <w:name w:val="List Continue 2"/>
    <w:basedOn w:val="List2"/>
    <w:rsid w:val="00140666"/>
    <w:pPr>
      <w:ind w:firstLine="0"/>
    </w:pPr>
  </w:style>
  <w:style w:type="paragraph" w:styleId="ListContinue3">
    <w:name w:val="List Continue 3"/>
    <w:basedOn w:val="List3"/>
    <w:rsid w:val="00140666"/>
    <w:pPr>
      <w:ind w:left="1021" w:firstLine="0"/>
    </w:pPr>
  </w:style>
  <w:style w:type="paragraph" w:styleId="ListContinue4">
    <w:name w:val="List Continue 4"/>
    <w:basedOn w:val="List4"/>
    <w:rsid w:val="00140666"/>
    <w:pPr>
      <w:ind w:firstLine="0"/>
    </w:pPr>
  </w:style>
  <w:style w:type="paragraph" w:styleId="ListContinue5">
    <w:name w:val="List Continue 5"/>
    <w:basedOn w:val="List5"/>
    <w:rsid w:val="00140666"/>
    <w:pPr>
      <w:ind w:firstLine="0"/>
    </w:pPr>
  </w:style>
  <w:style w:type="paragraph" w:styleId="ListNumber3">
    <w:name w:val="List Number 3"/>
    <w:basedOn w:val="List3"/>
    <w:rsid w:val="00140666"/>
    <w:pPr>
      <w:numPr>
        <w:numId w:val="3"/>
      </w:numPr>
    </w:pPr>
  </w:style>
  <w:style w:type="paragraph" w:styleId="ListNumber4">
    <w:name w:val="List Number 4"/>
    <w:basedOn w:val="List4"/>
    <w:rsid w:val="00140666"/>
    <w:pPr>
      <w:numPr>
        <w:numId w:val="4"/>
      </w:numPr>
    </w:pPr>
  </w:style>
  <w:style w:type="paragraph" w:styleId="ListNumber5">
    <w:name w:val="List Number 5"/>
    <w:basedOn w:val="List5"/>
    <w:rsid w:val="00140666"/>
    <w:pPr>
      <w:numPr>
        <w:numId w:val="5"/>
      </w:numPr>
    </w:pPr>
  </w:style>
  <w:style w:type="paragraph" w:styleId="BlockText">
    <w:name w:val="Block Text"/>
    <w:basedOn w:val="Normal"/>
    <w:rsid w:val="00140666"/>
    <w:pPr>
      <w:spacing w:after="120"/>
      <w:ind w:left="1440" w:right="1440"/>
    </w:pPr>
  </w:style>
  <w:style w:type="character" w:customStyle="1" w:styleId="Subscript">
    <w:name w:val="Subscript"/>
    <w:basedOn w:val="DefaultParagraphFont"/>
    <w:rsid w:val="00140666"/>
    <w:rPr>
      <w:sz w:val="16"/>
      <w:vertAlign w:val="subscript"/>
    </w:rPr>
  </w:style>
  <w:style w:type="character" w:customStyle="1" w:styleId="Superscript">
    <w:name w:val="Superscript"/>
    <w:basedOn w:val="DefaultParagraphFont"/>
    <w:rsid w:val="00140666"/>
    <w:rPr>
      <w:sz w:val="16"/>
      <w:vertAlign w:val="superscript"/>
    </w:rPr>
  </w:style>
  <w:style w:type="character" w:customStyle="1" w:styleId="Symbols">
    <w:name w:val="Symbols"/>
    <w:basedOn w:val="DefaultParagraphFont"/>
    <w:rsid w:val="00140666"/>
    <w:rPr>
      <w:rFonts w:ascii="Symbol" w:hAnsi="Symbol"/>
    </w:rPr>
  </w:style>
  <w:style w:type="character" w:customStyle="1" w:styleId="MenuOptions">
    <w:name w:val="Menu Options"/>
    <w:basedOn w:val="DefaultParagraphFont"/>
    <w:rsid w:val="00140666"/>
    <w:rPr>
      <w:rFonts w:ascii="Arial Narrow" w:hAnsi="Arial Narrow"/>
      <w:smallCaps/>
    </w:rPr>
  </w:style>
  <w:style w:type="character" w:customStyle="1" w:styleId="Buttons">
    <w:name w:val="Buttons"/>
    <w:basedOn w:val="DefaultParagraphFont"/>
    <w:rsid w:val="00140666"/>
    <w:rPr>
      <w:b/>
    </w:rPr>
  </w:style>
  <w:style w:type="character" w:customStyle="1" w:styleId="Underlined">
    <w:name w:val="Underlined"/>
    <w:basedOn w:val="DefaultParagraphFont"/>
    <w:rsid w:val="00140666"/>
    <w:rPr>
      <w:u w:val="single"/>
    </w:rPr>
  </w:style>
  <w:style w:type="paragraph" w:customStyle="1" w:styleId="TableBodyTextRight">
    <w:name w:val="Table Body Text Right"/>
    <w:basedOn w:val="TableBodyText"/>
    <w:rsid w:val="00140666"/>
    <w:pPr>
      <w:widowControl w:val="0"/>
      <w:autoSpaceDE w:val="0"/>
      <w:autoSpaceDN w:val="0"/>
      <w:adjustRightInd w:val="0"/>
      <w:jc w:val="right"/>
    </w:pPr>
    <w:rPr>
      <w:rFonts w:cs="Arial"/>
      <w:szCs w:val="18"/>
    </w:rPr>
  </w:style>
  <w:style w:type="paragraph" w:customStyle="1" w:styleId="CopyrightText">
    <w:name w:val="Copyright Text"/>
    <w:basedOn w:val="BodyText"/>
    <w:rsid w:val="00140666"/>
    <w:rPr>
      <w:sz w:val="18"/>
    </w:rPr>
  </w:style>
  <w:style w:type="paragraph" w:customStyle="1" w:styleId="BodySmallRight">
    <w:name w:val="Body Small Right"/>
    <w:basedOn w:val="BodyTextRight"/>
    <w:rsid w:val="00140666"/>
    <w:rPr>
      <w:sz w:val="18"/>
      <w:szCs w:val="18"/>
    </w:rPr>
  </w:style>
  <w:style w:type="paragraph" w:customStyle="1" w:styleId="MarginEdition">
    <w:name w:val="Margin Edition"/>
    <w:basedOn w:val="MarginNote"/>
    <w:rsid w:val="00140666"/>
    <w:pPr>
      <w:spacing w:before="0" w:after="0"/>
    </w:pPr>
    <w:rPr>
      <w:rFonts w:ascii="Times New Roman" w:hAnsi="Times New Roman"/>
      <w:color w:val="999999"/>
    </w:rPr>
  </w:style>
  <w:style w:type="paragraph" w:customStyle="1" w:styleId="Spacer">
    <w:name w:val="Spacer"/>
    <w:basedOn w:val="Normal"/>
    <w:rsid w:val="00140666"/>
    <w:rPr>
      <w:sz w:val="2"/>
      <w:szCs w:val="2"/>
    </w:rPr>
  </w:style>
  <w:style w:type="character" w:customStyle="1" w:styleId="Small">
    <w:name w:val="Small"/>
    <w:basedOn w:val="DefaultParagraphFont"/>
    <w:rsid w:val="00140666"/>
    <w:rPr>
      <w:sz w:val="16"/>
    </w:rPr>
  </w:style>
  <w:style w:type="paragraph" w:customStyle="1" w:styleId="WideTable">
    <w:name w:val="Wide Table"/>
    <w:basedOn w:val="Normal"/>
    <w:rsid w:val="00140666"/>
    <w:pPr>
      <w:ind w:left="-1418"/>
    </w:pPr>
    <w:rPr>
      <w:sz w:val="2"/>
      <w:szCs w:val="2"/>
    </w:rPr>
  </w:style>
  <w:style w:type="character" w:styleId="PageNumber">
    <w:name w:val="page number"/>
    <w:basedOn w:val="DefaultParagraphFont"/>
    <w:rsid w:val="00140666"/>
  </w:style>
  <w:style w:type="paragraph" w:styleId="Quote">
    <w:name w:val="Quote"/>
    <w:basedOn w:val="Heading1"/>
    <w:link w:val="QuoteChar"/>
    <w:qFormat/>
    <w:rsid w:val="00140666"/>
    <w:rPr>
      <w:b w:val="0"/>
      <w:sz w:val="72"/>
      <w:szCs w:val="72"/>
      <w:lang w:val="en-NZ"/>
    </w:rPr>
  </w:style>
  <w:style w:type="character" w:customStyle="1" w:styleId="QuoteChar">
    <w:name w:val="Quote Char"/>
    <w:basedOn w:val="DefaultParagraphFont"/>
    <w:link w:val="Quote"/>
    <w:rsid w:val="001406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666"/>
    <w:pPr>
      <w:pageBreakBefore/>
    </w:pPr>
  </w:style>
  <w:style w:type="paragraph" w:customStyle="1" w:styleId="Border">
    <w:name w:val="Border"/>
    <w:basedOn w:val="Normal"/>
    <w:qFormat/>
    <w:rsid w:val="001406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666"/>
    <w:rPr>
      <w:b/>
      <w:bCs/>
      <w:i/>
      <w:iCs/>
      <w:color w:val="auto"/>
    </w:rPr>
  </w:style>
  <w:style w:type="paragraph" w:styleId="IntenseQuote">
    <w:name w:val="Intense Quote"/>
    <w:basedOn w:val="Normal"/>
    <w:next w:val="Normal"/>
    <w:link w:val="IntenseQuoteChar"/>
    <w:uiPriority w:val="30"/>
    <w:qFormat/>
    <w:rsid w:val="001406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6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0666"/>
    <w:rPr>
      <w:smallCaps/>
      <w:color w:val="auto"/>
      <w:u w:val="single"/>
    </w:rPr>
  </w:style>
  <w:style w:type="character" w:styleId="IntenseReference">
    <w:name w:val="Intense Reference"/>
    <w:basedOn w:val="DefaultParagraphFont"/>
    <w:uiPriority w:val="32"/>
    <w:qFormat/>
    <w:rsid w:val="00140666"/>
    <w:rPr>
      <w:b/>
      <w:bCs/>
      <w:smallCaps/>
      <w:color w:val="auto"/>
      <w:spacing w:val="5"/>
      <w:u w:val="single"/>
    </w:rPr>
  </w:style>
  <w:style w:type="paragraph" w:customStyle="1" w:styleId="2ColumnHeading">
    <w:name w:val="2Column Heading"/>
    <w:basedOn w:val="BodyText"/>
    <w:qFormat/>
    <w:rsid w:val="00140666"/>
    <w:pPr>
      <w:spacing w:after="60"/>
      <w:ind w:left="-2268"/>
    </w:pPr>
    <w:rPr>
      <w:b/>
    </w:rPr>
  </w:style>
  <w:style w:type="paragraph" w:customStyle="1" w:styleId="Heading1TOC">
    <w:name w:val="Heading1 TOC"/>
    <w:basedOn w:val="Normal"/>
    <w:qFormat/>
    <w:rsid w:val="00140666"/>
    <w:pPr>
      <w:spacing w:before="240" w:after="120"/>
    </w:pPr>
    <w:rPr>
      <w:rFonts w:ascii="Times New Roman" w:hAnsi="Times New Roman"/>
      <w:b/>
      <w:sz w:val="32"/>
    </w:rPr>
  </w:style>
  <w:style w:type="paragraph" w:customStyle="1" w:styleId="Heading2TOC">
    <w:name w:val="Heading2 TOC"/>
    <w:basedOn w:val="Normal"/>
    <w:qFormat/>
    <w:rsid w:val="00140666"/>
    <w:pPr>
      <w:spacing w:before="240" w:after="60"/>
    </w:pPr>
    <w:rPr>
      <w:rFonts w:ascii="Times New Roman" w:hAnsi="Times New Roman"/>
      <w:b/>
      <w:sz w:val="28"/>
    </w:rPr>
  </w:style>
  <w:style w:type="character" w:customStyle="1" w:styleId="Underline">
    <w:name w:val="Underline"/>
    <w:basedOn w:val="DefaultParagraphFont"/>
    <w:qFormat/>
    <w:rsid w:val="00140666"/>
    <w:rPr>
      <w:u w:val="single"/>
    </w:rPr>
  </w:style>
  <w:style w:type="character" w:customStyle="1" w:styleId="BoldandItalics">
    <w:name w:val="Bold and Italics"/>
    <w:qFormat/>
    <w:rsid w:val="00140666"/>
    <w:rPr>
      <w:b/>
      <w:i/>
      <w:u w:val="none"/>
    </w:rPr>
  </w:style>
  <w:style w:type="paragraph" w:styleId="BalloonText">
    <w:name w:val="Balloon Text"/>
    <w:basedOn w:val="Normal"/>
    <w:link w:val="BalloonTextChar"/>
    <w:rsid w:val="00140666"/>
    <w:rPr>
      <w:rFonts w:ascii="Tahoma" w:hAnsi="Tahoma" w:cs="Tahoma"/>
      <w:sz w:val="16"/>
      <w:szCs w:val="16"/>
    </w:rPr>
  </w:style>
  <w:style w:type="character" w:customStyle="1" w:styleId="BalloonTextChar">
    <w:name w:val="Balloon Text Char"/>
    <w:basedOn w:val="DefaultParagraphFont"/>
    <w:link w:val="BalloonText"/>
    <w:rsid w:val="001406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06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06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1069</Words>
  <Characters>6759</Characters>
  <Application>Microsoft Office Word</Application>
  <DocSecurity>0</DocSecurity>
  <Lines>276</Lines>
  <Paragraphs>123</Paragraphs>
  <ScaleCrop>false</ScaleCrop>
  <Company>Author-it Software Corporation Ltd.</Company>
  <LinksUpToDate>false</LinksUpToDate>
  <CharactersWithSpaces>7746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MEM07008C Perform grinding operations</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2012-05-27T01:34:00Z</dcterms:created>
  <dcterms:modified xsi:type="dcterms:W3CDTF">2012-05-27T01:34:00Z</dcterms:modified>
</cp:coreProperties>
</file>