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852" w:rsidP="005F2852">
      <w:pPr>
        <w:pStyle w:val="Title"/>
      </w:pPr>
      <w:r>
        <w:fldChar w:fldCharType="begin"/>
      </w:r>
      <w:r>
        <w:instrText xml:space="preserve"> TITLE   \* MERGEFORMAT </w:instrText>
      </w:r>
      <w:r>
        <w:fldChar w:fldCharType="separate"/>
      </w:r>
      <w:r>
        <w:t>MEM07007B Perform milling operations</w:t>
      </w:r>
      <w:r>
        <w:fldChar w:fldCharType="end"/>
      </w:r>
    </w:p>
    <w:p w:rsidR="005F2852" w:rsidP="005F2852">
      <w:pPr>
        <w:pStyle w:val="Version"/>
        <w:sectPr w:rsidSect="002825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57D" w:rsidP="0028257D">
      <w:pPr>
        <w:pStyle w:val="SuperHeading"/>
      </w:pPr>
      <w:r w:rsidRPr="0028257D">
        <w:t>MEM07007B Perform milling operations</w:t>
      </w:r>
    </w:p>
    <w:p w:rsidR="00000000" w:rsidRPr="0028257D" w:rsidP="0028257D">
      <w:pPr>
        <w:pStyle w:val="Heading1"/>
      </w:pPr>
      <w:bookmarkStart w:id="1" w:name="O_311672"/>
      <w:bookmarkEnd w:id="1"/>
      <w:r w:rsidRPr="0028257D">
        <w:t>Modification History</w:t>
      </w:r>
    </w:p>
    <w:p w:rsidR="00000000" w:rsidRPr="0028257D" w:rsidP="0028257D">
      <w:pPr>
        <w:pStyle w:val="BodyText"/>
      </w:pPr>
      <w:r w:rsidRPr="0028257D">
        <w:t>There are no notes for this unit.</w:t>
      </w:r>
    </w:p>
    <w:p w:rsidR="00000000" w:rsidRPr="0028257D" w:rsidP="0028257D">
      <w:pPr>
        <w:pStyle w:val="AllowPageBreak"/>
      </w:pPr>
    </w:p>
    <w:p w:rsidR="00000000" w:rsidRPr="0028257D" w:rsidP="0028257D">
      <w:pPr>
        <w:pStyle w:val="Heading1"/>
      </w:pPr>
      <w:bookmarkStart w:id="2" w:name="O_311675"/>
      <w:bookmarkEnd w:id="2"/>
      <w:r w:rsidRPr="0028257D">
        <w:t>Unit Descriptor</w:t>
      </w:r>
    </w:p>
    <w:p w:rsidR="00000000" w:rsidRPr="0028257D" w:rsidP="0028257D">
      <w:pPr>
        <w:pStyle w:val="BodyText"/>
      </w:pPr>
      <w:r w:rsidRPr="0028257D">
        <w:t>This unit covers performing milling operations on a range of milling machines.</w:t>
      </w:r>
    </w:p>
    <w:p w:rsidR="00000000" w:rsidRPr="0028257D" w:rsidP="0028257D">
      <w:pPr>
        <w:pStyle w:val="AllowPageBreak"/>
      </w:pPr>
    </w:p>
    <w:p w:rsidR="00000000" w:rsidRPr="0028257D" w:rsidP="0028257D">
      <w:pPr>
        <w:pStyle w:val="Heading1"/>
      </w:pPr>
      <w:bookmarkStart w:id="3" w:name="O_311676"/>
      <w:bookmarkEnd w:id="3"/>
      <w:r w:rsidRPr="0028257D">
        <w:t xml:space="preserve">Application of </w:t>
      </w:r>
      <w:r w:rsidRPr="0028257D">
        <w:t>the Unit</w:t>
      </w:r>
    </w:p>
    <w:p w:rsidR="00000000" w:rsidRPr="0028257D" w:rsidP="0028257D">
      <w:pPr>
        <w:pStyle w:val="BodyText"/>
      </w:pPr>
      <w:r w:rsidRPr="0028257D">
        <w:t>This unit applies to a range of milling machines including vertical, horizontal and universal types, a range of precision measuring equipment and cutting tools.</w:t>
      </w:r>
    </w:p>
    <w:p w:rsidR="00000000" w:rsidRPr="0028257D" w:rsidP="0028257D">
      <w:pPr>
        <w:pStyle w:val="BodyText"/>
      </w:pPr>
      <w:r w:rsidRPr="0028257D">
        <w:t>Work is performed to established processes, practices and to drawings, sketches, speci</w:t>
      </w:r>
      <w:r w:rsidRPr="0028257D">
        <w:t>fications and instructions as appropriate. Cutting tools are selected using International Standard Organisation (I.SO) standards or according to standard operating procedure as appropriate.</w:t>
      </w:r>
    </w:p>
    <w:p w:rsidR="00000000" w:rsidRPr="0028257D" w:rsidP="0028257D">
      <w:pPr>
        <w:pStyle w:val="AllowPageBreak"/>
      </w:pPr>
    </w:p>
    <w:p w:rsidR="00000000" w:rsidRPr="0028257D" w:rsidP="0028257D">
      <w:pPr>
        <w:pStyle w:val="Heading1"/>
      </w:pPr>
      <w:bookmarkStart w:id="4" w:name="O_311677"/>
      <w:bookmarkEnd w:id="4"/>
      <w:r w:rsidRPr="0028257D">
        <w:t>Licensing/Regulatory Information</w:t>
      </w:r>
    </w:p>
    <w:p w:rsidR="00000000" w:rsidRPr="0028257D" w:rsidP="0028257D">
      <w:pPr>
        <w:pStyle w:val="Heading1"/>
      </w:pPr>
      <w:bookmarkStart w:id="5" w:name="O_311678"/>
      <w:bookmarkEnd w:id="5"/>
      <w:r w:rsidRPr="0028257D">
        <w:t>Pre-Requisites</w:t>
      </w:r>
    </w:p>
    <w:tbl>
      <w:tblPr>
        <w:tblW w:w="0" w:type="auto"/>
        <w:tblLayout w:type="fixed"/>
        <w:tblCellMar>
          <w:left w:w="62" w:type="dxa"/>
          <w:right w:w="62" w:type="dxa"/>
        </w:tblCellMar>
        <w:tblLook w:val="0000"/>
      </w:tblPr>
      <w:tblGrid>
        <w:gridCol w:w="4500"/>
        <w:gridCol w:w="4500"/>
      </w:tblGrid>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Path 1</w:t>
            </w:r>
          </w:p>
        </w:tc>
        <w:tc>
          <w:tcPr>
            <w:tcW w:w="4500" w:type="dxa"/>
            <w:tcBorders>
              <w:top w:val="nil"/>
              <w:left w:val="nil"/>
              <w:bottom w:val="nil"/>
              <w:right w:val="nil"/>
            </w:tcBorders>
            <w:tcMar>
              <w:top w:w="0" w:type="dxa"/>
              <w:left w:w="62" w:type="dxa"/>
              <w:bottom w:w="0" w:type="dxa"/>
              <w:right w:w="62" w:type="dxa"/>
            </w:tcMar>
          </w:tcPr>
          <w:p w:rsidR="00000000" w:rsidRPr="0028257D" w:rsidP="0028257D">
            <w:pPr>
              <w:pStyle w:val="BodyText"/>
            </w:pPr>
            <w:r w:rsidRPr="0028257D">
              <w:t>MEM07005B Perform general machining</w:t>
            </w:r>
          </w:p>
          <w:p w:rsidR="00000000" w:rsidRPr="0028257D" w:rsidP="0028257D">
            <w:pPr>
              <w:pStyle w:val="BodyText"/>
            </w:pPr>
            <w:r w:rsidRPr="0028257D">
              <w:t>MEM09002B Interpret technical drawing</w:t>
            </w:r>
          </w:p>
          <w:p w:rsidR="00000000" w:rsidRPr="0028257D" w:rsidP="0028257D">
            <w:pPr>
              <w:pStyle w:val="BodyText"/>
            </w:pPr>
            <w:r w:rsidRPr="0028257D">
              <w:t>MEM12023A Perform engineering measurements</w:t>
            </w:r>
          </w:p>
          <w:p w:rsidR="00000000" w:rsidRPr="0028257D" w:rsidP="0028257D">
            <w:pPr>
              <w:pStyle w:val="BodyText"/>
            </w:pPr>
            <w:r w:rsidRPr="0028257D">
              <w:t>MEM18001C Use hand tools</w:t>
            </w:r>
          </w:p>
        </w:tc>
      </w:tr>
    </w:tbl>
    <w:p w:rsidR="00000000" w:rsidRPr="0028257D" w:rsidP="0028257D">
      <w:pPr>
        <w:pStyle w:val="BodyText"/>
      </w:pPr>
    </w:p>
    <w:p w:rsidR="00000000" w:rsidRPr="0028257D" w:rsidP="0028257D">
      <w:pPr>
        <w:pStyle w:val="AllowPageBreak"/>
      </w:pPr>
    </w:p>
    <w:p w:rsidR="00000000" w:rsidRPr="0028257D" w:rsidP="0028257D">
      <w:pPr>
        <w:pStyle w:val="Heading1"/>
      </w:pPr>
      <w:bookmarkStart w:id="6" w:name="O_311679"/>
      <w:bookmarkEnd w:id="6"/>
      <w:r w:rsidRPr="0028257D">
        <w:t>Employability Skills Information</w:t>
      </w:r>
    </w:p>
    <w:p w:rsidR="00000000" w:rsidRPr="0028257D" w:rsidP="0028257D">
      <w:pPr>
        <w:pStyle w:val="Heading1"/>
      </w:pPr>
      <w:bookmarkStart w:id="7" w:name="O_311664"/>
      <w:bookmarkEnd w:id="7"/>
      <w:r w:rsidRPr="0028257D">
        <w:t>Elements and Performa</w:t>
      </w:r>
      <w:r w:rsidRPr="0028257D">
        <w:t>nce Criteria Pre-Content</w:t>
      </w:r>
    </w:p>
    <w:p w:rsidR="00000000" w:rsidRPr="0028257D" w:rsidP="0028257D">
      <w:pPr>
        <w:pStyle w:val="BodyText"/>
      </w:pPr>
      <w:r w:rsidRPr="0028257D">
        <w:t>Elements are the essential outcomes of the unit of competency.</w:t>
      </w:r>
    </w:p>
    <w:p w:rsidR="00000000" w:rsidRPr="0028257D" w:rsidP="0028257D">
      <w:pPr>
        <w:pStyle w:val="BodyText"/>
      </w:pPr>
      <w:r w:rsidRPr="0028257D">
        <w:t>Together, performance criteria specify the requirements for competent performance. Text in italics is explained in the range statement following.</w:t>
      </w:r>
    </w:p>
    <w:p w:rsidR="00000000" w:rsidRPr="0028257D" w:rsidP="0028257D">
      <w:pPr>
        <w:pStyle w:val="AllowPageBreak"/>
      </w:pPr>
    </w:p>
    <w:p w:rsidR="00000000" w:rsidRPr="0028257D" w:rsidP="0028257D">
      <w:pPr>
        <w:pStyle w:val="Heading1"/>
      </w:pPr>
      <w:bookmarkStart w:id="8" w:name="O_311674"/>
      <w:bookmarkEnd w:id="8"/>
      <w:r w:rsidRPr="0028257D">
        <w:t>Eleme</w:t>
      </w:r>
      <w:r w:rsidRPr="0028257D">
        <w:t>nts and Performance Criteria</w:t>
      </w:r>
    </w:p>
    <w:tbl>
      <w:tblPr>
        <w:tblW w:w="0" w:type="auto"/>
        <w:tblLayout w:type="fixed"/>
        <w:tblCellMar>
          <w:left w:w="62" w:type="dxa"/>
          <w:right w:w="62" w:type="dxa"/>
        </w:tblCellMar>
        <w:tblLook w:val="0000"/>
      </w:tblPr>
      <w:tblGrid>
        <w:gridCol w:w="400"/>
        <w:gridCol w:w="3000"/>
        <w:gridCol w:w="500"/>
        <w:gridCol w:w="5100"/>
      </w:tblGrid>
      <w:tr w:rsidTr="005F285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Elements and Performance Criteria</w:t>
            </w:r>
          </w:p>
        </w:tc>
      </w:tr>
      <w:tr w:rsidTr="005F285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8257D" w:rsidP="0028257D">
            <w:pPr>
              <w:pStyle w:val="BodyText"/>
            </w:pPr>
            <w:r w:rsidRPr="0028257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Performance Criteria</w:t>
            </w:r>
          </w:p>
        </w:tc>
      </w:tr>
      <w:tr w:rsidTr="005F2852">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1</w:t>
            </w:r>
          </w:p>
        </w:tc>
        <w:tc>
          <w:tcPr>
            <w:tcW w:w="30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Observe safety precautions </w:t>
            </w:r>
          </w:p>
        </w:tc>
        <w:tc>
          <w:tcPr>
            <w:tcW w:w="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1.1</w:t>
            </w:r>
          </w:p>
        </w:tc>
        <w:tc>
          <w:tcPr>
            <w:tcW w:w="51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Correct safety procedures are observed, and protective clothing and safety glasses are worn.</w:t>
            </w:r>
          </w:p>
        </w:tc>
      </w:tr>
      <w:tr w:rsidTr="005F285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2</w:t>
            </w:r>
          </w:p>
        </w:tc>
        <w:tc>
          <w:tcPr>
            <w:tcW w:w="3000" w:type="dxa"/>
            <w:vMerge w:val="restart"/>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Determine job requirements</w:t>
            </w:r>
          </w:p>
        </w:tc>
        <w:tc>
          <w:tcPr>
            <w:tcW w:w="500" w:type="dxa"/>
            <w:tcBorders>
              <w:top w:val="nil"/>
              <w:left w:val="nil"/>
              <w:bottom w:val="nil"/>
              <w:right w:val="nil"/>
            </w:tcBorders>
            <w:tcMar>
              <w:top w:w="0" w:type="dxa"/>
              <w:left w:w="62" w:type="dxa"/>
              <w:bottom w:w="0" w:type="dxa"/>
              <w:right w:w="62" w:type="dxa"/>
            </w:tcMar>
          </w:tcPr>
          <w:p w:rsidR="00000000" w:rsidRPr="0028257D" w:rsidP="0028257D">
            <w:pPr>
              <w:pStyle w:val="BodyText"/>
            </w:pPr>
            <w:r w:rsidRPr="0028257D">
              <w:t>2.1</w:t>
            </w:r>
          </w:p>
        </w:tc>
        <w:tc>
          <w:tcPr>
            <w:tcW w:w="51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 xml:space="preserve">Drawings </w:t>
            </w:r>
            <w:r w:rsidRPr="0028257D">
              <w:t xml:space="preserve">are interpreted, the sequence of operations is determined and </w:t>
            </w:r>
            <w:r w:rsidRPr="0028257D">
              <w:rPr>
                <w:rStyle w:val="SpecialBold"/>
              </w:rPr>
              <w:t xml:space="preserve">tooling </w:t>
            </w:r>
            <w:r w:rsidRPr="0028257D">
              <w:t>is selected to produce component to specification.</w:t>
            </w:r>
          </w:p>
        </w:tc>
      </w:tr>
      <w:tr w:rsidTr="005F28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8257D" w:rsidP="0028257D">
            <w:pPr>
              <w:pStyle w:val="BodyText"/>
            </w:pPr>
            <w:r w:rsidRPr="0028257D">
              <w:t>2.2</w:t>
            </w:r>
          </w:p>
        </w:tc>
        <w:tc>
          <w:tcPr>
            <w:tcW w:w="51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 xml:space="preserve">Cutting parameters </w:t>
            </w:r>
            <w:r w:rsidRPr="0028257D">
              <w:t>are determined.</w:t>
            </w:r>
          </w:p>
        </w:tc>
      </w:tr>
      <w:tr w:rsidTr="005F285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3</w:t>
            </w:r>
          </w:p>
        </w:tc>
        <w:tc>
          <w:tcPr>
            <w:tcW w:w="3000" w:type="dxa"/>
            <w:vMerge w:val="restart"/>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Perform milling operations</w:t>
            </w:r>
          </w:p>
        </w:tc>
        <w:tc>
          <w:tcPr>
            <w:tcW w:w="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3.1</w:t>
            </w:r>
          </w:p>
        </w:tc>
        <w:tc>
          <w:tcPr>
            <w:tcW w:w="51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Milling operations are carried out to produce components to specification.</w:t>
            </w:r>
          </w:p>
        </w:tc>
      </w:tr>
      <w:tr w:rsidTr="005F28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3.2</w:t>
            </w:r>
          </w:p>
        </w:tc>
        <w:tc>
          <w:tcPr>
            <w:tcW w:w="51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Operations are undertaken using conventional and/or climb milling techniques and a variety of cutters including slab, gang, end, shell, slot, form, slitting.</w:t>
            </w:r>
          </w:p>
        </w:tc>
      </w:tr>
      <w:tr w:rsidTr="005F28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3.3</w:t>
            </w:r>
          </w:p>
        </w:tc>
        <w:tc>
          <w:tcPr>
            <w:tcW w:w="51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The full </w:t>
            </w:r>
            <w:r w:rsidRPr="0028257D">
              <w:t xml:space="preserve">range of standard </w:t>
            </w:r>
            <w:r w:rsidRPr="0028257D">
              <w:rPr>
                <w:rStyle w:val="SpecialBold"/>
              </w:rPr>
              <w:t xml:space="preserve">accessories </w:t>
            </w:r>
            <w:r w:rsidRPr="0028257D">
              <w:t>is used including dividing heads and rotary tables as required.</w:t>
            </w:r>
          </w:p>
        </w:tc>
      </w:tr>
      <w:tr w:rsidTr="005F2852">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4</w:t>
            </w:r>
          </w:p>
        </w:tc>
        <w:tc>
          <w:tcPr>
            <w:tcW w:w="30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Check components for conformance to specification </w:t>
            </w:r>
          </w:p>
        </w:tc>
        <w:tc>
          <w:tcPr>
            <w:tcW w:w="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4.1</w:t>
            </w:r>
          </w:p>
        </w:tc>
        <w:tc>
          <w:tcPr>
            <w:tcW w:w="5100" w:type="dxa"/>
            <w:tcBorders>
              <w:top w:val="nil"/>
              <w:left w:val="nil"/>
              <w:bottom w:val="nil"/>
              <w:right w:val="nil"/>
            </w:tcBorders>
            <w:tcMar>
              <w:top w:w="0" w:type="dxa"/>
              <w:left w:w="62" w:type="dxa"/>
              <w:bottom w:w="0" w:type="dxa"/>
              <w:right w:w="62" w:type="dxa"/>
            </w:tcMar>
          </w:tcPr>
          <w:p w:rsidR="00000000" w:rsidRPr="0028257D" w:rsidP="0028257D">
            <w:pPr>
              <w:pStyle w:val="BodyText"/>
            </w:pPr>
            <w:r w:rsidRPr="0028257D">
              <w:t>Component is checked for conformance to specification using appropriate techniques, tools and equipment.</w:t>
            </w:r>
          </w:p>
        </w:tc>
      </w:tr>
    </w:tbl>
    <w:p w:rsidR="00000000" w:rsidRPr="0028257D" w:rsidP="0028257D">
      <w:pPr>
        <w:pStyle w:val="BodyText"/>
      </w:pPr>
    </w:p>
    <w:p w:rsidR="00000000" w:rsidRPr="0028257D" w:rsidP="0028257D">
      <w:pPr>
        <w:pStyle w:val="AllowPageBreak"/>
      </w:pPr>
    </w:p>
    <w:p w:rsidR="00000000" w:rsidRPr="0028257D" w:rsidP="0028257D">
      <w:pPr>
        <w:pStyle w:val="Heading1"/>
      </w:pPr>
      <w:bookmarkStart w:id="9" w:name="O_311673"/>
      <w:bookmarkEnd w:id="9"/>
      <w:r w:rsidRPr="0028257D">
        <w:t>Required Skills and Knowledge</w:t>
      </w:r>
    </w:p>
    <w:p w:rsidR="00000000" w:rsidRPr="0028257D" w:rsidP="0028257D">
      <w:pPr>
        <w:pStyle w:val="Heading1"/>
      </w:pPr>
      <w:bookmarkStart w:id="10" w:name="O_311670"/>
      <w:bookmarkEnd w:id="10"/>
      <w:r w:rsidRPr="0028257D">
        <w:t>Evidence Guide</w:t>
      </w:r>
    </w:p>
    <w:tbl>
      <w:tblPr>
        <w:tblW w:w="0" w:type="auto"/>
        <w:tblLayout w:type="fixed"/>
        <w:tblCellMar>
          <w:left w:w="62" w:type="dxa"/>
          <w:right w:w="62" w:type="dxa"/>
        </w:tblCellMar>
        <w:tblLook w:val="0000"/>
      </w:tblPr>
      <w:tblGrid>
        <w:gridCol w:w="4500"/>
        <w:gridCol w:w="4500"/>
      </w:tblGrid>
      <w:tr w:rsidTr="005F28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The evidence guide specifies the evidence required to demonstrate achievement in the unit of competency as a whole. It must be read in conjunction with the unit descriptor, pe</w:t>
            </w:r>
            <w:r w:rsidRPr="0028257D">
              <w:t>rformance criteria, range statement and the assessment guidelines for the Metal and Engineering Training Package</w:t>
            </w: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A person who demonstrates competency in this unit must be able to perform milling operations. Competency in this unit cannot be claimed until all prerequisites have been satisfied. </w:t>
            </w: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This unit may be assessed on the job, off the job o</w:t>
            </w:r>
            <w:r w:rsidRPr="0028257D">
              <w:t>r a combination of both on and off the job. Where assessment occurs off the job, that is the candidate is not in productive work, then an appropriate simulation must be used where the range of conditions reflects realistic workplace situations. The compete</w:t>
            </w:r>
            <w:r w:rsidRPr="0028257D">
              <w:t xml:space="preserve">ncies covered by this unit would be demonstrated by an individual working alone or as part of a team. The assessment environment should not disadvantage the candidate. </w:t>
            </w: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This unit could be assessed in conjunction with any other un</w:t>
            </w:r>
            <w:r w:rsidRPr="0028257D">
              <w:t xml:space="preserve">its addressing the safety, quality, communication, materials handling, recording and reporting associated with milling operations or other units requiring the exercise of the skills and knowledge covered by this unit. </w:t>
            </w: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Assessors shoul</w:t>
            </w:r>
            <w:r w:rsidRPr="0028257D">
              <w:t>d gather a range of evidence that is valid, sufficient, current and authentic. Evidence can be gathered through a variety of ways including direct observation, supervisor's reports, project work, samples and questioning. Questioning should not require lang</w:t>
            </w:r>
            <w:r w:rsidRPr="0028257D">
              <w:t xml:space="preserve">uage, literacy and numeracy skills beyond those required in this unit. The candidate must have access to all tools, equipment, materials and documentation required. The candidate must be permitted to refer to any relevant workplace procedures, product and </w:t>
            </w:r>
            <w:r w:rsidRPr="0028257D">
              <w:t xml:space="preserve">manufacturing specifications, codes, standards, manuals and reference materials. </w:t>
            </w: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Assessors must be satisfied that the candidate can competently and consistently perform all elements of the unit as specified by the criteria, inc</w:t>
            </w:r>
            <w:r w:rsidRPr="0028257D">
              <w:t xml:space="preserve">luding required knowledge, and be capable of applying the competency in new and different situations and contexts. </w:t>
            </w:r>
          </w:p>
        </w:tc>
      </w:tr>
      <w:tr w:rsidTr="005F2852">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Look for evidence that confirms skills in: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setting up jobs using appropriate equipment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calculating and setting cutting feeds and speeds appropriate to the job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interpreting drawings and job instructions/specifications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milling components to specification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visually and dimensionally checking components for conformance to specification </w:t>
            </w:r>
          </w:p>
        </w:tc>
      </w:tr>
      <w:tr w:rsidTr="005F2852">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Look for evidence that confirms knowledge of: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safety hazards associated with milling machines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sequence of operations to achieve the job requirements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cutter types and tooling geometry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consequences of varying speeds and feeds from the optimum rates calculated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effects of different materials on cutting speeds and feeds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conventional and climb milling techniques and their applications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the application of each of the following: slab, gang, shell, slot, form, and slitting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applications requiring the use of dividing heads and rotary tables when milling components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the procedures for using dividing heads and rotary tables on milling mach</w:t>
            </w:r>
            <w:r w:rsidRPr="0028257D">
              <w:t xml:space="preserve">ines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appropriate techniques, tools and equipment to measure milled components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use and application of personal protective equipment </w:t>
            </w:r>
          </w:p>
        </w:tc>
      </w:tr>
      <w:tr w:rsidTr="005F285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8257D" w:rsidP="0028257D">
            <w:pPr>
              <w:pStyle w:val="BodyText"/>
            </w:pPr>
            <w:r w:rsidRPr="0028257D">
              <w:t xml:space="preserve">safe work practices and procedures </w:t>
            </w:r>
          </w:p>
        </w:tc>
      </w:tr>
    </w:tbl>
    <w:p w:rsidR="00000000" w:rsidRPr="0028257D" w:rsidP="0028257D">
      <w:pPr>
        <w:pStyle w:val="BodyText"/>
      </w:pPr>
    </w:p>
    <w:p w:rsidR="00000000" w:rsidRPr="0028257D" w:rsidP="0028257D">
      <w:pPr>
        <w:pStyle w:val="AllowPageBreak"/>
      </w:pPr>
    </w:p>
    <w:p w:rsidR="00000000" w:rsidRPr="0028257D" w:rsidP="0028257D">
      <w:pPr>
        <w:pStyle w:val="Heading1"/>
      </w:pPr>
      <w:bookmarkStart w:id="11" w:name="O_311669"/>
      <w:bookmarkEnd w:id="11"/>
      <w:r w:rsidRPr="0028257D">
        <w:t>Range Statement</w:t>
      </w:r>
    </w:p>
    <w:tbl>
      <w:tblPr>
        <w:tblW w:w="0" w:type="auto"/>
        <w:tblLayout w:type="fixed"/>
        <w:tblCellMar>
          <w:left w:w="62" w:type="dxa"/>
          <w:right w:w="62" w:type="dxa"/>
        </w:tblCellMar>
        <w:tblLook w:val="0000"/>
      </w:tblPr>
      <w:tblGrid>
        <w:gridCol w:w="4500"/>
        <w:gridCol w:w="4500"/>
      </w:tblGrid>
      <w:tr w:rsidTr="005F28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8257D" w:rsidP="0028257D">
            <w:pPr>
              <w:pStyle w:val="BodyText"/>
            </w:pPr>
            <w:r w:rsidRPr="0028257D">
              <w:t>The range statement provides information about the context in which the unit of competency is carried out. The variables and scope cater for different work requirements, work practices and knowledge between States, Territories and the Commonwealth, and bet</w:t>
            </w:r>
            <w:r w:rsidRPr="0028257D">
              <w:t>ween organisations and workplaces. The range statement relates to the unit as a whole and provides a focus for assessment. Text in italics in the performance criteria is explained here.</w:t>
            </w:r>
          </w:p>
          <w:p w:rsidR="00000000" w:rsidP="0028257D">
            <w:pPr>
              <w:pStyle w:val="BodyText"/>
              <w:rPr>
                <w:lang w:val="en-NZ"/>
              </w:rPr>
            </w:pPr>
            <w:r w:rsidRPr="0028257D">
              <w:t>The following variables may be present and may include, but are not li</w:t>
            </w:r>
            <w:r w:rsidRPr="0028257D">
              <w:t>mited to, the examples listed under the scope. All work is undertaken to relevant legislative requirements, where applicable</w:t>
            </w: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28257D" w:rsidP="0028257D">
            <w:pPr>
              <w:pStyle w:val="BodyText"/>
            </w:pPr>
            <w:r w:rsidRPr="0028257D">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Scope</w:t>
            </w: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Drawings</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Engineering drawings to AS 1100/1102 </w:t>
            </w: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Tooling</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Slab, gang, end, shell, slot, form, slitting cutters </w:t>
            </w: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Cu</w:t>
            </w:r>
            <w:r w:rsidRPr="0028257D">
              <w:rPr>
                <w:rStyle w:val="SpecialBold"/>
              </w:rPr>
              <w:t>tting parameters</w:t>
            </w:r>
          </w:p>
        </w:tc>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t xml:space="preserve">Setting up machine, feed and speed calculations </w:t>
            </w:r>
          </w:p>
        </w:tc>
      </w:tr>
      <w:tr w:rsidTr="005F28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257D">
            <w:pPr>
              <w:pStyle w:val="BodyText"/>
              <w:rPr>
                <w:lang w:val="en-NZ"/>
              </w:rPr>
            </w:pPr>
            <w:r w:rsidRPr="0028257D">
              <w:rPr>
                <w:rStyle w:val="SpecialBold"/>
              </w:rPr>
              <w:t>Accessories</w:t>
            </w:r>
          </w:p>
        </w:tc>
        <w:tc>
          <w:tcPr>
            <w:tcW w:w="4500" w:type="dxa"/>
            <w:tcBorders>
              <w:top w:val="nil"/>
              <w:left w:val="nil"/>
              <w:bottom w:val="nil"/>
              <w:right w:val="nil"/>
            </w:tcBorders>
            <w:tcMar>
              <w:top w:w="0" w:type="dxa"/>
              <w:left w:w="62" w:type="dxa"/>
              <w:bottom w:w="0" w:type="dxa"/>
              <w:right w:w="62" w:type="dxa"/>
            </w:tcMar>
          </w:tcPr>
          <w:p w:rsidR="00000000" w:rsidRPr="0028257D" w:rsidP="0028257D">
            <w:pPr>
              <w:pStyle w:val="BodyText"/>
            </w:pPr>
            <w:r w:rsidRPr="0028257D">
              <w:t xml:space="preserve">Dividing heads and rotary tables </w:t>
            </w:r>
          </w:p>
        </w:tc>
      </w:tr>
    </w:tbl>
    <w:p w:rsidR="00000000" w:rsidRPr="0028257D" w:rsidP="0028257D">
      <w:pPr>
        <w:pStyle w:val="BodyText"/>
      </w:pPr>
    </w:p>
    <w:p w:rsidR="00000000" w:rsidRPr="0028257D" w:rsidP="0028257D">
      <w:pPr>
        <w:pStyle w:val="AllowPageBreak"/>
      </w:pPr>
    </w:p>
    <w:p w:rsidR="00000000" w:rsidRPr="0028257D" w:rsidP="0028257D">
      <w:pPr>
        <w:pStyle w:val="Heading1"/>
      </w:pPr>
      <w:bookmarkStart w:id="12" w:name="O_311668"/>
      <w:bookmarkEnd w:id="12"/>
      <w:r w:rsidRPr="0028257D">
        <w:t>Unit Sector(s)</w:t>
      </w:r>
    </w:p>
    <w:p w:rsidR="00000000" w:rsidRPr="0028257D" w:rsidP="0028257D">
      <w:pPr>
        <w:pStyle w:val="Heading1"/>
      </w:pPr>
      <w:bookmarkStart w:id="13" w:name="O_311665"/>
      <w:bookmarkEnd w:id="13"/>
      <w:r w:rsidRPr="0028257D">
        <w:t>Related units</w:t>
      </w:r>
    </w:p>
    <w:p w:rsidR="00000000" w:rsidRPr="0028257D" w:rsidP="0028257D">
      <w:pPr>
        <w:pStyle w:val="BodyText"/>
      </w:pPr>
      <w:r w:rsidRPr="0028257D">
        <w:t>None</w:t>
      </w:r>
    </w:p>
    <w:p w:rsidR="00000000" w:rsidRPr="0028257D" w:rsidP="0028257D">
      <w:pPr>
        <w:pStyle w:val="AllowPageBreak"/>
      </w:pPr>
    </w:p>
    <w:p w:rsidR="00000000" w:rsidRPr="0028257D" w:rsidP="0028257D">
      <w:pPr>
        <w:pStyle w:val="Heading1"/>
      </w:pPr>
      <w:bookmarkStart w:id="14" w:name="O_311666"/>
      <w:bookmarkEnd w:id="14"/>
      <w:r w:rsidRPr="0028257D">
        <w:t>Competency field</w:t>
      </w:r>
    </w:p>
    <w:p w:rsidR="00000000" w:rsidRPr="0028257D" w:rsidP="0028257D">
      <w:pPr>
        <w:pStyle w:val="BodyText"/>
      </w:pPr>
      <w:r w:rsidRPr="0028257D">
        <w:t>Machine&amp;process operations</w:t>
      </w:r>
    </w:p>
    <w:p w:rsidR="00000000" w:rsidRPr="0028257D" w:rsidP="0028257D">
      <w:pPr>
        <w:pStyle w:val="AllowPageBreak"/>
      </w:pPr>
    </w:p>
    <w:p w:rsidR="00000000" w:rsidRPr="0028257D" w:rsidP="0028257D">
      <w:pPr>
        <w:pStyle w:val="Heading1"/>
      </w:pPr>
      <w:bookmarkStart w:id="15" w:name="O_311667"/>
      <w:bookmarkEnd w:id="15"/>
      <w:r w:rsidRPr="0028257D">
        <w:t>Band</w:t>
      </w:r>
    </w:p>
    <w:p w:rsidR="00000000" w:rsidRPr="0028257D" w:rsidP="0028257D">
      <w:pPr>
        <w:pStyle w:val="BodyText"/>
      </w:pPr>
      <w:r w:rsidRPr="0028257D">
        <w:t>A</w:t>
      </w:r>
    </w:p>
    <w:p w:rsidR="00000000" w:rsidRPr="0028257D" w:rsidP="0028257D">
      <w:pPr>
        <w:pStyle w:val="AllowPageBreak"/>
      </w:pPr>
    </w:p>
    <w:p w:rsidR="00000000" w:rsidRPr="0028257D" w:rsidP="0028257D">
      <w:pPr>
        <w:pStyle w:val="Heading1"/>
      </w:pPr>
      <w:bookmarkStart w:id="16" w:name="O_311671"/>
      <w:bookmarkEnd w:id="16"/>
      <w:r w:rsidRPr="0028257D">
        <w:t>Unit Weight</w:t>
      </w:r>
    </w:p>
    <w:p w:rsidR="00000000" w:rsidRPr="0028257D" w:rsidP="0028257D">
      <w:pPr>
        <w:pStyle w:val="BodyText"/>
      </w:pPr>
      <w:r w:rsidRPr="0028257D">
        <w:t>4</w:t>
      </w:r>
    </w:p>
    <w:p w:rsidR="00000000" w:rsidRPr="0028257D" w:rsidP="0028257D"/>
    <w:sectPr w:rsidSect="002825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852" w:rsidP="005F2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52" w:rsidP="00282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F2852" w:rsidP="002825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2852" w:rsidP="002825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852" w:rsidP="005F28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52" w:rsidP="0028257D">
    <w:pPr>
      <w:pStyle w:val="Header"/>
      <w:framePr w:wrap="around"/>
    </w:pPr>
    <w:r>
      <w:fldChar w:fldCharType="begin"/>
    </w:r>
    <w:r>
      <w:instrText xml:space="preserve"> TITLE   \* MERGEFORMAT </w:instrText>
    </w:r>
    <w:r>
      <w:fldChar w:fldCharType="separate"/>
    </w:r>
    <w:r>
      <w:t>MEM07007B Perform milling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2852" w:rsidP="002825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5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257D"/>
    <w:pPr>
      <w:spacing w:before="360" w:after="60"/>
      <w:outlineLvl w:val="0"/>
    </w:pPr>
    <w:rPr>
      <w:sz w:val="32"/>
    </w:rPr>
  </w:style>
  <w:style w:type="paragraph" w:styleId="Heading2">
    <w:name w:val="heading 2"/>
    <w:basedOn w:val="HeadingBase"/>
    <w:next w:val="BodyText"/>
    <w:link w:val="Heading2Char"/>
    <w:qFormat/>
    <w:rsid w:val="0028257D"/>
    <w:pPr>
      <w:keepLines/>
      <w:spacing w:before="240" w:after="120"/>
      <w:outlineLvl w:val="1"/>
    </w:pPr>
    <w:rPr>
      <w:sz w:val="28"/>
      <w:szCs w:val="40"/>
    </w:rPr>
  </w:style>
  <w:style w:type="paragraph" w:styleId="Heading3">
    <w:name w:val="heading 3"/>
    <w:basedOn w:val="HeadingBase"/>
    <w:next w:val="BodyText"/>
    <w:link w:val="Heading3Char"/>
    <w:qFormat/>
    <w:rsid w:val="0028257D"/>
    <w:pPr>
      <w:spacing w:before="180" w:after="120"/>
      <w:outlineLvl w:val="2"/>
    </w:pPr>
    <w:rPr>
      <w:spacing w:val="-10"/>
      <w:kern w:val="32"/>
    </w:rPr>
  </w:style>
  <w:style w:type="paragraph" w:styleId="Heading4">
    <w:name w:val="heading 4"/>
    <w:basedOn w:val="HeadingBase"/>
    <w:next w:val="BodyText"/>
    <w:link w:val="Heading4Char"/>
    <w:qFormat/>
    <w:rsid w:val="0028257D"/>
    <w:pPr>
      <w:spacing w:before="160" w:after="120"/>
      <w:outlineLvl w:val="3"/>
    </w:pPr>
    <w:rPr>
      <w:sz w:val="22"/>
    </w:rPr>
  </w:style>
  <w:style w:type="paragraph" w:styleId="Heading5">
    <w:name w:val="heading 5"/>
    <w:basedOn w:val="HeadingBase"/>
    <w:next w:val="Normal"/>
    <w:link w:val="Heading5Char"/>
    <w:qFormat/>
    <w:rsid w:val="0028257D"/>
    <w:pPr>
      <w:spacing w:before="80"/>
      <w:outlineLvl w:val="4"/>
    </w:pPr>
    <w:rPr>
      <w:color w:val="918585"/>
      <w:sz w:val="20"/>
    </w:rPr>
  </w:style>
  <w:style w:type="paragraph" w:styleId="Heading6">
    <w:name w:val="heading 6"/>
    <w:basedOn w:val="HeadingBase"/>
    <w:next w:val="Normal"/>
    <w:link w:val="Heading6Char"/>
    <w:qFormat/>
    <w:rsid w:val="0028257D"/>
    <w:pPr>
      <w:spacing w:before="60"/>
      <w:outlineLvl w:val="5"/>
    </w:pPr>
    <w:rPr>
      <w:color w:val="918585"/>
      <w:sz w:val="20"/>
    </w:rPr>
  </w:style>
  <w:style w:type="paragraph" w:styleId="Heading7">
    <w:name w:val="heading 7"/>
    <w:basedOn w:val="Normal"/>
    <w:next w:val="Normal"/>
    <w:link w:val="Heading7Char"/>
    <w:qFormat/>
    <w:rsid w:val="0028257D"/>
    <w:pPr>
      <w:ind w:left="720"/>
      <w:outlineLvl w:val="6"/>
    </w:pPr>
    <w:rPr>
      <w:i/>
    </w:rPr>
  </w:style>
  <w:style w:type="paragraph" w:styleId="Heading8">
    <w:name w:val="heading 8"/>
    <w:basedOn w:val="Normal"/>
    <w:next w:val="Normal"/>
    <w:link w:val="Heading8Char"/>
    <w:qFormat/>
    <w:rsid w:val="0028257D"/>
    <w:pPr>
      <w:ind w:left="720"/>
      <w:outlineLvl w:val="7"/>
    </w:pPr>
    <w:rPr>
      <w:i/>
    </w:rPr>
  </w:style>
  <w:style w:type="paragraph" w:styleId="Heading9">
    <w:name w:val="heading 9"/>
    <w:basedOn w:val="Normal"/>
    <w:next w:val="Normal"/>
    <w:link w:val="Heading9Char"/>
    <w:qFormat/>
    <w:rsid w:val="0028257D"/>
    <w:pPr>
      <w:ind w:left="720"/>
      <w:outlineLvl w:val="8"/>
    </w:pPr>
    <w:rPr>
      <w:i/>
    </w:rPr>
  </w:style>
  <w:style w:type="character" w:default="1" w:styleId="DefaultParagraphFont">
    <w:name w:val="Default Paragraph Font"/>
    <w:uiPriority w:val="1"/>
    <w:unhideWhenUsed/>
    <w:rsid w:val="00282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57D"/>
  </w:style>
  <w:style w:type="character" w:customStyle="1" w:styleId="Heading1Char">
    <w:name w:val="Heading 1 Char"/>
    <w:basedOn w:val="DefaultParagraphFont"/>
    <w:link w:val="Heading1"/>
    <w:rsid w:val="0028257D"/>
    <w:rPr>
      <w:rFonts w:ascii="Times New Roman" w:eastAsia="Times New Roman" w:hAnsi="Times New Roman" w:cs="Times New Roman"/>
      <w:b/>
      <w:sz w:val="32"/>
      <w:szCs w:val="20"/>
      <w:lang w:eastAsia="en-US"/>
    </w:rPr>
  </w:style>
  <w:style w:type="paragraph" w:styleId="BodyText">
    <w:name w:val="Body Text"/>
    <w:basedOn w:val="Normal"/>
    <w:link w:val="BodyTextChar"/>
    <w:rsid w:val="002825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57D"/>
    <w:rPr>
      <w:rFonts w:ascii="Times New Roman" w:eastAsia="Times New Roman" w:hAnsi="Times New Roman" w:cs="Times New Roman"/>
      <w:sz w:val="24"/>
      <w:lang w:val="en-US" w:eastAsia="en-US"/>
    </w:rPr>
  </w:style>
  <w:style w:type="paragraph" w:styleId="Footer">
    <w:name w:val="footer"/>
    <w:basedOn w:val="Normal"/>
    <w:link w:val="FooterChar"/>
    <w:rsid w:val="00282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57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8257D"/>
    <w:rPr>
      <w:b/>
      <w:spacing w:val="0"/>
    </w:rPr>
  </w:style>
  <w:style w:type="paragraph" w:styleId="Header">
    <w:name w:val="header"/>
    <w:basedOn w:val="Normal"/>
    <w:link w:val="HeaderChar"/>
    <w:rsid w:val="00282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5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257D"/>
    <w:pPr>
      <w:spacing w:before="240" w:after="120"/>
      <w:outlineLvl w:val="0"/>
    </w:pPr>
    <w:rPr>
      <w:rFonts w:ascii="Times New Roman" w:hAnsi="Times New Roman"/>
      <w:b/>
      <w:sz w:val="28"/>
    </w:rPr>
  </w:style>
  <w:style w:type="paragraph" w:customStyle="1" w:styleId="AllowPageBreak">
    <w:name w:val="AllowPageBreak"/>
    <w:rsid w:val="002825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5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25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257D"/>
    <w:rPr>
      <w:rFonts w:ascii="Courier New" w:eastAsia="Times New Roman" w:hAnsi="Courier New" w:cs="Times New Roman"/>
      <w:i/>
      <w:szCs w:val="20"/>
      <w:lang w:val="en-US" w:eastAsia="en-US"/>
    </w:rPr>
  </w:style>
  <w:style w:type="paragraph" w:customStyle="1" w:styleId="HeadingBase">
    <w:name w:val="Heading Base"/>
    <w:rsid w:val="00282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57D"/>
    <w:pPr>
      <w:tabs>
        <w:tab w:val="right" w:leader="dot" w:pos="9072"/>
      </w:tabs>
      <w:ind w:left="567"/>
    </w:pPr>
    <w:rPr>
      <w:szCs w:val="22"/>
    </w:rPr>
  </w:style>
  <w:style w:type="paragraph" w:customStyle="1" w:styleId="TOCBase">
    <w:name w:val="TOC Base"/>
    <w:rsid w:val="00282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57D"/>
    <w:pPr>
      <w:tabs>
        <w:tab w:val="right" w:leader="dot" w:pos="9072"/>
      </w:tabs>
      <w:spacing w:before="40" w:after="40"/>
      <w:ind w:left="284"/>
    </w:pPr>
    <w:rPr>
      <w:rFonts w:ascii="Times New Roman" w:hAnsi="Times New Roman"/>
    </w:rPr>
  </w:style>
  <w:style w:type="paragraph" w:styleId="TOC1">
    <w:name w:val="toc 1"/>
    <w:basedOn w:val="TOCBase"/>
    <w:next w:val="Normal"/>
    <w:rsid w:val="002825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257D"/>
    <w:pPr>
      <w:spacing w:before="5040"/>
      <w:jc w:val="center"/>
    </w:pPr>
    <w:rPr>
      <w:sz w:val="48"/>
      <w:szCs w:val="72"/>
      <w:lang w:val="en-US"/>
    </w:rPr>
  </w:style>
  <w:style w:type="character" w:customStyle="1" w:styleId="TitleChar">
    <w:name w:val="Title Char"/>
    <w:basedOn w:val="DefaultParagraphFont"/>
    <w:link w:val="Title"/>
    <w:rsid w:val="00282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57D"/>
    <w:pPr>
      <w:tabs>
        <w:tab w:val="left" w:pos="3600"/>
        <w:tab w:val="left" w:pos="3958"/>
      </w:tabs>
    </w:pPr>
  </w:style>
  <w:style w:type="paragraph" w:styleId="List">
    <w:name w:val="List"/>
    <w:basedOn w:val="BodyText"/>
    <w:next w:val="BodyText"/>
    <w:rsid w:val="0028257D"/>
    <w:pPr>
      <w:tabs>
        <w:tab w:val="left" w:pos="340"/>
      </w:tabs>
      <w:spacing w:before="60" w:after="60"/>
      <w:ind w:left="340" w:hanging="340"/>
    </w:pPr>
  </w:style>
  <w:style w:type="paragraph" w:styleId="ListBullet">
    <w:name w:val="List Bullet"/>
    <w:basedOn w:val="List"/>
    <w:rsid w:val="0028257D"/>
    <w:pPr>
      <w:numPr>
        <w:numId w:val="11"/>
      </w:numPr>
      <w:tabs>
        <w:tab w:val="clear" w:pos="340"/>
      </w:tabs>
      <w:spacing w:before="40" w:after="40"/>
    </w:pPr>
  </w:style>
  <w:style w:type="paragraph" w:customStyle="1" w:styleId="Note">
    <w:name w:val="Note"/>
    <w:basedOn w:val="BodyText"/>
    <w:rsid w:val="00282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57D"/>
    <w:pPr>
      <w:framePr w:wrap="auto" w:hAnchor="text" w:y="6049"/>
    </w:pPr>
    <w:rPr>
      <w:color w:val="000000"/>
      <w:sz w:val="40"/>
    </w:rPr>
  </w:style>
  <w:style w:type="paragraph" w:customStyle="1" w:styleId="TOCTitle">
    <w:name w:val="TOCTitle"/>
    <w:basedOn w:val="Heading1"/>
    <w:rsid w:val="0028257D"/>
    <w:pPr>
      <w:spacing w:after="240"/>
      <w:jc w:val="center"/>
      <w:outlineLvl w:val="9"/>
    </w:pPr>
    <w:rPr>
      <w:caps/>
    </w:rPr>
  </w:style>
  <w:style w:type="paragraph" w:customStyle="1" w:styleId="Version">
    <w:name w:val="Version"/>
    <w:rsid w:val="002825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257D"/>
    <w:pPr>
      <w:numPr>
        <w:numId w:val="12"/>
      </w:numPr>
      <w:tabs>
        <w:tab w:val="clear" w:pos="680"/>
      </w:tabs>
    </w:pPr>
  </w:style>
  <w:style w:type="paragraph" w:styleId="Index1">
    <w:name w:val="index 1"/>
    <w:basedOn w:val="Normal"/>
    <w:next w:val="Normal"/>
    <w:semiHidden/>
    <w:rsid w:val="0028257D"/>
    <w:pPr>
      <w:keepNext w:val="0"/>
      <w:tabs>
        <w:tab w:val="right" w:pos="4176"/>
      </w:tabs>
      <w:ind w:left="198" w:hanging="198"/>
    </w:pPr>
    <w:rPr>
      <w:rFonts w:ascii="Garamond" w:hAnsi="Garamond"/>
    </w:rPr>
  </w:style>
  <w:style w:type="paragraph" w:styleId="IndexHeading">
    <w:name w:val="index heading"/>
    <w:basedOn w:val="Normal"/>
    <w:next w:val="Index1"/>
    <w:semiHidden/>
    <w:rsid w:val="0028257D"/>
    <w:pPr>
      <w:spacing w:before="120" w:after="120"/>
    </w:pPr>
    <w:rPr>
      <w:rFonts w:ascii="Arial" w:hAnsi="Arial"/>
      <w:b/>
      <w:color w:val="918585"/>
      <w:sz w:val="24"/>
    </w:rPr>
  </w:style>
  <w:style w:type="paragraph" w:customStyle="1" w:styleId="Chapter">
    <w:name w:val="Chapter"/>
    <w:basedOn w:val="Normal"/>
    <w:rsid w:val="0028257D"/>
    <w:pPr>
      <w:spacing w:before="240"/>
    </w:pPr>
    <w:rPr>
      <w:rFonts w:ascii="Times New Roman" w:hAnsi="Times New Roman"/>
      <w:smallCaps/>
      <w:spacing w:val="80"/>
      <w:sz w:val="28"/>
    </w:rPr>
  </w:style>
  <w:style w:type="paragraph" w:customStyle="1" w:styleId="InChapter">
    <w:name w:val="InChapter"/>
    <w:basedOn w:val="Heading3"/>
    <w:rsid w:val="0028257D"/>
    <w:pPr>
      <w:spacing w:after="240"/>
      <w:outlineLvl w:val="9"/>
    </w:pPr>
    <w:rPr>
      <w:noProof/>
    </w:rPr>
  </w:style>
  <w:style w:type="paragraph" w:styleId="Index2">
    <w:name w:val="index 2"/>
    <w:basedOn w:val="Normal"/>
    <w:next w:val="Normal"/>
    <w:semiHidden/>
    <w:rsid w:val="0028257D"/>
    <w:pPr>
      <w:tabs>
        <w:tab w:val="right" w:pos="4176"/>
      </w:tabs>
      <w:ind w:left="568" w:hanging="284"/>
    </w:pPr>
    <w:rPr>
      <w:rFonts w:ascii="Garamond" w:hAnsi="Garamond"/>
    </w:rPr>
  </w:style>
  <w:style w:type="paragraph" w:customStyle="1" w:styleId="Byline">
    <w:name w:val="Byline"/>
    <w:rsid w:val="00282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57D"/>
    <w:pPr>
      <w:tabs>
        <w:tab w:val="clear" w:pos="3600"/>
        <w:tab w:val="clear" w:pos="3958"/>
      </w:tabs>
      <w:jc w:val="right"/>
    </w:pPr>
  </w:style>
  <w:style w:type="character" w:styleId="Emphasis">
    <w:name w:val="Emphasis"/>
    <w:basedOn w:val="DefaultParagraphFont"/>
    <w:qFormat/>
    <w:rsid w:val="0028257D"/>
    <w:rPr>
      <w:i/>
    </w:rPr>
  </w:style>
  <w:style w:type="paragraph" w:styleId="Caption">
    <w:name w:val="caption"/>
    <w:basedOn w:val="BodyText"/>
    <w:next w:val="Normal"/>
    <w:qFormat/>
    <w:rsid w:val="0028257D"/>
    <w:pPr>
      <w:framePr w:w="2268" w:hSpace="181" w:vSpace="181" w:wrap="around" w:vAnchor="text" w:hAnchor="page" w:x="1135" w:y="285" w:anchorLock="1"/>
    </w:pPr>
    <w:rPr>
      <w:i/>
    </w:rPr>
  </w:style>
  <w:style w:type="paragraph" w:customStyle="1" w:styleId="MiniTOCTitle">
    <w:name w:val="MiniTOCTitle"/>
    <w:basedOn w:val="Heading4"/>
    <w:rsid w:val="0028257D"/>
    <w:pPr>
      <w:spacing w:before="240"/>
      <w:outlineLvl w:val="9"/>
    </w:pPr>
    <w:rPr>
      <w:noProof/>
      <w:sz w:val="24"/>
    </w:rPr>
  </w:style>
  <w:style w:type="paragraph" w:customStyle="1" w:styleId="MiniTOCItem">
    <w:name w:val="MiniTOCItem"/>
    <w:basedOn w:val="ListBullet"/>
    <w:rsid w:val="0028257D"/>
    <w:pPr>
      <w:numPr>
        <w:numId w:val="0"/>
      </w:numPr>
      <w:tabs>
        <w:tab w:val="right" w:leader="dot" w:pos="6521"/>
      </w:tabs>
      <w:spacing w:before="0" w:after="0"/>
    </w:pPr>
  </w:style>
  <w:style w:type="paragraph" w:customStyle="1" w:styleId="TOFTitle">
    <w:name w:val="TOFTitle"/>
    <w:basedOn w:val="TOCTitle"/>
    <w:rsid w:val="0028257D"/>
  </w:style>
  <w:style w:type="paragraph" w:styleId="TableofFigures">
    <w:name w:val="table of figures"/>
    <w:basedOn w:val="Normal"/>
    <w:next w:val="Normal"/>
    <w:semiHidden/>
    <w:rsid w:val="0028257D"/>
    <w:pPr>
      <w:tabs>
        <w:tab w:val="right" w:leader="dot" w:pos="9072"/>
      </w:tabs>
      <w:ind w:left="970" w:hanging="403"/>
    </w:pPr>
    <w:rPr>
      <w:rFonts w:ascii="Times New Roman" w:hAnsi="Times New Roman"/>
      <w:b/>
    </w:rPr>
  </w:style>
  <w:style w:type="paragraph" w:styleId="ListNumber">
    <w:name w:val="List Number"/>
    <w:basedOn w:val="List"/>
    <w:rsid w:val="0028257D"/>
    <w:pPr>
      <w:numPr>
        <w:numId w:val="9"/>
      </w:numPr>
    </w:pPr>
  </w:style>
  <w:style w:type="character" w:customStyle="1" w:styleId="WingdingSymbols">
    <w:name w:val="Wingding Symbols"/>
    <w:rsid w:val="0028257D"/>
    <w:rPr>
      <w:rFonts w:ascii="Wingdings" w:hAnsi="Wingdings"/>
    </w:rPr>
  </w:style>
  <w:style w:type="paragraph" w:customStyle="1" w:styleId="TableHeading">
    <w:name w:val="Table Heading"/>
    <w:basedOn w:val="HeadingBase"/>
    <w:rsid w:val="0028257D"/>
    <w:pPr>
      <w:keepLines/>
      <w:pBdr>
        <w:bottom w:val="single" w:sz="6" w:space="1" w:color="918585"/>
      </w:pBdr>
      <w:spacing w:before="240"/>
    </w:pPr>
  </w:style>
  <w:style w:type="character" w:customStyle="1" w:styleId="HotSpot">
    <w:name w:val="HotSpot"/>
    <w:rsid w:val="0028257D"/>
    <w:rPr>
      <w:color w:val="0033CC"/>
      <w:u w:val="none"/>
    </w:rPr>
  </w:style>
  <w:style w:type="paragraph" w:customStyle="1" w:styleId="BodyTextRight">
    <w:name w:val="Body Text Right"/>
    <w:basedOn w:val="BodyText"/>
    <w:rsid w:val="0028257D"/>
    <w:pPr>
      <w:spacing w:before="0" w:after="0"/>
      <w:jc w:val="right"/>
    </w:pPr>
  </w:style>
  <w:style w:type="paragraph" w:styleId="Index3">
    <w:name w:val="index 3"/>
    <w:basedOn w:val="ListNumber2"/>
    <w:next w:val="Normal"/>
    <w:semiHidden/>
    <w:rsid w:val="0028257D"/>
    <w:pPr>
      <w:numPr>
        <w:numId w:val="0"/>
      </w:numPr>
      <w:tabs>
        <w:tab w:val="right" w:leader="dot" w:pos="4176"/>
      </w:tabs>
    </w:pPr>
  </w:style>
  <w:style w:type="paragraph" w:styleId="ListNumber2">
    <w:name w:val="List Number 2"/>
    <w:basedOn w:val="List2"/>
    <w:rsid w:val="0028257D"/>
    <w:pPr>
      <w:numPr>
        <w:numId w:val="8"/>
      </w:numPr>
      <w:tabs>
        <w:tab w:val="clear" w:pos="1060"/>
      </w:tabs>
    </w:pPr>
  </w:style>
  <w:style w:type="paragraph" w:customStyle="1" w:styleId="MarginNote">
    <w:name w:val="Margin Note"/>
    <w:basedOn w:val="BodyText"/>
    <w:rsid w:val="00282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5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257D"/>
    <w:rPr>
      <w:sz w:val="32"/>
    </w:rPr>
  </w:style>
  <w:style w:type="paragraph" w:customStyle="1" w:styleId="HeadingProcedure">
    <w:name w:val="Heading Procedure"/>
    <w:basedOn w:val="HeadingBase"/>
    <w:next w:val="Normal"/>
    <w:rsid w:val="0028257D"/>
    <w:pPr>
      <w:tabs>
        <w:tab w:val="left" w:pos="0"/>
      </w:tabs>
      <w:spacing w:before="120" w:after="60"/>
    </w:pPr>
    <w:rPr>
      <w:i/>
      <w:color w:val="918585"/>
      <w:sz w:val="22"/>
    </w:rPr>
  </w:style>
  <w:style w:type="paragraph" w:customStyle="1" w:styleId="TableBodyText">
    <w:name w:val="Table Body Text"/>
    <w:basedOn w:val="BodyText"/>
    <w:rsid w:val="0028257D"/>
    <w:pPr>
      <w:spacing w:before="60" w:after="60"/>
    </w:pPr>
  </w:style>
  <w:style w:type="paragraph" w:styleId="ListContinue">
    <w:name w:val="List Continue"/>
    <w:basedOn w:val="List"/>
    <w:rsid w:val="0028257D"/>
    <w:pPr>
      <w:ind w:firstLine="0"/>
    </w:pPr>
  </w:style>
  <w:style w:type="paragraph" w:customStyle="1" w:styleId="ListNote">
    <w:name w:val="List Note"/>
    <w:basedOn w:val="List"/>
    <w:rsid w:val="0028257D"/>
    <w:pPr>
      <w:pBdr>
        <w:top w:val="single" w:sz="6" w:space="2" w:color="918585"/>
        <w:bottom w:val="single" w:sz="6" w:space="2" w:color="918585"/>
      </w:pBdr>
      <w:tabs>
        <w:tab w:val="left" w:pos="1021"/>
      </w:tabs>
      <w:ind w:firstLine="0"/>
    </w:pPr>
  </w:style>
  <w:style w:type="paragraph" w:customStyle="1" w:styleId="Warning">
    <w:name w:val="Warning"/>
    <w:basedOn w:val="BodyText"/>
    <w:rsid w:val="0028257D"/>
    <w:pPr>
      <w:shd w:val="clear" w:color="auto" w:fill="D9D9D9"/>
      <w:tabs>
        <w:tab w:val="left" w:pos="992"/>
      </w:tabs>
      <w:ind w:left="119" w:right="119"/>
    </w:pPr>
    <w:rPr>
      <w:sz w:val="20"/>
    </w:rPr>
  </w:style>
  <w:style w:type="paragraph" w:customStyle="1" w:styleId="MarginIcons">
    <w:name w:val="Margin Icons"/>
    <w:basedOn w:val="BodyText"/>
    <w:rsid w:val="00282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57D"/>
    <w:rPr>
      <w:rFonts w:ascii="Courier New" w:hAnsi="Courier New"/>
    </w:rPr>
  </w:style>
  <w:style w:type="paragraph" w:customStyle="1" w:styleId="NoteBullet">
    <w:name w:val="Note Bullet"/>
    <w:basedOn w:val="Note"/>
    <w:rsid w:val="0028257D"/>
    <w:pPr>
      <w:tabs>
        <w:tab w:val="clear" w:pos="680"/>
      </w:tabs>
      <w:spacing w:before="60" w:after="60"/>
    </w:pPr>
  </w:style>
  <w:style w:type="paragraph" w:customStyle="1" w:styleId="SubHeading2">
    <w:name w:val="SubHeading2"/>
    <w:basedOn w:val="HeadingBase"/>
    <w:rsid w:val="0028257D"/>
    <w:pPr>
      <w:spacing w:before="240" w:after="60"/>
    </w:pPr>
    <w:rPr>
      <w:sz w:val="20"/>
    </w:rPr>
  </w:style>
  <w:style w:type="paragraph" w:customStyle="1" w:styleId="SubHeading1">
    <w:name w:val="SubHeading1"/>
    <w:basedOn w:val="HeadingBase"/>
    <w:rsid w:val="0028257D"/>
    <w:pPr>
      <w:spacing w:before="240" w:after="60"/>
    </w:pPr>
    <w:rPr>
      <w:color w:val="918585"/>
      <w:sz w:val="22"/>
    </w:rPr>
  </w:style>
  <w:style w:type="paragraph" w:customStyle="1" w:styleId="SideHeading">
    <w:name w:val="Side Heading"/>
    <w:basedOn w:val="HeadingBase"/>
    <w:rsid w:val="00282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57D"/>
    <w:pPr>
      <w:numPr>
        <w:numId w:val="10"/>
      </w:numPr>
    </w:pPr>
  </w:style>
  <w:style w:type="paragraph" w:styleId="PlainText">
    <w:name w:val="Plain Text"/>
    <w:basedOn w:val="Normal"/>
    <w:link w:val="PlainTextChar"/>
    <w:rsid w:val="0028257D"/>
    <w:rPr>
      <w:sz w:val="20"/>
    </w:rPr>
  </w:style>
  <w:style w:type="character" w:customStyle="1" w:styleId="PlainTextChar">
    <w:name w:val="Plain Text Char"/>
    <w:basedOn w:val="DefaultParagraphFont"/>
    <w:link w:val="PlainText"/>
    <w:rsid w:val="002825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257D"/>
    <w:rPr>
      <w:b/>
      <w:smallCaps/>
    </w:rPr>
  </w:style>
  <w:style w:type="paragraph" w:customStyle="1" w:styleId="TableListNumber">
    <w:name w:val="Table List Number"/>
    <w:basedOn w:val="ListNumber"/>
    <w:rsid w:val="0028257D"/>
    <w:pPr>
      <w:numPr>
        <w:numId w:val="0"/>
      </w:numPr>
    </w:pPr>
  </w:style>
  <w:style w:type="paragraph" w:styleId="TOC4">
    <w:name w:val="toc 4"/>
    <w:basedOn w:val="TOCBase"/>
    <w:next w:val="Normal"/>
    <w:semiHidden/>
    <w:rsid w:val="0028257D"/>
    <w:pPr>
      <w:tabs>
        <w:tab w:val="right" w:leader="dot" w:pos="9071"/>
      </w:tabs>
      <w:ind w:left="1701"/>
    </w:pPr>
  </w:style>
  <w:style w:type="paragraph" w:customStyle="1" w:styleId="ListAlpha">
    <w:name w:val="List Alpha"/>
    <w:basedOn w:val="List"/>
    <w:rsid w:val="0028257D"/>
    <w:pPr>
      <w:numPr>
        <w:numId w:val="7"/>
      </w:numPr>
    </w:pPr>
  </w:style>
  <w:style w:type="paragraph" w:customStyle="1" w:styleId="ListAlpha2">
    <w:name w:val="List Alpha 2"/>
    <w:basedOn w:val="List2"/>
    <w:rsid w:val="0028257D"/>
    <w:pPr>
      <w:numPr>
        <w:numId w:val="6"/>
      </w:numPr>
    </w:pPr>
  </w:style>
  <w:style w:type="paragraph" w:styleId="List2">
    <w:name w:val="List 2"/>
    <w:basedOn w:val="BodyText"/>
    <w:rsid w:val="0028257D"/>
    <w:pPr>
      <w:tabs>
        <w:tab w:val="left" w:pos="680"/>
      </w:tabs>
      <w:spacing w:before="60" w:after="60"/>
      <w:ind w:left="680" w:hanging="340"/>
    </w:pPr>
  </w:style>
  <w:style w:type="paragraph" w:styleId="List3">
    <w:name w:val="List 3"/>
    <w:basedOn w:val="BodyText"/>
    <w:rsid w:val="0028257D"/>
    <w:pPr>
      <w:tabs>
        <w:tab w:val="left" w:pos="1021"/>
      </w:tabs>
      <w:spacing w:before="60" w:after="60"/>
      <w:ind w:left="1020" w:hanging="340"/>
    </w:pPr>
  </w:style>
  <w:style w:type="paragraph" w:styleId="List4">
    <w:name w:val="List 4"/>
    <w:basedOn w:val="BodyText"/>
    <w:rsid w:val="0028257D"/>
    <w:pPr>
      <w:tabs>
        <w:tab w:val="left" w:pos="1361"/>
      </w:tabs>
      <w:spacing w:before="60" w:after="60"/>
      <w:ind w:left="1361" w:hanging="340"/>
    </w:pPr>
  </w:style>
  <w:style w:type="paragraph" w:styleId="List5">
    <w:name w:val="List 5"/>
    <w:basedOn w:val="BodyText"/>
    <w:rsid w:val="0028257D"/>
    <w:pPr>
      <w:tabs>
        <w:tab w:val="left" w:pos="1701"/>
      </w:tabs>
      <w:spacing w:before="60" w:after="60"/>
      <w:ind w:left="1701" w:hanging="340"/>
    </w:pPr>
  </w:style>
  <w:style w:type="paragraph" w:styleId="ListBullet3">
    <w:name w:val="List Bullet 3"/>
    <w:basedOn w:val="List3"/>
    <w:rsid w:val="0028257D"/>
    <w:pPr>
      <w:numPr>
        <w:numId w:val="13"/>
      </w:numPr>
      <w:tabs>
        <w:tab w:val="clear" w:pos="1021"/>
      </w:tabs>
      <w:ind w:left="1037" w:hanging="357"/>
    </w:pPr>
  </w:style>
  <w:style w:type="paragraph" w:styleId="ListBullet4">
    <w:name w:val="List Bullet 4"/>
    <w:basedOn w:val="List4"/>
    <w:rsid w:val="0028257D"/>
    <w:pPr>
      <w:numPr>
        <w:numId w:val="1"/>
      </w:numPr>
    </w:pPr>
  </w:style>
  <w:style w:type="paragraph" w:styleId="ListBullet5">
    <w:name w:val="List Bullet 5"/>
    <w:basedOn w:val="List5"/>
    <w:rsid w:val="0028257D"/>
    <w:pPr>
      <w:numPr>
        <w:numId w:val="2"/>
      </w:numPr>
    </w:pPr>
  </w:style>
  <w:style w:type="paragraph" w:styleId="ListContinue2">
    <w:name w:val="List Continue 2"/>
    <w:basedOn w:val="List2"/>
    <w:rsid w:val="0028257D"/>
    <w:pPr>
      <w:ind w:firstLine="0"/>
    </w:pPr>
  </w:style>
  <w:style w:type="paragraph" w:styleId="ListContinue3">
    <w:name w:val="List Continue 3"/>
    <w:basedOn w:val="List3"/>
    <w:rsid w:val="0028257D"/>
    <w:pPr>
      <w:ind w:left="1021" w:firstLine="0"/>
    </w:pPr>
  </w:style>
  <w:style w:type="paragraph" w:styleId="ListContinue4">
    <w:name w:val="List Continue 4"/>
    <w:basedOn w:val="List4"/>
    <w:rsid w:val="0028257D"/>
    <w:pPr>
      <w:ind w:firstLine="0"/>
    </w:pPr>
  </w:style>
  <w:style w:type="paragraph" w:styleId="ListContinue5">
    <w:name w:val="List Continue 5"/>
    <w:basedOn w:val="List5"/>
    <w:rsid w:val="0028257D"/>
    <w:pPr>
      <w:ind w:firstLine="0"/>
    </w:pPr>
  </w:style>
  <w:style w:type="paragraph" w:styleId="ListNumber3">
    <w:name w:val="List Number 3"/>
    <w:basedOn w:val="List3"/>
    <w:rsid w:val="0028257D"/>
    <w:pPr>
      <w:numPr>
        <w:numId w:val="3"/>
      </w:numPr>
    </w:pPr>
  </w:style>
  <w:style w:type="paragraph" w:styleId="ListNumber4">
    <w:name w:val="List Number 4"/>
    <w:basedOn w:val="List4"/>
    <w:rsid w:val="0028257D"/>
    <w:pPr>
      <w:numPr>
        <w:numId w:val="4"/>
      </w:numPr>
    </w:pPr>
  </w:style>
  <w:style w:type="paragraph" w:styleId="ListNumber5">
    <w:name w:val="List Number 5"/>
    <w:basedOn w:val="List5"/>
    <w:rsid w:val="0028257D"/>
    <w:pPr>
      <w:numPr>
        <w:numId w:val="5"/>
      </w:numPr>
    </w:pPr>
  </w:style>
  <w:style w:type="paragraph" w:styleId="BlockText">
    <w:name w:val="Block Text"/>
    <w:basedOn w:val="Normal"/>
    <w:rsid w:val="0028257D"/>
    <w:pPr>
      <w:spacing w:after="120"/>
      <w:ind w:left="1440" w:right="1440"/>
    </w:pPr>
  </w:style>
  <w:style w:type="character" w:customStyle="1" w:styleId="Subscript">
    <w:name w:val="Subscript"/>
    <w:basedOn w:val="DefaultParagraphFont"/>
    <w:rsid w:val="0028257D"/>
    <w:rPr>
      <w:sz w:val="16"/>
      <w:vertAlign w:val="subscript"/>
    </w:rPr>
  </w:style>
  <w:style w:type="character" w:customStyle="1" w:styleId="Superscript">
    <w:name w:val="Superscript"/>
    <w:basedOn w:val="DefaultParagraphFont"/>
    <w:rsid w:val="0028257D"/>
    <w:rPr>
      <w:sz w:val="16"/>
      <w:vertAlign w:val="superscript"/>
    </w:rPr>
  </w:style>
  <w:style w:type="character" w:customStyle="1" w:styleId="Symbols">
    <w:name w:val="Symbols"/>
    <w:basedOn w:val="DefaultParagraphFont"/>
    <w:rsid w:val="0028257D"/>
    <w:rPr>
      <w:rFonts w:ascii="Symbol" w:hAnsi="Symbol"/>
    </w:rPr>
  </w:style>
  <w:style w:type="character" w:customStyle="1" w:styleId="MenuOptions">
    <w:name w:val="Menu Options"/>
    <w:basedOn w:val="DefaultParagraphFont"/>
    <w:rsid w:val="0028257D"/>
    <w:rPr>
      <w:rFonts w:ascii="Arial Narrow" w:hAnsi="Arial Narrow"/>
      <w:smallCaps/>
    </w:rPr>
  </w:style>
  <w:style w:type="character" w:customStyle="1" w:styleId="Buttons">
    <w:name w:val="Buttons"/>
    <w:basedOn w:val="DefaultParagraphFont"/>
    <w:rsid w:val="0028257D"/>
    <w:rPr>
      <w:b/>
    </w:rPr>
  </w:style>
  <w:style w:type="character" w:customStyle="1" w:styleId="Underlined">
    <w:name w:val="Underlined"/>
    <w:basedOn w:val="DefaultParagraphFont"/>
    <w:rsid w:val="0028257D"/>
    <w:rPr>
      <w:u w:val="single"/>
    </w:rPr>
  </w:style>
  <w:style w:type="paragraph" w:customStyle="1" w:styleId="TableBodyTextRight">
    <w:name w:val="Table Body Text Right"/>
    <w:basedOn w:val="TableBodyText"/>
    <w:rsid w:val="0028257D"/>
    <w:pPr>
      <w:widowControl w:val="0"/>
      <w:autoSpaceDE w:val="0"/>
      <w:autoSpaceDN w:val="0"/>
      <w:adjustRightInd w:val="0"/>
      <w:jc w:val="right"/>
    </w:pPr>
    <w:rPr>
      <w:rFonts w:cs="Arial"/>
      <w:szCs w:val="18"/>
    </w:rPr>
  </w:style>
  <w:style w:type="paragraph" w:customStyle="1" w:styleId="CopyrightText">
    <w:name w:val="Copyright Text"/>
    <w:basedOn w:val="BodyText"/>
    <w:rsid w:val="0028257D"/>
    <w:rPr>
      <w:sz w:val="18"/>
    </w:rPr>
  </w:style>
  <w:style w:type="paragraph" w:customStyle="1" w:styleId="BodySmallRight">
    <w:name w:val="Body Small Right"/>
    <w:basedOn w:val="BodyTextRight"/>
    <w:rsid w:val="0028257D"/>
    <w:rPr>
      <w:sz w:val="18"/>
      <w:szCs w:val="18"/>
    </w:rPr>
  </w:style>
  <w:style w:type="paragraph" w:customStyle="1" w:styleId="MarginEdition">
    <w:name w:val="Margin Edition"/>
    <w:basedOn w:val="MarginNote"/>
    <w:rsid w:val="0028257D"/>
    <w:pPr>
      <w:spacing w:before="0" w:after="0"/>
    </w:pPr>
    <w:rPr>
      <w:rFonts w:ascii="Times New Roman" w:hAnsi="Times New Roman"/>
      <w:color w:val="999999"/>
    </w:rPr>
  </w:style>
  <w:style w:type="paragraph" w:customStyle="1" w:styleId="Spacer">
    <w:name w:val="Spacer"/>
    <w:basedOn w:val="Normal"/>
    <w:rsid w:val="0028257D"/>
    <w:rPr>
      <w:sz w:val="2"/>
      <w:szCs w:val="2"/>
    </w:rPr>
  </w:style>
  <w:style w:type="character" w:customStyle="1" w:styleId="Small">
    <w:name w:val="Small"/>
    <w:basedOn w:val="DefaultParagraphFont"/>
    <w:rsid w:val="0028257D"/>
    <w:rPr>
      <w:sz w:val="16"/>
    </w:rPr>
  </w:style>
  <w:style w:type="paragraph" w:customStyle="1" w:styleId="WideTable">
    <w:name w:val="Wide Table"/>
    <w:basedOn w:val="Normal"/>
    <w:rsid w:val="0028257D"/>
    <w:pPr>
      <w:ind w:left="-1418"/>
    </w:pPr>
    <w:rPr>
      <w:sz w:val="2"/>
      <w:szCs w:val="2"/>
    </w:rPr>
  </w:style>
  <w:style w:type="character" w:styleId="PageNumber">
    <w:name w:val="page number"/>
    <w:basedOn w:val="DefaultParagraphFont"/>
    <w:rsid w:val="0028257D"/>
  </w:style>
  <w:style w:type="paragraph" w:styleId="Quote">
    <w:name w:val="Quote"/>
    <w:basedOn w:val="Heading1"/>
    <w:link w:val="QuoteChar"/>
    <w:qFormat/>
    <w:rsid w:val="0028257D"/>
    <w:rPr>
      <w:b w:val="0"/>
      <w:sz w:val="72"/>
      <w:szCs w:val="72"/>
      <w:lang w:val="en-NZ"/>
    </w:rPr>
  </w:style>
  <w:style w:type="character" w:customStyle="1" w:styleId="QuoteChar">
    <w:name w:val="Quote Char"/>
    <w:basedOn w:val="DefaultParagraphFont"/>
    <w:link w:val="Quote"/>
    <w:rsid w:val="00282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57D"/>
    <w:pPr>
      <w:pageBreakBefore/>
    </w:pPr>
  </w:style>
  <w:style w:type="paragraph" w:customStyle="1" w:styleId="Border">
    <w:name w:val="Border"/>
    <w:basedOn w:val="Normal"/>
    <w:qFormat/>
    <w:rsid w:val="00282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57D"/>
    <w:rPr>
      <w:b/>
      <w:bCs/>
      <w:i/>
      <w:iCs/>
      <w:color w:val="auto"/>
    </w:rPr>
  </w:style>
  <w:style w:type="paragraph" w:styleId="IntenseQuote">
    <w:name w:val="Intense Quote"/>
    <w:basedOn w:val="Normal"/>
    <w:next w:val="Normal"/>
    <w:link w:val="IntenseQuoteChar"/>
    <w:uiPriority w:val="30"/>
    <w:qFormat/>
    <w:rsid w:val="00282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5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257D"/>
    <w:rPr>
      <w:smallCaps/>
      <w:color w:val="auto"/>
      <w:u w:val="single"/>
    </w:rPr>
  </w:style>
  <w:style w:type="character" w:styleId="IntenseReference">
    <w:name w:val="Intense Reference"/>
    <w:basedOn w:val="DefaultParagraphFont"/>
    <w:uiPriority w:val="32"/>
    <w:qFormat/>
    <w:rsid w:val="0028257D"/>
    <w:rPr>
      <w:b/>
      <w:bCs/>
      <w:smallCaps/>
      <w:color w:val="auto"/>
      <w:spacing w:val="5"/>
      <w:u w:val="single"/>
    </w:rPr>
  </w:style>
  <w:style w:type="paragraph" w:customStyle="1" w:styleId="2ColumnHeading">
    <w:name w:val="2Column Heading"/>
    <w:basedOn w:val="BodyText"/>
    <w:qFormat/>
    <w:rsid w:val="0028257D"/>
    <w:pPr>
      <w:spacing w:after="60"/>
      <w:ind w:left="-2268"/>
    </w:pPr>
    <w:rPr>
      <w:b/>
    </w:rPr>
  </w:style>
  <w:style w:type="paragraph" w:customStyle="1" w:styleId="Heading1TOC">
    <w:name w:val="Heading1 TOC"/>
    <w:basedOn w:val="Normal"/>
    <w:qFormat/>
    <w:rsid w:val="0028257D"/>
    <w:pPr>
      <w:spacing w:before="240" w:after="120"/>
    </w:pPr>
    <w:rPr>
      <w:rFonts w:ascii="Times New Roman" w:hAnsi="Times New Roman"/>
      <w:b/>
      <w:sz w:val="32"/>
    </w:rPr>
  </w:style>
  <w:style w:type="paragraph" w:customStyle="1" w:styleId="Heading2TOC">
    <w:name w:val="Heading2 TOC"/>
    <w:basedOn w:val="Normal"/>
    <w:qFormat/>
    <w:rsid w:val="0028257D"/>
    <w:pPr>
      <w:spacing w:before="240" w:after="60"/>
    </w:pPr>
    <w:rPr>
      <w:rFonts w:ascii="Times New Roman" w:hAnsi="Times New Roman"/>
      <w:b/>
      <w:sz w:val="28"/>
    </w:rPr>
  </w:style>
  <w:style w:type="character" w:customStyle="1" w:styleId="Underline">
    <w:name w:val="Underline"/>
    <w:basedOn w:val="DefaultParagraphFont"/>
    <w:qFormat/>
    <w:rsid w:val="0028257D"/>
    <w:rPr>
      <w:u w:val="single"/>
    </w:rPr>
  </w:style>
  <w:style w:type="character" w:customStyle="1" w:styleId="BoldandItalics">
    <w:name w:val="Bold and Italics"/>
    <w:qFormat/>
    <w:rsid w:val="0028257D"/>
    <w:rPr>
      <w:b/>
      <w:i/>
      <w:u w:val="none"/>
    </w:rPr>
  </w:style>
  <w:style w:type="paragraph" w:styleId="BalloonText">
    <w:name w:val="Balloon Text"/>
    <w:basedOn w:val="Normal"/>
    <w:link w:val="BalloonTextChar"/>
    <w:rsid w:val="0028257D"/>
    <w:rPr>
      <w:rFonts w:ascii="Tahoma" w:hAnsi="Tahoma" w:cs="Tahoma"/>
      <w:sz w:val="16"/>
      <w:szCs w:val="16"/>
    </w:rPr>
  </w:style>
  <w:style w:type="character" w:customStyle="1" w:styleId="BalloonTextChar">
    <w:name w:val="Balloon Text Char"/>
    <w:basedOn w:val="DefaultParagraphFont"/>
    <w:link w:val="BalloonText"/>
    <w:rsid w:val="002825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25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5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5639</Characters>
  <Application>Microsoft Office Word</Application>
  <DocSecurity>0</DocSecurity>
  <Lines>229</Lines>
  <Paragraphs>103</Paragraphs>
  <ScaleCrop>false</ScaleCrop>
  <Company>Author-it Software Corporation Ltd.</Company>
  <LinksUpToDate>false</LinksUpToDate>
  <CharactersWithSpaces>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MEM07007B Perform milling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2012-05-27T01:34:00Z</dcterms:created>
  <dcterms:modified xsi:type="dcterms:W3CDTF">2012-05-27T01:34:00Z</dcterms:modified>
</cp:coreProperties>
</file>