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62D" w:rsidP="0059062D">
      <w:pPr>
        <w:pStyle w:val="Title"/>
      </w:pPr>
      <w:r>
        <w:fldChar w:fldCharType="begin"/>
      </w:r>
      <w:r>
        <w:instrText xml:space="preserve"> TITLE   \* MERGEFORMAT </w:instrText>
      </w:r>
      <w:r>
        <w:fldChar w:fldCharType="separate"/>
      </w:r>
      <w:r>
        <w:t>MEM07005B Perform general machining</w:t>
      </w:r>
      <w:r>
        <w:fldChar w:fldCharType="end"/>
      </w:r>
    </w:p>
    <w:p w:rsidR="0059062D" w:rsidP="0059062D">
      <w:pPr>
        <w:pStyle w:val="Version"/>
        <w:sectPr w:rsidSect="00652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71E" w:rsidP="0065271E">
      <w:pPr>
        <w:pStyle w:val="SuperHeading"/>
      </w:pPr>
      <w:r w:rsidRPr="0065271E">
        <w:t>MEM07005B Perform general machining</w:t>
      </w:r>
    </w:p>
    <w:p w:rsidR="00000000" w:rsidRPr="0065271E" w:rsidP="0065271E">
      <w:pPr>
        <w:pStyle w:val="Heading1"/>
      </w:pPr>
      <w:bookmarkStart w:id="1" w:name="O_311645"/>
      <w:bookmarkEnd w:id="1"/>
      <w:r w:rsidRPr="0065271E">
        <w:t>Modification History</w:t>
      </w:r>
    </w:p>
    <w:p w:rsidR="00000000" w:rsidRPr="0065271E" w:rsidP="0065271E">
      <w:pPr>
        <w:pStyle w:val="BodyText"/>
      </w:pPr>
      <w:r w:rsidRPr="0065271E">
        <w:t>There are no notes for this unit.</w:t>
      </w:r>
    </w:p>
    <w:p w:rsidR="00000000" w:rsidRPr="0065271E" w:rsidP="0065271E">
      <w:pPr>
        <w:pStyle w:val="AllowPageBreak"/>
      </w:pPr>
    </w:p>
    <w:p w:rsidR="00000000" w:rsidRPr="0065271E" w:rsidP="0065271E">
      <w:pPr>
        <w:pStyle w:val="Heading1"/>
      </w:pPr>
      <w:bookmarkStart w:id="2" w:name="O_311644"/>
      <w:bookmarkEnd w:id="2"/>
      <w:r w:rsidRPr="0065271E">
        <w:t>Unit Descriptor</w:t>
      </w:r>
    </w:p>
    <w:p w:rsidR="00000000" w:rsidRPr="0065271E" w:rsidP="0065271E">
      <w:pPr>
        <w:pStyle w:val="BodyText"/>
      </w:pPr>
      <w:r w:rsidRPr="0065271E">
        <w:t>This unit covers determining the job requirements and sequence of operations, selecting and mountin</w:t>
      </w:r>
      <w:r w:rsidRPr="0065271E">
        <w:t>g tools, performing the machining, measuring the components, and adjusting and maintaining a range of standard machine tools.</w:t>
      </w:r>
    </w:p>
    <w:p w:rsidR="00000000" w:rsidRPr="0065271E" w:rsidP="0065271E">
      <w:pPr>
        <w:pStyle w:val="AllowPageBreak"/>
      </w:pPr>
    </w:p>
    <w:p w:rsidR="00000000" w:rsidRPr="0065271E" w:rsidP="0065271E">
      <w:pPr>
        <w:pStyle w:val="Heading1"/>
      </w:pPr>
      <w:bookmarkStart w:id="3" w:name="O_311643"/>
      <w:bookmarkEnd w:id="3"/>
      <w:r w:rsidRPr="0065271E">
        <w:t>Application of the Unit</w:t>
      </w:r>
    </w:p>
    <w:p w:rsidR="00000000" w:rsidRPr="0065271E" w:rsidP="0065271E">
      <w:pPr>
        <w:pStyle w:val="BodyText"/>
      </w:pPr>
      <w:r w:rsidRPr="0065271E">
        <w:t>Machining is undertaken on a range of non- CNC (computer numerical controlled) machines</w:t>
      </w:r>
    </w:p>
    <w:p w:rsidR="00000000" w:rsidRPr="0065271E" w:rsidP="0065271E">
      <w:pPr>
        <w:pStyle w:val="AllowPageBreak"/>
      </w:pPr>
    </w:p>
    <w:p w:rsidR="00000000" w:rsidRPr="0065271E" w:rsidP="0065271E">
      <w:pPr>
        <w:pStyle w:val="Heading1"/>
      </w:pPr>
      <w:bookmarkStart w:id="4" w:name="O_311642"/>
      <w:bookmarkEnd w:id="4"/>
      <w:r w:rsidRPr="0065271E">
        <w:t>Licensing/Regulatory Information</w:t>
      </w:r>
    </w:p>
    <w:p w:rsidR="00000000" w:rsidRPr="0065271E" w:rsidP="0065271E">
      <w:pPr>
        <w:pStyle w:val="Heading1"/>
      </w:pPr>
      <w:bookmarkStart w:id="5" w:name="O_311641"/>
      <w:bookmarkEnd w:id="5"/>
      <w:r w:rsidRPr="0065271E">
        <w:t>Pre-Requisites</w:t>
      </w:r>
    </w:p>
    <w:tbl>
      <w:tblPr>
        <w:tblW w:w="0" w:type="auto"/>
        <w:tblLayout w:type="fixed"/>
        <w:tblCellMar>
          <w:left w:w="62" w:type="dxa"/>
          <w:right w:w="62" w:type="dxa"/>
        </w:tblCellMar>
        <w:tblLook w:val="0000"/>
      </w:tblPr>
      <w:tblGrid>
        <w:gridCol w:w="4500"/>
        <w:gridCol w:w="4500"/>
      </w:tblGrid>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Path 1</w:t>
            </w:r>
          </w:p>
        </w:tc>
        <w:tc>
          <w:tcPr>
            <w:tcW w:w="4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MEM09002B Interpret technical drawing</w:t>
            </w:r>
          </w:p>
          <w:p w:rsidR="00000000" w:rsidRPr="0065271E" w:rsidP="0065271E">
            <w:pPr>
              <w:pStyle w:val="BodyText"/>
            </w:pPr>
            <w:r w:rsidRPr="0065271E">
              <w:t>MEM12023A Perform engineering measurements</w:t>
            </w:r>
          </w:p>
          <w:p w:rsidR="00000000" w:rsidRPr="0065271E" w:rsidP="0065271E">
            <w:pPr>
              <w:pStyle w:val="BodyText"/>
            </w:pPr>
            <w:r w:rsidRPr="0065271E">
              <w:t>MEM18001C Use hand tools</w:t>
            </w:r>
          </w:p>
        </w:tc>
      </w:tr>
    </w:tbl>
    <w:p w:rsidR="00000000" w:rsidRPr="0065271E" w:rsidP="0065271E">
      <w:pPr>
        <w:pStyle w:val="BodyText"/>
      </w:pPr>
    </w:p>
    <w:p w:rsidR="00000000" w:rsidRPr="0065271E" w:rsidP="0065271E">
      <w:pPr>
        <w:pStyle w:val="AllowPageBreak"/>
      </w:pPr>
    </w:p>
    <w:p w:rsidR="00000000" w:rsidRPr="0065271E" w:rsidP="0065271E">
      <w:pPr>
        <w:pStyle w:val="Heading1"/>
      </w:pPr>
      <w:bookmarkStart w:id="6" w:name="O_311640"/>
      <w:bookmarkEnd w:id="6"/>
      <w:r w:rsidRPr="0065271E">
        <w:t>Employability Skills Information</w:t>
      </w:r>
    </w:p>
    <w:p w:rsidR="00000000" w:rsidRPr="0065271E" w:rsidP="0065271E">
      <w:pPr>
        <w:pStyle w:val="Heading1"/>
      </w:pPr>
      <w:bookmarkStart w:id="7" w:name="O_311632"/>
      <w:bookmarkEnd w:id="7"/>
      <w:r w:rsidRPr="0065271E">
        <w:t>Elements and Performance Criteria Pre-Content</w:t>
      </w:r>
    </w:p>
    <w:p w:rsidR="00000000" w:rsidRPr="0065271E" w:rsidP="0065271E">
      <w:pPr>
        <w:pStyle w:val="BodyText"/>
      </w:pPr>
      <w:r w:rsidRPr="0065271E">
        <w:t>Elements are the essential outcomes of the unit of competency.</w:t>
      </w:r>
    </w:p>
    <w:p w:rsidR="00000000" w:rsidRPr="0065271E" w:rsidP="0065271E">
      <w:pPr>
        <w:pStyle w:val="BodyText"/>
      </w:pPr>
      <w:r w:rsidRPr="0065271E">
        <w:t>Together, performance criteria specify the requirements for competent performance. Text in italics is explained in the range statement foll</w:t>
      </w:r>
      <w:r w:rsidRPr="0065271E">
        <w:t>owing.</w:t>
      </w:r>
    </w:p>
    <w:p w:rsidR="00000000" w:rsidRPr="0065271E" w:rsidP="0065271E">
      <w:pPr>
        <w:pStyle w:val="AllowPageBreak"/>
      </w:pPr>
    </w:p>
    <w:p w:rsidR="00000000" w:rsidRPr="0065271E" w:rsidP="0065271E">
      <w:pPr>
        <w:pStyle w:val="Heading1"/>
      </w:pPr>
      <w:bookmarkStart w:id="8" w:name="O_311646"/>
      <w:bookmarkEnd w:id="8"/>
      <w:r w:rsidRPr="0065271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9062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Elements and Performance Criteria</w:t>
            </w:r>
          </w:p>
        </w:tc>
      </w:tr>
      <w:tr w:rsidTr="0059062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Performance Criteria</w:t>
            </w:r>
          </w:p>
        </w:tc>
      </w:tr>
      <w:tr w:rsidTr="0059062D">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1</w:t>
            </w:r>
          </w:p>
        </w:tc>
        <w:tc>
          <w:tcPr>
            <w:tcW w:w="30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Determine job requirements</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1.1</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Drawings, instructions and specifications are interpreted and understood.</w:t>
            </w:r>
          </w:p>
        </w:tc>
      </w:tr>
      <w:tr w:rsidTr="005906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2</w:t>
            </w:r>
          </w:p>
        </w:tc>
        <w:tc>
          <w:tcPr>
            <w:tcW w:w="30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Determine sequence of operations</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2.1</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Sequence of </w:t>
            </w:r>
            <w:r w:rsidRPr="0065271E">
              <w:rPr>
                <w:rStyle w:val="SpecialBold"/>
              </w:rPr>
              <w:t xml:space="preserve">operations </w:t>
            </w:r>
            <w:r w:rsidRPr="0065271E">
              <w:t>including job set-up is determined for maximum efficiency and to meet job specifications.</w:t>
            </w:r>
          </w:p>
        </w:tc>
      </w:tr>
      <w:tr w:rsidTr="005906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2.2</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Appropriate </w:t>
            </w:r>
            <w:r w:rsidRPr="0065271E">
              <w:rPr>
                <w:rStyle w:val="SpecialBold"/>
              </w:rPr>
              <w:t xml:space="preserve">material </w:t>
            </w:r>
            <w:r w:rsidRPr="0065271E">
              <w:t>is selected and datum established as required.</w:t>
            </w:r>
          </w:p>
        </w:tc>
      </w:tr>
      <w:tr w:rsidTr="005906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3</w:t>
            </w:r>
          </w:p>
        </w:tc>
        <w:tc>
          <w:tcPr>
            <w:tcW w:w="30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Select and mount tools</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3.1</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Appropriate </w:t>
            </w:r>
            <w:r w:rsidRPr="0065271E">
              <w:rPr>
                <w:rStyle w:val="SpecialBold"/>
              </w:rPr>
              <w:t xml:space="preserve">tools </w:t>
            </w:r>
            <w:r w:rsidRPr="0065271E">
              <w:t>for job are selected, sharpened and shaped as required.</w:t>
            </w:r>
          </w:p>
        </w:tc>
      </w:tr>
      <w:tr w:rsidTr="005906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3.2</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Tools are mounted and positioned correctly.</w:t>
            </w:r>
          </w:p>
        </w:tc>
      </w:tr>
      <w:tr w:rsidTr="005906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4</w:t>
            </w:r>
          </w:p>
        </w:tc>
        <w:tc>
          <w:tcPr>
            <w:tcW w:w="30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Perform machining operations</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4.1</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Basic </w:t>
            </w:r>
            <w:r w:rsidRPr="0065271E">
              <w:rPr>
                <w:rStyle w:val="SpecialBold"/>
              </w:rPr>
              <w:t xml:space="preserve">marking out techniques </w:t>
            </w:r>
            <w:r w:rsidRPr="0065271E">
              <w:t>are used where required.</w:t>
            </w:r>
          </w:p>
        </w:tc>
      </w:tr>
      <w:tr w:rsidTr="005906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4.2</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 xml:space="preserve">Machining parameters </w:t>
            </w:r>
            <w:r w:rsidRPr="0065271E">
              <w:t>are set for job requirements and maximum tool life.</w:t>
            </w:r>
          </w:p>
        </w:tc>
      </w:tr>
      <w:tr w:rsidTr="005906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4.3</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Work is held or correctly clamped without damage to product, and all safety requirements are met.</w:t>
            </w:r>
          </w:p>
        </w:tc>
      </w:tr>
      <w:tr w:rsidTr="005906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4.4</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Machining is performed in a safe manner utilising all guards, safety procedures and personal protective clothing and equipment.</w:t>
            </w:r>
          </w:p>
        </w:tc>
      </w:tr>
      <w:tr w:rsidTr="0059062D">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5</w:t>
            </w:r>
          </w:p>
        </w:tc>
        <w:tc>
          <w:tcPr>
            <w:tcW w:w="30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Measure components</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5.1</w:t>
            </w:r>
          </w:p>
        </w:tc>
        <w:tc>
          <w:tcPr>
            <w:tcW w:w="51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Components are checked with instruments or gauges appropriate to the measurement requirements to ensur</w:t>
            </w:r>
            <w:r w:rsidRPr="0065271E">
              <w:t>e compliance with specifications.</w:t>
            </w:r>
          </w:p>
        </w:tc>
      </w:tr>
      <w:tr w:rsidTr="0059062D">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6</w:t>
            </w:r>
          </w:p>
        </w:tc>
        <w:tc>
          <w:tcPr>
            <w:tcW w:w="30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Adjust and maintain machine</w:t>
            </w:r>
          </w:p>
        </w:tc>
        <w:tc>
          <w:tcPr>
            <w:tcW w:w="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6.1</w:t>
            </w:r>
          </w:p>
        </w:tc>
        <w:tc>
          <w:tcPr>
            <w:tcW w:w="51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 xml:space="preserve">Routine </w:t>
            </w:r>
            <w:r w:rsidRPr="0065271E">
              <w:rPr>
                <w:rStyle w:val="SpecialBold"/>
              </w:rPr>
              <w:t xml:space="preserve">maintenance and adjustments </w:t>
            </w:r>
            <w:r w:rsidRPr="0065271E">
              <w:t>are carried out as required which may include slide and collar adjustment, cleaning and lubrication and the like.</w:t>
            </w:r>
          </w:p>
        </w:tc>
      </w:tr>
    </w:tbl>
    <w:p w:rsidR="00000000" w:rsidRPr="0065271E" w:rsidP="0065271E">
      <w:pPr>
        <w:pStyle w:val="BodyText"/>
      </w:pPr>
    </w:p>
    <w:p w:rsidR="00000000" w:rsidRPr="0065271E" w:rsidP="0065271E">
      <w:pPr>
        <w:pStyle w:val="AllowPageBreak"/>
      </w:pPr>
    </w:p>
    <w:p w:rsidR="00000000" w:rsidRPr="0065271E" w:rsidP="0065271E">
      <w:pPr>
        <w:pStyle w:val="Heading1"/>
      </w:pPr>
      <w:bookmarkStart w:id="9" w:name="O_311647"/>
      <w:bookmarkEnd w:id="9"/>
      <w:r w:rsidRPr="0065271E">
        <w:t>Required Skills and Knowledge</w:t>
      </w:r>
    </w:p>
    <w:p w:rsidR="00000000" w:rsidRPr="0065271E" w:rsidP="0065271E">
      <w:pPr>
        <w:pStyle w:val="Heading1"/>
      </w:pPr>
      <w:bookmarkStart w:id="10" w:name="O_311637"/>
      <w:bookmarkEnd w:id="10"/>
      <w:r w:rsidRPr="0065271E">
        <w:t>Evidence Guide</w:t>
      </w:r>
    </w:p>
    <w:tbl>
      <w:tblPr>
        <w:tblW w:w="0" w:type="auto"/>
        <w:tblLayout w:type="fixed"/>
        <w:tblCellMar>
          <w:left w:w="62" w:type="dxa"/>
          <w:right w:w="62" w:type="dxa"/>
        </w:tblCellMar>
        <w:tblLook w:val="0000"/>
      </w:tblPr>
      <w:tblGrid>
        <w:gridCol w:w="4500"/>
        <w:gridCol w:w="4500"/>
      </w:tblGrid>
      <w:tr w:rsidTr="005906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The evidence guide specifies the evidence required to demonstrate achievement in the unit of competency as a whole. It must be read in conjunction with the unit descriptor, performance criteria, </w:t>
            </w:r>
            <w:r w:rsidRPr="0065271E">
              <w:t>range statement and the assessment guidelines for the Metal and Engineering Training Package</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A person who demonstrates competency in this unit must be able to perform general machining. Competency in this unit cannot b</w:t>
            </w:r>
            <w:r w:rsidRPr="0065271E">
              <w:t xml:space="preserve">e claimed until all prerequisites have been satisfied.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This unit may be assessed on the job, off the job or a combination of both on and off the job. Where assessment occurs off the job, that is the candidate is not in productive wo</w:t>
            </w:r>
            <w:r w:rsidRPr="0065271E">
              <w:t>rk, then an appropriate simulation must be used where the range of conditions reflects realistic workplace situations. The competencies covered by this unit would be demonstrated by an individual working alone or as part of a team. The assessment environme</w:t>
            </w:r>
            <w:r w:rsidRPr="0065271E">
              <w:t xml:space="preserve">nt should not disadvantage the candidate.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This unit could be assessed in conjunction with any other units addressing the safety, quality, communication, materials handling, recording and reporting associated with performing gen</w:t>
            </w:r>
            <w:r w:rsidRPr="0065271E">
              <w:t xml:space="preserve">eral machining or other units requiring the exercise of the skills and knowledge covered by this unit.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Assessors should gather a range of evidence that is valid, sufficient, current and authentic. Evidence can be gathered through a v</w:t>
            </w:r>
            <w:r w:rsidRPr="0065271E">
              <w:t xml:space="preserve">ariety of ways including direct observation, supervisor's reports, project work, samples and questioning. Questioning techniques should not require language, literacy and numeracy skills beyond those required in this unit of competency. The candidate must </w:t>
            </w:r>
            <w:r w:rsidRPr="0065271E">
              <w:t xml:space="preserve">have access to all tools, equipment, materials and documentation required. The candidate must be permitted to refer to any relevant workplace procedures, product and manufacturing specifications, codes, standards, manuals and reference materials.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Assessors must be satisfied that the candidate can competently and consistently perform all elements of the unit as specified by the criteria, including required knowledge, and be capable of applying the competency in new and dif</w:t>
            </w:r>
            <w:r w:rsidRPr="0065271E">
              <w:t xml:space="preserve">ferent situations and contexts. </w:t>
            </w:r>
          </w:p>
        </w:tc>
      </w:tr>
      <w:tr w:rsidTr="0059062D">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Look for evidence that confirms skills in: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reading and interpreting routine information on written job instructions, specifications and standard operating procedures. May include drawings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following or</w:t>
            </w:r>
            <w:r w:rsidRPr="0065271E">
              <w:t xml:space="preserve">al instruction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planning and sequencing operations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preparing operational work plan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sharpening and shaping cutting tools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identifying worn or damaged cutting tools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correct mounting and positioning of cutting tools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basic marking out of materials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setting machining parameters to achieve the job requirements and maximise tool life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using appropriate and sufficient clamping/mounting of the work piece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using coolant/lubricant correctly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checking for conformance to specifications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measuring to specified tolerances and dimensions </w:t>
            </w:r>
          </w:p>
        </w:tc>
      </w:tr>
      <w:tr w:rsidTr="0059062D">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Look for evidence that confirms knowledge of: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reasons for selecting the chosen sequence of operations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methods of work holding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basic marking out techniques including datum points/lines etc.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geometry of cutting tools for a range of materials and applications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benefits of using correctly sharpened cutting tools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machine operation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selection of feeds and speeds to suit a ran</w:t>
            </w:r>
            <w:r w:rsidRPr="0065271E">
              <w:t xml:space="preserve">ge of materials and operations within the scope of this unit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correct methods of mounting a variety of cutting tools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safety issues with regard to correct clamping, guards, shields etc.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tolerances, limits of size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situations indicating the need for machine adjustment, lubrication and cleaning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techniques, tools and equipment to measure materials and machined components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use and application of personal protective equipment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safe work practices and procedures </w:t>
            </w:r>
          </w:p>
        </w:tc>
      </w:tr>
      <w:tr w:rsidTr="0059062D">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 xml:space="preserve">hazards and control measures associated with general machining </w:t>
            </w:r>
          </w:p>
        </w:tc>
      </w:tr>
    </w:tbl>
    <w:p w:rsidR="00000000" w:rsidRPr="0065271E" w:rsidP="0065271E">
      <w:pPr>
        <w:pStyle w:val="BodyText"/>
      </w:pPr>
    </w:p>
    <w:p w:rsidR="00000000" w:rsidRPr="0065271E" w:rsidP="0065271E">
      <w:pPr>
        <w:pStyle w:val="AllowPageBreak"/>
      </w:pPr>
    </w:p>
    <w:p w:rsidR="00000000" w:rsidRPr="0065271E" w:rsidP="0065271E">
      <w:pPr>
        <w:pStyle w:val="Heading1"/>
      </w:pPr>
      <w:bookmarkStart w:id="11" w:name="O_311636"/>
      <w:bookmarkEnd w:id="11"/>
      <w:r w:rsidRPr="0065271E">
        <w:t>Range Statement</w:t>
      </w:r>
    </w:p>
    <w:tbl>
      <w:tblPr>
        <w:tblW w:w="0" w:type="auto"/>
        <w:tblLayout w:type="fixed"/>
        <w:tblCellMar>
          <w:left w:w="62" w:type="dxa"/>
          <w:right w:w="62" w:type="dxa"/>
        </w:tblCellMar>
        <w:tblLook w:val="0000"/>
      </w:tblPr>
      <w:tblGrid>
        <w:gridCol w:w="4500"/>
        <w:gridCol w:w="4500"/>
      </w:tblGrid>
      <w:tr w:rsidTr="005906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 xml:space="preserve">The range statement provides information about the context in which the unit of competency is carried out. The variables and scope cater for </w:t>
            </w:r>
            <w:r w:rsidRPr="0065271E">
              <w:t>different work requirements, work practices and knowledge between States, Territories and the Commonwealth, and between organisations and workplaces. The range statement relates to the unit as a whole and provides a focus for assessment. Text in italics in</w:t>
            </w:r>
            <w:r w:rsidRPr="0065271E">
              <w:t xml:space="preserve"> the performance criteria is explained here.</w:t>
            </w:r>
          </w:p>
          <w:p w:rsidR="00000000" w:rsidP="0065271E">
            <w:pPr>
              <w:pStyle w:val="BodyText"/>
              <w:rPr>
                <w:lang w:val="en-NZ"/>
              </w:rPr>
            </w:pPr>
            <w:r w:rsidRPr="0065271E">
              <w:t>The following variables may be present and may include, but are not limited to, the examples listed under the scope. All work is undertaken to relevant legislative requirements, where applicable</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Scope</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Operations</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Parallel cutting, slotting, planing, drilling, knurling, cutting flats, non-precision surface grinding operations etc.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Material</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Ferrous and non ferrous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Tools</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Cutting tools and accessories, measuring devices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Marking out techniques</w:t>
            </w:r>
          </w:p>
        </w:tc>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t xml:space="preserve">Basic marking out techniques using calipers, steel rules, dividers, scribers etc.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Machining parameters</w:t>
            </w:r>
          </w:p>
        </w:tc>
        <w:tc>
          <w:tcPr>
            <w:tcW w:w="4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Speeds, feeds, stops, coolant and cutting lubricants etc.</w:t>
            </w:r>
          </w:p>
          <w:p w:rsidR="00000000" w:rsidP="0065271E">
            <w:pPr>
              <w:pStyle w:val="BodyText"/>
              <w:rPr>
                <w:lang w:val="en-NZ"/>
              </w:rPr>
            </w:pPr>
            <w:r w:rsidRPr="0065271E">
              <w:t>Machines include lathes, mills, planers, shapers, radial arm drills, slotters, surface grinde</w:t>
            </w:r>
            <w:r w:rsidRPr="0065271E">
              <w:t xml:space="preserve">r etc. </w:t>
            </w:r>
          </w:p>
        </w:tc>
      </w:tr>
      <w:tr w:rsidTr="005906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271E">
            <w:pPr>
              <w:pStyle w:val="BodyText"/>
              <w:rPr>
                <w:lang w:val="en-NZ"/>
              </w:rPr>
            </w:pPr>
            <w:r w:rsidRPr="0065271E">
              <w:rPr>
                <w:rStyle w:val="SpecialBold"/>
              </w:rPr>
              <w:t>Maintenance and adjustments</w:t>
            </w:r>
          </w:p>
        </w:tc>
        <w:tc>
          <w:tcPr>
            <w:tcW w:w="4500" w:type="dxa"/>
            <w:tcBorders>
              <w:top w:val="nil"/>
              <w:left w:val="nil"/>
              <w:bottom w:val="nil"/>
              <w:right w:val="nil"/>
            </w:tcBorders>
            <w:tcMar>
              <w:top w:w="0" w:type="dxa"/>
              <w:left w:w="62" w:type="dxa"/>
              <w:bottom w:w="0" w:type="dxa"/>
              <w:right w:w="62" w:type="dxa"/>
            </w:tcMar>
          </w:tcPr>
          <w:p w:rsidR="00000000" w:rsidRPr="0065271E" w:rsidP="0065271E">
            <w:pPr>
              <w:pStyle w:val="BodyText"/>
            </w:pPr>
            <w:r w:rsidRPr="0065271E">
              <w:t xml:space="preserve">Slide and collar adjustment, cleaning and lubrication </w:t>
            </w:r>
          </w:p>
        </w:tc>
      </w:tr>
    </w:tbl>
    <w:p w:rsidR="00000000" w:rsidRPr="0065271E" w:rsidP="0065271E">
      <w:pPr>
        <w:pStyle w:val="BodyText"/>
      </w:pPr>
    </w:p>
    <w:p w:rsidR="00000000" w:rsidRPr="0065271E" w:rsidP="0065271E">
      <w:pPr>
        <w:pStyle w:val="AllowPageBreak"/>
      </w:pPr>
    </w:p>
    <w:p w:rsidR="00000000" w:rsidRPr="0065271E" w:rsidP="0065271E">
      <w:pPr>
        <w:pStyle w:val="Heading1"/>
      </w:pPr>
      <w:bookmarkStart w:id="12" w:name="O_311635"/>
      <w:bookmarkEnd w:id="12"/>
      <w:r w:rsidRPr="0065271E">
        <w:t>Unit Sector(s)</w:t>
      </w:r>
    </w:p>
    <w:p w:rsidR="00000000" w:rsidRPr="0065271E" w:rsidP="0065271E">
      <w:pPr>
        <w:pStyle w:val="Heading1"/>
      </w:pPr>
      <w:bookmarkStart w:id="13" w:name="O_311633"/>
      <w:bookmarkEnd w:id="13"/>
      <w:r w:rsidRPr="0065271E">
        <w:t>Competency field</w:t>
      </w:r>
    </w:p>
    <w:p w:rsidR="00000000" w:rsidRPr="0065271E" w:rsidP="0065271E">
      <w:pPr>
        <w:pStyle w:val="BodyText"/>
      </w:pPr>
      <w:r w:rsidRPr="0065271E">
        <w:t>Machine&amp;process operations</w:t>
      </w:r>
    </w:p>
    <w:p w:rsidR="00000000" w:rsidRPr="0065271E" w:rsidP="0065271E">
      <w:pPr>
        <w:pStyle w:val="AllowPageBreak"/>
      </w:pPr>
    </w:p>
    <w:p w:rsidR="00000000" w:rsidRPr="0065271E" w:rsidP="0065271E">
      <w:pPr>
        <w:pStyle w:val="Heading1"/>
      </w:pPr>
      <w:bookmarkStart w:id="14" w:name="O_311634"/>
      <w:bookmarkEnd w:id="14"/>
      <w:r w:rsidRPr="0065271E">
        <w:t>Band</w:t>
      </w:r>
    </w:p>
    <w:p w:rsidR="00000000" w:rsidRPr="0065271E" w:rsidP="0065271E">
      <w:pPr>
        <w:pStyle w:val="BodyText"/>
      </w:pPr>
      <w:r w:rsidRPr="0065271E">
        <w:t>A</w:t>
      </w:r>
    </w:p>
    <w:p w:rsidR="00000000" w:rsidRPr="0065271E" w:rsidP="0065271E">
      <w:pPr>
        <w:pStyle w:val="AllowPageBreak"/>
      </w:pPr>
    </w:p>
    <w:p w:rsidR="00000000" w:rsidRPr="0065271E" w:rsidP="0065271E">
      <w:pPr>
        <w:pStyle w:val="Heading1"/>
      </w:pPr>
      <w:bookmarkStart w:id="15" w:name="O_311638"/>
      <w:bookmarkEnd w:id="15"/>
      <w:r w:rsidRPr="0065271E">
        <w:t>Unit Weight</w:t>
      </w:r>
    </w:p>
    <w:p w:rsidR="00000000" w:rsidRPr="0065271E" w:rsidP="0065271E">
      <w:pPr>
        <w:pStyle w:val="BodyText"/>
      </w:pPr>
      <w:r w:rsidRPr="0065271E">
        <w:t>8</w:t>
      </w:r>
    </w:p>
    <w:p w:rsidR="00000000" w:rsidRPr="0065271E" w:rsidP="0065271E">
      <w:pPr>
        <w:pStyle w:val="AllowPageBreak"/>
      </w:pPr>
    </w:p>
    <w:p w:rsidR="00000000" w:rsidRPr="0065271E" w:rsidP="0065271E">
      <w:pPr>
        <w:pStyle w:val="Heading1"/>
      </w:pPr>
      <w:bookmarkStart w:id="16" w:name="O_311639"/>
      <w:bookmarkEnd w:id="16"/>
      <w:r w:rsidRPr="0065271E">
        <w:t>Related units</w:t>
      </w:r>
    </w:p>
    <w:p w:rsidR="00000000" w:rsidRPr="0065271E" w:rsidP="0065271E">
      <w:pPr>
        <w:pStyle w:val="BodyText"/>
      </w:pPr>
      <w:r w:rsidRPr="0065271E">
        <w:t xml:space="preserve">Drilling operations in this unit exclude those covered by Unit MEM18002B (Use power tools/hand held operations). </w:t>
      </w:r>
    </w:p>
    <w:p w:rsidR="00000000" w:rsidRPr="0065271E" w:rsidP="0065271E">
      <w:pPr>
        <w:pStyle w:val="BodyText"/>
      </w:pPr>
      <w:r w:rsidRPr="0065271E">
        <w:t xml:space="preserve">Where substantial marking out is required, Unit MEM12006B (Mark off/out (general engineering)) should be considered. </w:t>
      </w:r>
    </w:p>
    <w:p w:rsidR="00000000" w:rsidRPr="0065271E" w:rsidP="0065271E">
      <w:pPr>
        <w:pStyle w:val="BodyText"/>
      </w:pPr>
      <w:r w:rsidRPr="0065271E">
        <w:t>Wh</w:t>
      </w:r>
      <w:r w:rsidRPr="0065271E">
        <w:t xml:space="preserve">ere precision measurement is required, Unit MEM12003B (Perform precision mechanical measurement) should also be considered. </w:t>
      </w:r>
    </w:p>
    <w:p w:rsidR="00000000" w:rsidRPr="0065271E" w:rsidP="0065271E">
      <w:pPr>
        <w:pStyle w:val="BodyText"/>
      </w:pPr>
      <w:r w:rsidRPr="0065271E">
        <w:t>For set-up and operation of EDM machines, see Unit MEM07014B (Perform electro-discharge (EDM) machining operations).</w:t>
      </w:r>
    </w:p>
    <w:p w:rsidR="00000000" w:rsidRPr="0065271E" w:rsidP="0065271E"/>
    <w:sectPr w:rsidSect="00652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62D" w:rsidP="00590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2D" w:rsidP="00652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062D" w:rsidP="006527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062D" w:rsidP="006527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62D" w:rsidP="005906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62D" w:rsidP="0065271E">
    <w:pPr>
      <w:pStyle w:val="Header"/>
      <w:framePr w:wrap="around"/>
    </w:pPr>
    <w:r>
      <w:fldChar w:fldCharType="begin"/>
    </w:r>
    <w:r>
      <w:instrText xml:space="preserve"> TITLE   \* MERGEFORMAT </w:instrText>
    </w:r>
    <w:r>
      <w:fldChar w:fldCharType="separate"/>
    </w:r>
    <w:r>
      <w:t>MEM07005B Perform general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062D" w:rsidP="006527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7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71E"/>
    <w:pPr>
      <w:spacing w:before="360" w:after="60"/>
      <w:outlineLvl w:val="0"/>
    </w:pPr>
    <w:rPr>
      <w:sz w:val="32"/>
    </w:rPr>
  </w:style>
  <w:style w:type="paragraph" w:styleId="Heading2">
    <w:name w:val="heading 2"/>
    <w:basedOn w:val="HeadingBase"/>
    <w:next w:val="BodyText"/>
    <w:link w:val="Heading2Char"/>
    <w:qFormat/>
    <w:rsid w:val="0065271E"/>
    <w:pPr>
      <w:keepLines/>
      <w:spacing w:before="240" w:after="120"/>
      <w:outlineLvl w:val="1"/>
    </w:pPr>
    <w:rPr>
      <w:sz w:val="28"/>
      <w:szCs w:val="40"/>
    </w:rPr>
  </w:style>
  <w:style w:type="paragraph" w:styleId="Heading3">
    <w:name w:val="heading 3"/>
    <w:basedOn w:val="HeadingBase"/>
    <w:next w:val="BodyText"/>
    <w:link w:val="Heading3Char"/>
    <w:qFormat/>
    <w:rsid w:val="0065271E"/>
    <w:pPr>
      <w:spacing w:before="180" w:after="120"/>
      <w:outlineLvl w:val="2"/>
    </w:pPr>
    <w:rPr>
      <w:spacing w:val="-10"/>
      <w:kern w:val="32"/>
    </w:rPr>
  </w:style>
  <w:style w:type="paragraph" w:styleId="Heading4">
    <w:name w:val="heading 4"/>
    <w:basedOn w:val="HeadingBase"/>
    <w:next w:val="BodyText"/>
    <w:link w:val="Heading4Char"/>
    <w:qFormat/>
    <w:rsid w:val="0065271E"/>
    <w:pPr>
      <w:spacing w:before="160" w:after="120"/>
      <w:outlineLvl w:val="3"/>
    </w:pPr>
    <w:rPr>
      <w:sz w:val="22"/>
    </w:rPr>
  </w:style>
  <w:style w:type="paragraph" w:styleId="Heading5">
    <w:name w:val="heading 5"/>
    <w:basedOn w:val="HeadingBase"/>
    <w:next w:val="Normal"/>
    <w:link w:val="Heading5Char"/>
    <w:qFormat/>
    <w:rsid w:val="0065271E"/>
    <w:pPr>
      <w:spacing w:before="80"/>
      <w:outlineLvl w:val="4"/>
    </w:pPr>
    <w:rPr>
      <w:color w:val="918585"/>
      <w:sz w:val="20"/>
    </w:rPr>
  </w:style>
  <w:style w:type="paragraph" w:styleId="Heading6">
    <w:name w:val="heading 6"/>
    <w:basedOn w:val="HeadingBase"/>
    <w:next w:val="Normal"/>
    <w:link w:val="Heading6Char"/>
    <w:qFormat/>
    <w:rsid w:val="0065271E"/>
    <w:pPr>
      <w:spacing w:before="60"/>
      <w:outlineLvl w:val="5"/>
    </w:pPr>
    <w:rPr>
      <w:color w:val="918585"/>
      <w:sz w:val="20"/>
    </w:rPr>
  </w:style>
  <w:style w:type="paragraph" w:styleId="Heading7">
    <w:name w:val="heading 7"/>
    <w:basedOn w:val="Normal"/>
    <w:next w:val="Normal"/>
    <w:link w:val="Heading7Char"/>
    <w:qFormat/>
    <w:rsid w:val="0065271E"/>
    <w:pPr>
      <w:ind w:left="720"/>
      <w:outlineLvl w:val="6"/>
    </w:pPr>
    <w:rPr>
      <w:i/>
    </w:rPr>
  </w:style>
  <w:style w:type="paragraph" w:styleId="Heading8">
    <w:name w:val="heading 8"/>
    <w:basedOn w:val="Normal"/>
    <w:next w:val="Normal"/>
    <w:link w:val="Heading8Char"/>
    <w:qFormat/>
    <w:rsid w:val="0065271E"/>
    <w:pPr>
      <w:ind w:left="720"/>
      <w:outlineLvl w:val="7"/>
    </w:pPr>
    <w:rPr>
      <w:i/>
    </w:rPr>
  </w:style>
  <w:style w:type="paragraph" w:styleId="Heading9">
    <w:name w:val="heading 9"/>
    <w:basedOn w:val="Normal"/>
    <w:next w:val="Normal"/>
    <w:link w:val="Heading9Char"/>
    <w:qFormat/>
    <w:rsid w:val="0065271E"/>
    <w:pPr>
      <w:ind w:left="720"/>
      <w:outlineLvl w:val="8"/>
    </w:pPr>
    <w:rPr>
      <w:i/>
    </w:rPr>
  </w:style>
  <w:style w:type="character" w:default="1" w:styleId="DefaultParagraphFont">
    <w:name w:val="Default Paragraph Font"/>
    <w:uiPriority w:val="1"/>
    <w:unhideWhenUsed/>
    <w:rsid w:val="00652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71E"/>
  </w:style>
  <w:style w:type="character" w:customStyle="1" w:styleId="Heading1Char">
    <w:name w:val="Heading 1 Char"/>
    <w:link w:val="Heading1"/>
    <w:rsid w:val="0065271E"/>
    <w:rPr>
      <w:rFonts w:ascii="Times New Roman" w:eastAsia="Times New Roman" w:hAnsi="Times New Roman" w:cs="Times New Roman"/>
      <w:b/>
      <w:sz w:val="32"/>
      <w:szCs w:val="20"/>
      <w:lang w:eastAsia="en-US"/>
    </w:rPr>
  </w:style>
  <w:style w:type="paragraph" w:styleId="BodyText">
    <w:name w:val="Body Text"/>
    <w:basedOn w:val="Normal"/>
    <w:link w:val="BodyTextChar"/>
    <w:rsid w:val="0065271E"/>
    <w:pPr>
      <w:spacing w:before="120" w:after="120"/>
      <w:contextualSpacing/>
    </w:pPr>
    <w:rPr>
      <w:rFonts w:ascii="Times New Roman" w:hAnsi="Times New Roman"/>
      <w:sz w:val="24"/>
      <w:szCs w:val="22"/>
    </w:rPr>
  </w:style>
  <w:style w:type="character" w:customStyle="1" w:styleId="BodyTextChar">
    <w:name w:val="Body Text Char"/>
    <w:link w:val="BodyText"/>
    <w:rsid w:val="0065271E"/>
    <w:rPr>
      <w:rFonts w:ascii="Times New Roman" w:eastAsia="Times New Roman" w:hAnsi="Times New Roman" w:cs="Times New Roman"/>
      <w:sz w:val="24"/>
      <w:lang w:val="en-US" w:eastAsia="en-US"/>
    </w:rPr>
  </w:style>
  <w:style w:type="paragraph" w:styleId="Footer">
    <w:name w:val="footer"/>
    <w:basedOn w:val="Normal"/>
    <w:link w:val="FooterChar"/>
    <w:rsid w:val="00652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271E"/>
    <w:rPr>
      <w:rFonts w:ascii="Times New Roman" w:eastAsia="Times New Roman" w:hAnsi="Times New Roman" w:cs="Times New Roman"/>
      <w:sz w:val="16"/>
      <w:lang w:val="en-US" w:eastAsia="en-US"/>
    </w:rPr>
  </w:style>
  <w:style w:type="character" w:customStyle="1" w:styleId="SpecialBold">
    <w:name w:val="Special Bold"/>
    <w:rsid w:val="0065271E"/>
    <w:rPr>
      <w:b/>
      <w:spacing w:val="0"/>
    </w:rPr>
  </w:style>
  <w:style w:type="paragraph" w:styleId="Header">
    <w:name w:val="header"/>
    <w:basedOn w:val="Normal"/>
    <w:link w:val="HeaderChar"/>
    <w:rsid w:val="00652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27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71E"/>
    <w:pPr>
      <w:spacing w:before="240" w:after="120"/>
      <w:outlineLvl w:val="0"/>
    </w:pPr>
    <w:rPr>
      <w:rFonts w:ascii="Times New Roman" w:hAnsi="Times New Roman"/>
      <w:b/>
      <w:sz w:val="28"/>
    </w:rPr>
  </w:style>
  <w:style w:type="paragraph" w:customStyle="1" w:styleId="AllowPageBreak">
    <w:name w:val="AllowPageBreak"/>
    <w:rsid w:val="00652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5271E"/>
    <w:rPr>
      <w:rFonts w:ascii="Times New Roman" w:eastAsia="Times New Roman" w:hAnsi="Times New Roman" w:cs="Times New Roman"/>
      <w:b/>
      <w:sz w:val="28"/>
      <w:szCs w:val="40"/>
      <w:lang w:eastAsia="en-US"/>
    </w:rPr>
  </w:style>
  <w:style w:type="character" w:customStyle="1" w:styleId="Heading3Char">
    <w:name w:val="Heading 3 Char"/>
    <w:link w:val="Heading3"/>
    <w:rsid w:val="006527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271E"/>
    <w:rPr>
      <w:rFonts w:ascii="Times New Roman" w:eastAsia="Times New Roman" w:hAnsi="Times New Roman" w:cs="Times New Roman"/>
      <w:b/>
      <w:szCs w:val="20"/>
      <w:lang w:eastAsia="en-US"/>
    </w:rPr>
  </w:style>
  <w:style w:type="character" w:customStyle="1" w:styleId="Heading5Char">
    <w:name w:val="Heading 5 Char"/>
    <w:link w:val="Heading5"/>
    <w:rsid w:val="006527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2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7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7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71E"/>
    <w:rPr>
      <w:rFonts w:ascii="Courier New" w:eastAsia="Times New Roman" w:hAnsi="Courier New" w:cs="Times New Roman"/>
      <w:i/>
      <w:szCs w:val="20"/>
      <w:lang w:val="en-US" w:eastAsia="en-US"/>
    </w:rPr>
  </w:style>
  <w:style w:type="paragraph" w:customStyle="1" w:styleId="HeadingBase">
    <w:name w:val="Heading Base"/>
    <w:rsid w:val="00652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71E"/>
    <w:pPr>
      <w:tabs>
        <w:tab w:val="right" w:leader="dot" w:pos="9072"/>
      </w:tabs>
      <w:ind w:left="567"/>
    </w:pPr>
    <w:rPr>
      <w:szCs w:val="22"/>
    </w:rPr>
  </w:style>
  <w:style w:type="paragraph" w:customStyle="1" w:styleId="TOCBase">
    <w:name w:val="TOC Base"/>
    <w:rsid w:val="00652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71E"/>
    <w:pPr>
      <w:tabs>
        <w:tab w:val="right" w:leader="dot" w:pos="9072"/>
      </w:tabs>
      <w:spacing w:before="40" w:after="40"/>
      <w:ind w:left="284"/>
    </w:pPr>
    <w:rPr>
      <w:rFonts w:ascii="Times New Roman" w:hAnsi="Times New Roman"/>
    </w:rPr>
  </w:style>
  <w:style w:type="paragraph" w:styleId="TOC1">
    <w:name w:val="toc 1"/>
    <w:basedOn w:val="TOCBase"/>
    <w:next w:val="Normal"/>
    <w:rsid w:val="006527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71E"/>
    <w:pPr>
      <w:spacing w:before="5040"/>
      <w:jc w:val="center"/>
    </w:pPr>
    <w:rPr>
      <w:sz w:val="48"/>
      <w:szCs w:val="72"/>
      <w:lang w:val="en-US"/>
    </w:rPr>
  </w:style>
  <w:style w:type="character" w:customStyle="1" w:styleId="TitleChar">
    <w:name w:val="Title Char"/>
    <w:link w:val="Title"/>
    <w:rsid w:val="00652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71E"/>
    <w:pPr>
      <w:tabs>
        <w:tab w:val="left" w:pos="3600"/>
        <w:tab w:val="left" w:pos="3958"/>
      </w:tabs>
    </w:pPr>
  </w:style>
  <w:style w:type="paragraph" w:styleId="List">
    <w:name w:val="List"/>
    <w:basedOn w:val="BodyText"/>
    <w:next w:val="BodyText"/>
    <w:rsid w:val="0065271E"/>
    <w:pPr>
      <w:tabs>
        <w:tab w:val="left" w:pos="340"/>
      </w:tabs>
      <w:spacing w:before="60" w:after="60"/>
      <w:ind w:left="340" w:hanging="340"/>
    </w:pPr>
  </w:style>
  <w:style w:type="paragraph" w:styleId="ListBullet">
    <w:name w:val="List Bullet"/>
    <w:basedOn w:val="List"/>
    <w:rsid w:val="0065271E"/>
    <w:pPr>
      <w:numPr>
        <w:numId w:val="11"/>
      </w:numPr>
      <w:tabs>
        <w:tab w:val="clear" w:pos="340"/>
      </w:tabs>
      <w:spacing w:before="40" w:after="40"/>
    </w:pPr>
  </w:style>
  <w:style w:type="paragraph" w:customStyle="1" w:styleId="Note">
    <w:name w:val="Note"/>
    <w:basedOn w:val="BodyText"/>
    <w:rsid w:val="00652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71E"/>
    <w:pPr>
      <w:framePr w:wrap="auto" w:hAnchor="text" w:y="6049"/>
    </w:pPr>
    <w:rPr>
      <w:color w:val="000000"/>
      <w:sz w:val="40"/>
    </w:rPr>
  </w:style>
  <w:style w:type="paragraph" w:customStyle="1" w:styleId="TOCTitle">
    <w:name w:val="TOCTitle"/>
    <w:basedOn w:val="Heading1"/>
    <w:rsid w:val="0065271E"/>
    <w:pPr>
      <w:spacing w:after="240"/>
      <w:jc w:val="center"/>
      <w:outlineLvl w:val="9"/>
    </w:pPr>
    <w:rPr>
      <w:caps/>
    </w:rPr>
  </w:style>
  <w:style w:type="paragraph" w:customStyle="1" w:styleId="Version">
    <w:name w:val="Version"/>
    <w:rsid w:val="006527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71E"/>
    <w:pPr>
      <w:numPr>
        <w:numId w:val="12"/>
      </w:numPr>
      <w:tabs>
        <w:tab w:val="clear" w:pos="680"/>
      </w:tabs>
    </w:pPr>
  </w:style>
  <w:style w:type="paragraph" w:styleId="Index1">
    <w:name w:val="index 1"/>
    <w:basedOn w:val="Normal"/>
    <w:next w:val="Normal"/>
    <w:semiHidden/>
    <w:rsid w:val="0065271E"/>
    <w:pPr>
      <w:keepNext w:val="0"/>
      <w:tabs>
        <w:tab w:val="right" w:pos="4176"/>
      </w:tabs>
      <w:ind w:left="198" w:hanging="198"/>
    </w:pPr>
    <w:rPr>
      <w:rFonts w:ascii="Garamond" w:hAnsi="Garamond"/>
    </w:rPr>
  </w:style>
  <w:style w:type="paragraph" w:styleId="IndexHeading">
    <w:name w:val="index heading"/>
    <w:basedOn w:val="Normal"/>
    <w:next w:val="Index1"/>
    <w:semiHidden/>
    <w:rsid w:val="0065271E"/>
    <w:pPr>
      <w:spacing w:before="120" w:after="120"/>
    </w:pPr>
    <w:rPr>
      <w:rFonts w:ascii="Arial" w:hAnsi="Arial"/>
      <w:b/>
      <w:color w:val="918585"/>
      <w:sz w:val="24"/>
    </w:rPr>
  </w:style>
  <w:style w:type="paragraph" w:customStyle="1" w:styleId="Chapter">
    <w:name w:val="Chapter"/>
    <w:basedOn w:val="Normal"/>
    <w:rsid w:val="0065271E"/>
    <w:pPr>
      <w:spacing w:before="240"/>
    </w:pPr>
    <w:rPr>
      <w:rFonts w:ascii="Times New Roman" w:hAnsi="Times New Roman"/>
      <w:smallCaps/>
      <w:spacing w:val="80"/>
      <w:sz w:val="28"/>
    </w:rPr>
  </w:style>
  <w:style w:type="paragraph" w:customStyle="1" w:styleId="InChapter">
    <w:name w:val="InChapter"/>
    <w:basedOn w:val="Heading3"/>
    <w:rsid w:val="0065271E"/>
    <w:pPr>
      <w:spacing w:after="240"/>
      <w:outlineLvl w:val="9"/>
    </w:pPr>
    <w:rPr>
      <w:noProof/>
    </w:rPr>
  </w:style>
  <w:style w:type="paragraph" w:styleId="Index2">
    <w:name w:val="index 2"/>
    <w:basedOn w:val="Normal"/>
    <w:next w:val="Normal"/>
    <w:semiHidden/>
    <w:rsid w:val="0065271E"/>
    <w:pPr>
      <w:tabs>
        <w:tab w:val="right" w:pos="4176"/>
      </w:tabs>
      <w:ind w:left="568" w:hanging="284"/>
    </w:pPr>
    <w:rPr>
      <w:rFonts w:ascii="Garamond" w:hAnsi="Garamond"/>
    </w:rPr>
  </w:style>
  <w:style w:type="paragraph" w:customStyle="1" w:styleId="Byline">
    <w:name w:val="Byline"/>
    <w:rsid w:val="00652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71E"/>
    <w:pPr>
      <w:tabs>
        <w:tab w:val="clear" w:pos="3600"/>
        <w:tab w:val="clear" w:pos="3958"/>
      </w:tabs>
      <w:jc w:val="right"/>
    </w:pPr>
  </w:style>
  <w:style w:type="character" w:styleId="Emphasis">
    <w:name w:val="Emphasis"/>
    <w:qFormat/>
    <w:rsid w:val="0065271E"/>
    <w:rPr>
      <w:i/>
    </w:rPr>
  </w:style>
  <w:style w:type="paragraph" w:styleId="Caption">
    <w:name w:val="caption"/>
    <w:basedOn w:val="BodyText"/>
    <w:next w:val="Normal"/>
    <w:qFormat/>
    <w:rsid w:val="0065271E"/>
    <w:pPr>
      <w:framePr w:w="2268" w:hSpace="181" w:vSpace="181" w:wrap="around" w:vAnchor="text" w:hAnchor="page" w:x="1135" w:y="285" w:anchorLock="1"/>
    </w:pPr>
    <w:rPr>
      <w:i/>
    </w:rPr>
  </w:style>
  <w:style w:type="paragraph" w:customStyle="1" w:styleId="MiniTOCTitle">
    <w:name w:val="MiniTOCTitle"/>
    <w:basedOn w:val="Heading4"/>
    <w:rsid w:val="0065271E"/>
    <w:pPr>
      <w:spacing w:before="240"/>
      <w:outlineLvl w:val="9"/>
    </w:pPr>
    <w:rPr>
      <w:noProof/>
      <w:sz w:val="24"/>
    </w:rPr>
  </w:style>
  <w:style w:type="paragraph" w:customStyle="1" w:styleId="MiniTOCItem">
    <w:name w:val="MiniTOCItem"/>
    <w:basedOn w:val="ListBullet"/>
    <w:rsid w:val="0065271E"/>
    <w:pPr>
      <w:numPr>
        <w:numId w:val="0"/>
      </w:numPr>
      <w:tabs>
        <w:tab w:val="right" w:leader="dot" w:pos="6521"/>
      </w:tabs>
      <w:spacing w:before="0" w:after="0"/>
    </w:pPr>
  </w:style>
  <w:style w:type="paragraph" w:customStyle="1" w:styleId="TOFTitle">
    <w:name w:val="TOFTitle"/>
    <w:basedOn w:val="TOCTitle"/>
    <w:rsid w:val="0065271E"/>
  </w:style>
  <w:style w:type="paragraph" w:styleId="TableofFigures">
    <w:name w:val="table of figures"/>
    <w:basedOn w:val="Normal"/>
    <w:next w:val="Normal"/>
    <w:semiHidden/>
    <w:rsid w:val="0065271E"/>
    <w:pPr>
      <w:tabs>
        <w:tab w:val="right" w:leader="dot" w:pos="9072"/>
      </w:tabs>
      <w:ind w:left="970" w:hanging="403"/>
    </w:pPr>
    <w:rPr>
      <w:rFonts w:ascii="Times New Roman" w:hAnsi="Times New Roman"/>
      <w:b/>
    </w:rPr>
  </w:style>
  <w:style w:type="paragraph" w:styleId="ListNumber">
    <w:name w:val="List Number"/>
    <w:basedOn w:val="List"/>
    <w:rsid w:val="0065271E"/>
    <w:pPr>
      <w:numPr>
        <w:numId w:val="9"/>
      </w:numPr>
    </w:pPr>
  </w:style>
  <w:style w:type="character" w:customStyle="1" w:styleId="WingdingSymbols">
    <w:name w:val="Wingding Symbols"/>
    <w:rsid w:val="0065271E"/>
    <w:rPr>
      <w:rFonts w:ascii="Wingdings" w:hAnsi="Wingdings"/>
    </w:rPr>
  </w:style>
  <w:style w:type="paragraph" w:customStyle="1" w:styleId="TableHeading">
    <w:name w:val="Table Heading"/>
    <w:basedOn w:val="HeadingBase"/>
    <w:rsid w:val="0065271E"/>
    <w:pPr>
      <w:keepLines/>
      <w:pBdr>
        <w:bottom w:val="single" w:sz="6" w:space="1" w:color="918585"/>
      </w:pBdr>
      <w:spacing w:before="240"/>
    </w:pPr>
  </w:style>
  <w:style w:type="character" w:customStyle="1" w:styleId="HotSpot">
    <w:name w:val="HotSpot"/>
    <w:rsid w:val="0065271E"/>
    <w:rPr>
      <w:color w:val="0033CC"/>
      <w:u w:val="none"/>
    </w:rPr>
  </w:style>
  <w:style w:type="paragraph" w:customStyle="1" w:styleId="BodyTextRight">
    <w:name w:val="Body Text Right"/>
    <w:basedOn w:val="BodyText"/>
    <w:rsid w:val="0065271E"/>
    <w:pPr>
      <w:spacing w:before="0" w:after="0"/>
      <w:jc w:val="right"/>
    </w:pPr>
  </w:style>
  <w:style w:type="paragraph" w:styleId="Index3">
    <w:name w:val="index 3"/>
    <w:basedOn w:val="ListNumber2"/>
    <w:next w:val="Normal"/>
    <w:semiHidden/>
    <w:rsid w:val="0065271E"/>
    <w:pPr>
      <w:numPr>
        <w:numId w:val="0"/>
      </w:numPr>
      <w:tabs>
        <w:tab w:val="right" w:leader="dot" w:pos="4176"/>
      </w:tabs>
    </w:pPr>
  </w:style>
  <w:style w:type="paragraph" w:styleId="ListNumber2">
    <w:name w:val="List Number 2"/>
    <w:basedOn w:val="List2"/>
    <w:rsid w:val="0065271E"/>
    <w:pPr>
      <w:numPr>
        <w:numId w:val="8"/>
      </w:numPr>
      <w:tabs>
        <w:tab w:val="clear" w:pos="1060"/>
      </w:tabs>
    </w:pPr>
  </w:style>
  <w:style w:type="paragraph" w:customStyle="1" w:styleId="MarginNote">
    <w:name w:val="Margin Note"/>
    <w:basedOn w:val="BodyText"/>
    <w:rsid w:val="00652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27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71E"/>
    <w:rPr>
      <w:sz w:val="32"/>
    </w:rPr>
  </w:style>
  <w:style w:type="paragraph" w:customStyle="1" w:styleId="HeadingProcedure">
    <w:name w:val="Heading Procedure"/>
    <w:basedOn w:val="HeadingBase"/>
    <w:next w:val="Normal"/>
    <w:rsid w:val="0065271E"/>
    <w:pPr>
      <w:tabs>
        <w:tab w:val="left" w:pos="0"/>
      </w:tabs>
      <w:spacing w:before="120" w:after="60"/>
    </w:pPr>
    <w:rPr>
      <w:i/>
      <w:color w:val="918585"/>
      <w:sz w:val="22"/>
    </w:rPr>
  </w:style>
  <w:style w:type="paragraph" w:customStyle="1" w:styleId="TableBodyText">
    <w:name w:val="Table Body Text"/>
    <w:basedOn w:val="BodyText"/>
    <w:rsid w:val="0065271E"/>
    <w:pPr>
      <w:spacing w:before="60" w:after="60"/>
    </w:pPr>
  </w:style>
  <w:style w:type="paragraph" w:styleId="ListContinue">
    <w:name w:val="List Continue"/>
    <w:basedOn w:val="List"/>
    <w:rsid w:val="0065271E"/>
    <w:pPr>
      <w:ind w:firstLine="0"/>
    </w:pPr>
  </w:style>
  <w:style w:type="paragraph" w:customStyle="1" w:styleId="ListNote">
    <w:name w:val="List Note"/>
    <w:basedOn w:val="List"/>
    <w:rsid w:val="0065271E"/>
    <w:pPr>
      <w:pBdr>
        <w:top w:val="single" w:sz="6" w:space="2" w:color="918585"/>
        <w:bottom w:val="single" w:sz="6" w:space="2" w:color="918585"/>
      </w:pBdr>
      <w:tabs>
        <w:tab w:val="left" w:pos="1021"/>
      </w:tabs>
      <w:ind w:firstLine="0"/>
    </w:pPr>
  </w:style>
  <w:style w:type="paragraph" w:customStyle="1" w:styleId="Warning">
    <w:name w:val="Warning"/>
    <w:basedOn w:val="BodyText"/>
    <w:rsid w:val="0065271E"/>
    <w:pPr>
      <w:shd w:val="clear" w:color="auto" w:fill="D9D9D9"/>
      <w:tabs>
        <w:tab w:val="left" w:pos="992"/>
      </w:tabs>
      <w:ind w:left="119" w:right="119"/>
    </w:pPr>
    <w:rPr>
      <w:sz w:val="20"/>
    </w:rPr>
  </w:style>
  <w:style w:type="paragraph" w:customStyle="1" w:styleId="MarginIcons">
    <w:name w:val="Margin Icons"/>
    <w:basedOn w:val="BodyText"/>
    <w:rsid w:val="006527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271E"/>
    <w:rPr>
      <w:rFonts w:ascii="Courier New" w:hAnsi="Courier New"/>
    </w:rPr>
  </w:style>
  <w:style w:type="paragraph" w:customStyle="1" w:styleId="NoteBullet">
    <w:name w:val="Note Bullet"/>
    <w:basedOn w:val="Note"/>
    <w:rsid w:val="0065271E"/>
    <w:pPr>
      <w:tabs>
        <w:tab w:val="clear" w:pos="680"/>
      </w:tabs>
      <w:spacing w:before="60" w:after="60"/>
    </w:pPr>
  </w:style>
  <w:style w:type="paragraph" w:customStyle="1" w:styleId="SubHeading2">
    <w:name w:val="SubHeading2"/>
    <w:basedOn w:val="HeadingBase"/>
    <w:rsid w:val="0065271E"/>
    <w:pPr>
      <w:spacing w:before="240" w:after="60"/>
    </w:pPr>
    <w:rPr>
      <w:sz w:val="20"/>
    </w:rPr>
  </w:style>
  <w:style w:type="paragraph" w:customStyle="1" w:styleId="SubHeading1">
    <w:name w:val="SubHeading1"/>
    <w:basedOn w:val="HeadingBase"/>
    <w:rsid w:val="0065271E"/>
    <w:pPr>
      <w:spacing w:before="240" w:after="60"/>
    </w:pPr>
    <w:rPr>
      <w:color w:val="918585"/>
      <w:sz w:val="22"/>
    </w:rPr>
  </w:style>
  <w:style w:type="paragraph" w:customStyle="1" w:styleId="SideHeading">
    <w:name w:val="Side Heading"/>
    <w:basedOn w:val="HeadingBase"/>
    <w:rsid w:val="00652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71E"/>
    <w:pPr>
      <w:numPr>
        <w:numId w:val="10"/>
      </w:numPr>
    </w:pPr>
  </w:style>
  <w:style w:type="paragraph" w:styleId="PlainText">
    <w:name w:val="Plain Text"/>
    <w:basedOn w:val="Normal"/>
    <w:link w:val="PlainTextChar"/>
    <w:rsid w:val="0065271E"/>
    <w:rPr>
      <w:sz w:val="20"/>
    </w:rPr>
  </w:style>
  <w:style w:type="character" w:customStyle="1" w:styleId="PlainTextChar">
    <w:name w:val="Plain Text Char"/>
    <w:basedOn w:val="DefaultParagraphFont"/>
    <w:link w:val="PlainText"/>
    <w:rsid w:val="0065271E"/>
    <w:rPr>
      <w:rFonts w:ascii="Courier New" w:eastAsia="Times New Roman" w:hAnsi="Courier New" w:cs="Times New Roman"/>
      <w:sz w:val="20"/>
      <w:szCs w:val="20"/>
      <w:lang w:val="en-US" w:eastAsia="en-US"/>
    </w:rPr>
  </w:style>
  <w:style w:type="character" w:customStyle="1" w:styleId="MenuOption">
    <w:name w:val="Menu Option"/>
    <w:rsid w:val="0065271E"/>
    <w:rPr>
      <w:b/>
      <w:smallCaps/>
    </w:rPr>
  </w:style>
  <w:style w:type="paragraph" w:customStyle="1" w:styleId="TableListNumber">
    <w:name w:val="Table List Number"/>
    <w:basedOn w:val="ListNumber"/>
    <w:rsid w:val="0065271E"/>
    <w:pPr>
      <w:numPr>
        <w:numId w:val="0"/>
      </w:numPr>
    </w:pPr>
  </w:style>
  <w:style w:type="paragraph" w:styleId="TOC4">
    <w:name w:val="toc 4"/>
    <w:basedOn w:val="TOCBase"/>
    <w:next w:val="Normal"/>
    <w:semiHidden/>
    <w:rsid w:val="0065271E"/>
    <w:pPr>
      <w:tabs>
        <w:tab w:val="right" w:leader="dot" w:pos="9071"/>
      </w:tabs>
      <w:ind w:left="1701"/>
    </w:pPr>
  </w:style>
  <w:style w:type="paragraph" w:customStyle="1" w:styleId="ListAlpha">
    <w:name w:val="List Alpha"/>
    <w:basedOn w:val="List"/>
    <w:rsid w:val="0065271E"/>
    <w:pPr>
      <w:numPr>
        <w:numId w:val="7"/>
      </w:numPr>
    </w:pPr>
  </w:style>
  <w:style w:type="paragraph" w:customStyle="1" w:styleId="ListAlpha2">
    <w:name w:val="List Alpha 2"/>
    <w:basedOn w:val="List2"/>
    <w:rsid w:val="0065271E"/>
    <w:pPr>
      <w:numPr>
        <w:numId w:val="6"/>
      </w:numPr>
    </w:pPr>
  </w:style>
  <w:style w:type="paragraph" w:styleId="List2">
    <w:name w:val="List 2"/>
    <w:basedOn w:val="BodyText"/>
    <w:rsid w:val="0065271E"/>
    <w:pPr>
      <w:tabs>
        <w:tab w:val="left" w:pos="680"/>
      </w:tabs>
      <w:spacing w:before="60" w:after="60"/>
      <w:ind w:left="680" w:hanging="340"/>
    </w:pPr>
  </w:style>
  <w:style w:type="paragraph" w:styleId="List3">
    <w:name w:val="List 3"/>
    <w:basedOn w:val="BodyText"/>
    <w:rsid w:val="0065271E"/>
    <w:pPr>
      <w:tabs>
        <w:tab w:val="left" w:pos="1021"/>
      </w:tabs>
      <w:spacing w:before="60" w:after="60"/>
      <w:ind w:left="1020" w:hanging="340"/>
    </w:pPr>
  </w:style>
  <w:style w:type="paragraph" w:styleId="List4">
    <w:name w:val="List 4"/>
    <w:basedOn w:val="BodyText"/>
    <w:rsid w:val="0065271E"/>
    <w:pPr>
      <w:tabs>
        <w:tab w:val="left" w:pos="1361"/>
      </w:tabs>
      <w:spacing w:before="60" w:after="60"/>
      <w:ind w:left="1361" w:hanging="340"/>
    </w:pPr>
  </w:style>
  <w:style w:type="paragraph" w:styleId="List5">
    <w:name w:val="List 5"/>
    <w:basedOn w:val="BodyText"/>
    <w:rsid w:val="0065271E"/>
    <w:pPr>
      <w:tabs>
        <w:tab w:val="left" w:pos="1701"/>
      </w:tabs>
      <w:spacing w:before="60" w:after="60"/>
      <w:ind w:left="1701" w:hanging="340"/>
    </w:pPr>
  </w:style>
  <w:style w:type="paragraph" w:styleId="ListBullet3">
    <w:name w:val="List Bullet 3"/>
    <w:basedOn w:val="List3"/>
    <w:rsid w:val="0065271E"/>
    <w:pPr>
      <w:numPr>
        <w:numId w:val="13"/>
      </w:numPr>
      <w:tabs>
        <w:tab w:val="clear" w:pos="1021"/>
      </w:tabs>
      <w:ind w:left="1037" w:hanging="357"/>
    </w:pPr>
  </w:style>
  <w:style w:type="paragraph" w:styleId="ListBullet4">
    <w:name w:val="List Bullet 4"/>
    <w:basedOn w:val="List4"/>
    <w:rsid w:val="0065271E"/>
    <w:pPr>
      <w:numPr>
        <w:numId w:val="1"/>
      </w:numPr>
    </w:pPr>
  </w:style>
  <w:style w:type="paragraph" w:styleId="ListBullet5">
    <w:name w:val="List Bullet 5"/>
    <w:basedOn w:val="List5"/>
    <w:rsid w:val="0065271E"/>
    <w:pPr>
      <w:numPr>
        <w:numId w:val="2"/>
      </w:numPr>
    </w:pPr>
  </w:style>
  <w:style w:type="paragraph" w:styleId="ListContinue2">
    <w:name w:val="List Continue 2"/>
    <w:basedOn w:val="List2"/>
    <w:rsid w:val="0065271E"/>
    <w:pPr>
      <w:ind w:firstLine="0"/>
    </w:pPr>
  </w:style>
  <w:style w:type="paragraph" w:styleId="ListContinue3">
    <w:name w:val="List Continue 3"/>
    <w:basedOn w:val="List3"/>
    <w:rsid w:val="0065271E"/>
    <w:pPr>
      <w:ind w:left="1021" w:firstLine="0"/>
    </w:pPr>
  </w:style>
  <w:style w:type="paragraph" w:styleId="ListContinue4">
    <w:name w:val="List Continue 4"/>
    <w:basedOn w:val="List4"/>
    <w:rsid w:val="0065271E"/>
    <w:pPr>
      <w:ind w:firstLine="0"/>
    </w:pPr>
  </w:style>
  <w:style w:type="paragraph" w:styleId="ListContinue5">
    <w:name w:val="List Continue 5"/>
    <w:basedOn w:val="List5"/>
    <w:rsid w:val="0065271E"/>
    <w:pPr>
      <w:ind w:firstLine="0"/>
    </w:pPr>
  </w:style>
  <w:style w:type="paragraph" w:styleId="ListNumber3">
    <w:name w:val="List Number 3"/>
    <w:basedOn w:val="List3"/>
    <w:rsid w:val="0065271E"/>
    <w:pPr>
      <w:numPr>
        <w:numId w:val="3"/>
      </w:numPr>
    </w:pPr>
  </w:style>
  <w:style w:type="paragraph" w:styleId="ListNumber4">
    <w:name w:val="List Number 4"/>
    <w:basedOn w:val="List4"/>
    <w:rsid w:val="0065271E"/>
    <w:pPr>
      <w:numPr>
        <w:numId w:val="4"/>
      </w:numPr>
    </w:pPr>
  </w:style>
  <w:style w:type="paragraph" w:styleId="ListNumber5">
    <w:name w:val="List Number 5"/>
    <w:basedOn w:val="List5"/>
    <w:rsid w:val="0065271E"/>
    <w:pPr>
      <w:numPr>
        <w:numId w:val="5"/>
      </w:numPr>
    </w:pPr>
  </w:style>
  <w:style w:type="paragraph" w:styleId="BlockText">
    <w:name w:val="Block Text"/>
    <w:basedOn w:val="Normal"/>
    <w:rsid w:val="0065271E"/>
    <w:pPr>
      <w:spacing w:after="120"/>
      <w:ind w:left="1440" w:right="1440"/>
    </w:pPr>
  </w:style>
  <w:style w:type="character" w:customStyle="1" w:styleId="Subscript">
    <w:name w:val="Subscript"/>
    <w:rsid w:val="0065271E"/>
    <w:rPr>
      <w:sz w:val="16"/>
      <w:vertAlign w:val="subscript"/>
    </w:rPr>
  </w:style>
  <w:style w:type="character" w:customStyle="1" w:styleId="Superscript">
    <w:name w:val="Superscript"/>
    <w:rsid w:val="0065271E"/>
    <w:rPr>
      <w:sz w:val="16"/>
      <w:vertAlign w:val="superscript"/>
    </w:rPr>
  </w:style>
  <w:style w:type="character" w:customStyle="1" w:styleId="Symbols">
    <w:name w:val="Symbols"/>
    <w:rsid w:val="0065271E"/>
    <w:rPr>
      <w:rFonts w:ascii="Symbol" w:hAnsi="Symbol"/>
    </w:rPr>
  </w:style>
  <w:style w:type="character" w:customStyle="1" w:styleId="MenuOptions">
    <w:name w:val="Menu Options"/>
    <w:rsid w:val="0065271E"/>
    <w:rPr>
      <w:rFonts w:ascii="Arial Narrow" w:hAnsi="Arial Narrow"/>
      <w:smallCaps/>
    </w:rPr>
  </w:style>
  <w:style w:type="character" w:customStyle="1" w:styleId="Buttons">
    <w:name w:val="Buttons"/>
    <w:rsid w:val="0065271E"/>
    <w:rPr>
      <w:b/>
    </w:rPr>
  </w:style>
  <w:style w:type="character" w:customStyle="1" w:styleId="Underlined">
    <w:name w:val="Underlined"/>
    <w:rsid w:val="0065271E"/>
    <w:rPr>
      <w:u w:val="single"/>
    </w:rPr>
  </w:style>
  <w:style w:type="paragraph" w:customStyle="1" w:styleId="TableBodyTextRight">
    <w:name w:val="Table Body Text Right"/>
    <w:basedOn w:val="TableBodyText"/>
    <w:rsid w:val="0065271E"/>
    <w:pPr>
      <w:widowControl w:val="0"/>
      <w:autoSpaceDE w:val="0"/>
      <w:autoSpaceDN w:val="0"/>
      <w:adjustRightInd w:val="0"/>
      <w:jc w:val="right"/>
    </w:pPr>
    <w:rPr>
      <w:rFonts w:cs="Arial"/>
      <w:szCs w:val="18"/>
    </w:rPr>
  </w:style>
  <w:style w:type="paragraph" w:customStyle="1" w:styleId="CopyrightText">
    <w:name w:val="Copyright Text"/>
    <w:basedOn w:val="BodyText"/>
    <w:rsid w:val="0065271E"/>
    <w:rPr>
      <w:sz w:val="18"/>
    </w:rPr>
  </w:style>
  <w:style w:type="paragraph" w:customStyle="1" w:styleId="BodySmallRight">
    <w:name w:val="Body Small Right"/>
    <w:basedOn w:val="BodyTextRight"/>
    <w:rsid w:val="0065271E"/>
    <w:rPr>
      <w:sz w:val="18"/>
      <w:szCs w:val="18"/>
    </w:rPr>
  </w:style>
  <w:style w:type="paragraph" w:customStyle="1" w:styleId="MarginEdition">
    <w:name w:val="Margin Edition"/>
    <w:basedOn w:val="MarginNote"/>
    <w:rsid w:val="0065271E"/>
    <w:pPr>
      <w:spacing w:before="0" w:after="0"/>
    </w:pPr>
    <w:rPr>
      <w:rFonts w:ascii="Times New Roman" w:hAnsi="Times New Roman"/>
      <w:color w:val="999999"/>
    </w:rPr>
  </w:style>
  <w:style w:type="paragraph" w:customStyle="1" w:styleId="Spacer">
    <w:name w:val="Spacer"/>
    <w:basedOn w:val="Normal"/>
    <w:rsid w:val="0065271E"/>
    <w:rPr>
      <w:sz w:val="2"/>
      <w:szCs w:val="2"/>
    </w:rPr>
  </w:style>
  <w:style w:type="character" w:customStyle="1" w:styleId="Small">
    <w:name w:val="Small"/>
    <w:rsid w:val="0065271E"/>
    <w:rPr>
      <w:sz w:val="16"/>
    </w:rPr>
  </w:style>
  <w:style w:type="paragraph" w:customStyle="1" w:styleId="WideTable">
    <w:name w:val="Wide Table"/>
    <w:basedOn w:val="Normal"/>
    <w:rsid w:val="0065271E"/>
    <w:pPr>
      <w:ind w:left="-1418"/>
    </w:pPr>
    <w:rPr>
      <w:sz w:val="2"/>
      <w:szCs w:val="2"/>
    </w:rPr>
  </w:style>
  <w:style w:type="character" w:styleId="PageNumber">
    <w:name w:val="page number"/>
    <w:rsid w:val="0065271E"/>
  </w:style>
  <w:style w:type="paragraph" w:styleId="Quote">
    <w:name w:val="Quote"/>
    <w:basedOn w:val="Heading1"/>
    <w:link w:val="QuoteChar"/>
    <w:qFormat/>
    <w:rsid w:val="0065271E"/>
    <w:rPr>
      <w:b w:val="0"/>
      <w:sz w:val="72"/>
      <w:szCs w:val="72"/>
      <w:lang w:val="en-NZ"/>
    </w:rPr>
  </w:style>
  <w:style w:type="character" w:customStyle="1" w:styleId="QuoteChar">
    <w:name w:val="Quote Char"/>
    <w:link w:val="Quote"/>
    <w:rsid w:val="00652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71E"/>
    <w:pPr>
      <w:pageBreakBefore/>
    </w:pPr>
  </w:style>
  <w:style w:type="paragraph" w:customStyle="1" w:styleId="Border">
    <w:name w:val="Border"/>
    <w:basedOn w:val="Normal"/>
    <w:qFormat/>
    <w:rsid w:val="0065271E"/>
    <w:pPr>
      <w:pBdr>
        <w:top w:val="single" w:sz="18" w:space="1" w:color="auto"/>
      </w:pBdr>
    </w:pPr>
    <w:rPr>
      <w:rFonts w:ascii="Times New Roman" w:hAnsi="Times New Roman"/>
      <w:color w:val="FFFFFF"/>
      <w:sz w:val="2"/>
    </w:rPr>
  </w:style>
  <w:style w:type="character" w:styleId="IntenseEmphasis">
    <w:name w:val="Intense Emphasis"/>
    <w:uiPriority w:val="21"/>
    <w:qFormat/>
    <w:rsid w:val="0065271E"/>
    <w:rPr>
      <w:b/>
      <w:bCs/>
      <w:i/>
      <w:iCs/>
      <w:color w:val="auto"/>
    </w:rPr>
  </w:style>
  <w:style w:type="paragraph" w:styleId="IntenseQuote">
    <w:name w:val="Intense Quote"/>
    <w:basedOn w:val="Normal"/>
    <w:next w:val="Normal"/>
    <w:link w:val="IntenseQuoteChar"/>
    <w:uiPriority w:val="30"/>
    <w:qFormat/>
    <w:rsid w:val="006527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271E"/>
    <w:rPr>
      <w:rFonts w:ascii="Courier New" w:eastAsia="Times New Roman" w:hAnsi="Courier New" w:cs="Times New Roman"/>
      <w:b/>
      <w:bCs/>
      <w:i/>
      <w:iCs/>
      <w:szCs w:val="20"/>
      <w:lang w:val="en-US" w:eastAsia="en-US"/>
    </w:rPr>
  </w:style>
  <w:style w:type="character" w:styleId="SubtleReference">
    <w:name w:val="Subtle Reference"/>
    <w:uiPriority w:val="31"/>
    <w:qFormat/>
    <w:rsid w:val="0065271E"/>
    <w:rPr>
      <w:smallCaps/>
      <w:color w:val="auto"/>
      <w:u w:val="single"/>
    </w:rPr>
  </w:style>
  <w:style w:type="character" w:styleId="IntenseReference">
    <w:name w:val="Intense Reference"/>
    <w:uiPriority w:val="32"/>
    <w:qFormat/>
    <w:rsid w:val="0065271E"/>
    <w:rPr>
      <w:b/>
      <w:bCs/>
      <w:smallCaps/>
      <w:color w:val="auto"/>
      <w:spacing w:val="5"/>
      <w:u w:val="single"/>
    </w:rPr>
  </w:style>
  <w:style w:type="paragraph" w:customStyle="1" w:styleId="2ColumnHeading">
    <w:name w:val="2Column Heading"/>
    <w:basedOn w:val="BodyText"/>
    <w:qFormat/>
    <w:rsid w:val="0065271E"/>
    <w:pPr>
      <w:spacing w:after="60"/>
      <w:ind w:left="-2268"/>
    </w:pPr>
    <w:rPr>
      <w:b/>
    </w:rPr>
  </w:style>
  <w:style w:type="paragraph" w:customStyle="1" w:styleId="Heading1TOC">
    <w:name w:val="Heading1 TOC"/>
    <w:basedOn w:val="Normal"/>
    <w:qFormat/>
    <w:rsid w:val="0065271E"/>
    <w:pPr>
      <w:spacing w:before="240" w:after="120"/>
    </w:pPr>
    <w:rPr>
      <w:rFonts w:ascii="Times New Roman" w:hAnsi="Times New Roman"/>
      <w:b/>
      <w:sz w:val="32"/>
    </w:rPr>
  </w:style>
  <w:style w:type="paragraph" w:customStyle="1" w:styleId="Heading2TOC">
    <w:name w:val="Heading2 TOC"/>
    <w:basedOn w:val="Normal"/>
    <w:qFormat/>
    <w:rsid w:val="0065271E"/>
    <w:pPr>
      <w:spacing w:before="240" w:after="60"/>
    </w:pPr>
    <w:rPr>
      <w:rFonts w:ascii="Times New Roman" w:hAnsi="Times New Roman"/>
      <w:b/>
      <w:sz w:val="28"/>
    </w:rPr>
  </w:style>
  <w:style w:type="character" w:customStyle="1" w:styleId="Underline">
    <w:name w:val="Underline"/>
    <w:qFormat/>
    <w:rsid w:val="0065271E"/>
    <w:rPr>
      <w:u w:val="single"/>
    </w:rPr>
  </w:style>
  <w:style w:type="character" w:customStyle="1" w:styleId="BoldandItalics">
    <w:name w:val="Bold and Italics"/>
    <w:qFormat/>
    <w:rsid w:val="0065271E"/>
    <w:rPr>
      <w:b/>
      <w:i/>
      <w:u w:val="none"/>
    </w:rPr>
  </w:style>
  <w:style w:type="paragraph" w:styleId="BalloonText">
    <w:name w:val="Balloon Text"/>
    <w:basedOn w:val="Normal"/>
    <w:link w:val="BalloonTextChar"/>
    <w:rsid w:val="0065271E"/>
    <w:rPr>
      <w:rFonts w:ascii="Tahoma" w:hAnsi="Tahoma" w:cs="Tahoma"/>
      <w:sz w:val="16"/>
      <w:szCs w:val="16"/>
    </w:rPr>
  </w:style>
  <w:style w:type="character" w:customStyle="1" w:styleId="BalloonTextChar">
    <w:name w:val="Balloon Text Char"/>
    <w:link w:val="BalloonText"/>
    <w:rsid w:val="006527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7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27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EC84F300.dotm</Template>
  <TotalTime>0</TotalTime>
  <Pages>6</Pages>
  <Words>1125</Words>
  <Characters>6905</Characters>
  <Application>Microsoft Office Word</Application>
  <DocSecurity>0</DocSecurity>
  <Lines>291</Lines>
  <Paragraphs>132</Paragraphs>
  <ScaleCrop>false</ScaleCrop>
  <Company>Author-it Software Corporation Ltd.</Company>
  <LinksUpToDate>false</LinksUpToDate>
  <CharactersWithSpaces>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MEM07005B Perform general machining</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2012-05-27T01:34:00Z</dcterms:created>
  <dcterms:modified xsi:type="dcterms:W3CDTF">2012-05-27T01:34:00Z</dcterms:modified>
</cp:coreProperties>
</file>