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F30" w:rsidP="00E72F30">
      <w:pPr>
        <w:pStyle w:val="Title"/>
      </w:pPr>
      <w:r>
        <w:fldChar w:fldCharType="begin"/>
      </w:r>
      <w:r>
        <w:instrText xml:space="preserve"> TITLE   \* MERGEFORMAT </w:instrText>
      </w:r>
      <w:r>
        <w:fldChar w:fldCharType="separate"/>
      </w:r>
      <w:r>
        <w:t>MEM05037B Perform geometric development</w:t>
      </w:r>
      <w:r>
        <w:fldChar w:fldCharType="end"/>
      </w:r>
    </w:p>
    <w:p w:rsidR="00E72F30" w:rsidP="00E72F30">
      <w:pPr>
        <w:pStyle w:val="Version"/>
        <w:sectPr w:rsidSect="00484A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4A1F" w:rsidP="00484A1F">
      <w:pPr>
        <w:pStyle w:val="SuperHeading"/>
      </w:pPr>
      <w:r w:rsidRPr="00484A1F">
        <w:t>MEM05037B Perform geometric development</w:t>
      </w:r>
    </w:p>
    <w:p w:rsidR="00000000" w:rsidRPr="00484A1F" w:rsidP="00484A1F">
      <w:pPr>
        <w:pStyle w:val="Heading1"/>
      </w:pPr>
      <w:bookmarkStart w:id="1" w:name="O_311629"/>
      <w:bookmarkEnd w:id="1"/>
      <w:r w:rsidRPr="00484A1F">
        <w:t>Modification History</w:t>
      </w:r>
    </w:p>
    <w:p w:rsidR="00000000" w:rsidRPr="00484A1F" w:rsidP="00484A1F">
      <w:pPr>
        <w:pStyle w:val="BodyText"/>
      </w:pPr>
      <w:r w:rsidRPr="00484A1F">
        <w:t>There are no notes for this unit.</w:t>
      </w:r>
    </w:p>
    <w:p w:rsidR="00000000" w:rsidRPr="00484A1F" w:rsidP="00484A1F">
      <w:pPr>
        <w:pStyle w:val="AllowPageBreak"/>
      </w:pPr>
    </w:p>
    <w:p w:rsidR="00000000" w:rsidRPr="00484A1F" w:rsidP="00484A1F">
      <w:pPr>
        <w:pStyle w:val="Heading1"/>
      </w:pPr>
      <w:bookmarkStart w:id="2" w:name="O_311628"/>
      <w:bookmarkEnd w:id="2"/>
      <w:r w:rsidRPr="00484A1F">
        <w:t>Unit Descriptor</w:t>
      </w:r>
    </w:p>
    <w:p w:rsidR="00000000" w:rsidRPr="00484A1F" w:rsidP="00484A1F">
      <w:pPr>
        <w:pStyle w:val="BodyText"/>
      </w:pPr>
      <w:r w:rsidRPr="00484A1F">
        <w:t>This unit covers marking out general fabrications using geometric development.</w:t>
      </w:r>
    </w:p>
    <w:p w:rsidR="00000000" w:rsidRPr="00484A1F" w:rsidP="00484A1F">
      <w:pPr>
        <w:pStyle w:val="AllowPageBreak"/>
      </w:pPr>
    </w:p>
    <w:p w:rsidR="00000000" w:rsidRPr="00484A1F" w:rsidP="00484A1F">
      <w:pPr>
        <w:pStyle w:val="Heading1"/>
      </w:pPr>
      <w:bookmarkStart w:id="3" w:name="O_311627"/>
      <w:bookmarkEnd w:id="3"/>
      <w:r w:rsidRPr="00484A1F">
        <w:t>Application of the Unit</w:t>
      </w:r>
    </w:p>
    <w:p w:rsidR="00000000" w:rsidRPr="00484A1F" w:rsidP="00484A1F">
      <w:pPr>
        <w:pStyle w:val="BodyText"/>
      </w:pPr>
      <w:r w:rsidRPr="00484A1F">
        <w:t>This unit applies in jobbing workshops and involves the development of templates and general fabricating based on using geometrical layout techniques.</w:t>
      </w:r>
    </w:p>
    <w:p w:rsidR="00000000" w:rsidRPr="00484A1F" w:rsidP="00484A1F">
      <w:pPr>
        <w:pStyle w:val="AllowPageBreak"/>
      </w:pPr>
    </w:p>
    <w:p w:rsidR="00000000" w:rsidRPr="00484A1F" w:rsidP="00484A1F">
      <w:pPr>
        <w:pStyle w:val="Heading1"/>
      </w:pPr>
      <w:bookmarkStart w:id="4" w:name="O_311626"/>
      <w:bookmarkEnd w:id="4"/>
      <w:r w:rsidRPr="00484A1F">
        <w:t>Licensing/Regulatory Information</w:t>
      </w:r>
    </w:p>
    <w:p w:rsidR="00000000" w:rsidRPr="00484A1F" w:rsidP="00484A1F">
      <w:pPr>
        <w:pStyle w:val="Heading1"/>
      </w:pPr>
      <w:bookmarkStart w:id="5" w:name="O_311625"/>
      <w:bookmarkEnd w:id="5"/>
      <w:r w:rsidRPr="00484A1F">
        <w:t>Pre-Requisite</w:t>
      </w:r>
      <w:r w:rsidRPr="00484A1F">
        <w:t>s</w:t>
      </w:r>
    </w:p>
    <w:tbl>
      <w:tblPr>
        <w:tblW w:w="0" w:type="auto"/>
        <w:tblLayout w:type="fixed"/>
        <w:tblCellMar>
          <w:left w:w="62" w:type="dxa"/>
          <w:right w:w="62" w:type="dxa"/>
        </w:tblCellMar>
        <w:tblLook w:val="0000"/>
      </w:tblPr>
      <w:tblGrid>
        <w:gridCol w:w="4500"/>
        <w:gridCol w:w="4500"/>
      </w:tblGrid>
      <w:tr w:rsidTr="00E72F3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p>
        </w:tc>
      </w:tr>
      <w:tr w:rsidTr="00E72F3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Path 1</w:t>
            </w:r>
          </w:p>
        </w:tc>
        <w:tc>
          <w:tcPr>
            <w:tcW w:w="4500" w:type="dxa"/>
            <w:tcBorders>
              <w:top w:val="nil"/>
              <w:left w:val="nil"/>
              <w:bottom w:val="nil"/>
              <w:right w:val="nil"/>
            </w:tcBorders>
            <w:tcMar>
              <w:top w:w="0" w:type="dxa"/>
              <w:left w:w="62" w:type="dxa"/>
              <w:bottom w:w="0" w:type="dxa"/>
              <w:right w:w="62" w:type="dxa"/>
            </w:tcMar>
          </w:tcPr>
          <w:p w:rsidR="00000000" w:rsidRPr="00484A1F" w:rsidP="00484A1F">
            <w:pPr>
              <w:pStyle w:val="BodyText"/>
            </w:pPr>
            <w:r w:rsidRPr="00484A1F">
              <w:t>MEM12023A Perform engineering measurements</w:t>
            </w:r>
          </w:p>
          <w:p w:rsidR="00000000" w:rsidRPr="00484A1F" w:rsidP="00484A1F">
            <w:pPr>
              <w:pStyle w:val="BodyText"/>
            </w:pPr>
            <w:r w:rsidRPr="00484A1F">
              <w:t>MEM12024A Perform computations</w:t>
            </w:r>
          </w:p>
          <w:p w:rsidR="00000000" w:rsidRPr="00484A1F" w:rsidP="00484A1F">
            <w:pPr>
              <w:pStyle w:val="BodyText"/>
            </w:pPr>
            <w:r w:rsidRPr="00484A1F">
              <w:t>MEM09002B Interpret technical drawing</w:t>
            </w:r>
          </w:p>
        </w:tc>
      </w:tr>
    </w:tbl>
    <w:p w:rsidR="00000000" w:rsidRPr="00484A1F" w:rsidP="00484A1F">
      <w:pPr>
        <w:pStyle w:val="BodyText"/>
      </w:pPr>
    </w:p>
    <w:p w:rsidR="00000000" w:rsidRPr="00484A1F" w:rsidP="00484A1F">
      <w:pPr>
        <w:pStyle w:val="AllowPageBreak"/>
      </w:pPr>
    </w:p>
    <w:p w:rsidR="00000000" w:rsidRPr="00484A1F" w:rsidP="00484A1F">
      <w:pPr>
        <w:pStyle w:val="Heading1"/>
      </w:pPr>
      <w:bookmarkStart w:id="6" w:name="O_311624"/>
      <w:bookmarkEnd w:id="6"/>
      <w:r w:rsidRPr="00484A1F">
        <w:t>Employability Skills Information</w:t>
      </w:r>
    </w:p>
    <w:p w:rsidR="00000000" w:rsidRPr="00484A1F" w:rsidP="00484A1F">
      <w:pPr>
        <w:pStyle w:val="Heading1"/>
      </w:pPr>
      <w:bookmarkStart w:id="7" w:name="O_311622"/>
      <w:bookmarkEnd w:id="7"/>
      <w:r w:rsidRPr="00484A1F">
        <w:t>Elements and Performance Criteria Pre-Content</w:t>
      </w:r>
    </w:p>
    <w:p w:rsidR="00000000" w:rsidRPr="00484A1F" w:rsidP="00484A1F">
      <w:pPr>
        <w:pStyle w:val="BodyText"/>
      </w:pPr>
      <w:r w:rsidRPr="00484A1F">
        <w:t>Elements are the essential outcomes of the unit of competency.</w:t>
      </w:r>
    </w:p>
    <w:p w:rsidR="00000000" w:rsidRPr="00484A1F" w:rsidP="00484A1F">
      <w:pPr>
        <w:pStyle w:val="BodyText"/>
      </w:pPr>
      <w:r w:rsidRPr="00484A1F">
        <w:t>Together, performance criteria specify the requirements for competent performance. Text in italics is explained in the range statement following.</w:t>
      </w:r>
    </w:p>
    <w:p w:rsidR="00000000" w:rsidRPr="00484A1F" w:rsidP="00484A1F">
      <w:pPr>
        <w:pStyle w:val="AllowPageBreak"/>
      </w:pPr>
    </w:p>
    <w:p w:rsidR="00000000" w:rsidRPr="00484A1F" w:rsidP="00484A1F">
      <w:pPr>
        <w:pStyle w:val="Heading1"/>
      </w:pPr>
      <w:bookmarkStart w:id="8" w:name="O_311630"/>
      <w:bookmarkEnd w:id="8"/>
      <w:r w:rsidRPr="00484A1F">
        <w:t>Elements and Performance Crite</w:t>
      </w:r>
      <w:r w:rsidRPr="00484A1F">
        <w:t>ria</w:t>
      </w:r>
    </w:p>
    <w:tbl>
      <w:tblPr>
        <w:tblW w:w="0" w:type="auto"/>
        <w:tblLayout w:type="fixed"/>
        <w:tblCellMar>
          <w:left w:w="62" w:type="dxa"/>
          <w:right w:w="62" w:type="dxa"/>
        </w:tblCellMar>
        <w:tblLook w:val="0000"/>
      </w:tblPr>
      <w:tblGrid>
        <w:gridCol w:w="400"/>
        <w:gridCol w:w="3000"/>
        <w:gridCol w:w="500"/>
        <w:gridCol w:w="5100"/>
      </w:tblGrid>
      <w:tr w:rsidTr="00E72F3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Elements and Performance Criteria</w:t>
            </w:r>
          </w:p>
        </w:tc>
      </w:tr>
      <w:tr w:rsidTr="00E72F3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84A1F" w:rsidP="00484A1F">
            <w:pPr>
              <w:pStyle w:val="BodyText"/>
            </w:pPr>
            <w:r w:rsidRPr="00484A1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Performance Criteria</w:t>
            </w:r>
          </w:p>
        </w:tc>
      </w:tr>
      <w:tr w:rsidTr="00E72F3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1</w:t>
            </w:r>
          </w:p>
        </w:tc>
        <w:tc>
          <w:tcPr>
            <w:tcW w:w="3000" w:type="dxa"/>
            <w:vMerge w:val="restart"/>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Transfer dimensions from a detail drawing to work </w:t>
            </w:r>
          </w:p>
        </w:tc>
        <w:tc>
          <w:tcPr>
            <w:tcW w:w="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1.1</w:t>
            </w:r>
          </w:p>
        </w:tc>
        <w:tc>
          <w:tcPr>
            <w:tcW w:w="51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Specifications and work requirements are determined and understood using correct and appropriate calculations.</w:t>
            </w:r>
          </w:p>
        </w:tc>
      </w:tr>
      <w:tr w:rsidTr="00E72F3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1.2</w:t>
            </w:r>
          </w:p>
        </w:tc>
        <w:tc>
          <w:tcPr>
            <w:tcW w:w="51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Development is carried out to specifications or standard operating procedures using appropriate tools and equipment.</w:t>
            </w:r>
          </w:p>
        </w:tc>
      </w:tr>
      <w:tr w:rsidTr="00E72F3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1.3</w:t>
            </w:r>
          </w:p>
        </w:tc>
        <w:tc>
          <w:tcPr>
            <w:tcW w:w="51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Datum points are correctly established and marked appropriate to task requirements.</w:t>
            </w:r>
          </w:p>
        </w:tc>
      </w:tr>
      <w:tr w:rsidTr="00E72F3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2</w:t>
            </w:r>
          </w:p>
        </w:tc>
        <w:tc>
          <w:tcPr>
            <w:tcW w:w="3000" w:type="dxa"/>
            <w:vMerge w:val="restart"/>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Make templates as required</w:t>
            </w:r>
          </w:p>
        </w:tc>
        <w:tc>
          <w:tcPr>
            <w:tcW w:w="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2.1</w:t>
            </w:r>
          </w:p>
        </w:tc>
        <w:tc>
          <w:tcPr>
            <w:tcW w:w="51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Appropriate </w:t>
            </w:r>
            <w:r w:rsidRPr="00484A1F">
              <w:rPr>
                <w:rStyle w:val="SpecialBold"/>
              </w:rPr>
              <w:t>te</w:t>
            </w:r>
            <w:r w:rsidRPr="00484A1F">
              <w:rPr>
                <w:rStyle w:val="SpecialBold"/>
              </w:rPr>
              <w:t xml:space="preserve">mplate material </w:t>
            </w:r>
            <w:r w:rsidRPr="00484A1F">
              <w:t>is chosen.</w:t>
            </w:r>
          </w:p>
        </w:tc>
      </w:tr>
      <w:tr w:rsidTr="00E72F3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2.2</w:t>
            </w:r>
          </w:p>
        </w:tc>
        <w:tc>
          <w:tcPr>
            <w:tcW w:w="51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Templates are produced to specification.</w:t>
            </w:r>
          </w:p>
        </w:tc>
      </w:tr>
      <w:tr w:rsidTr="00E72F3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2.3</w:t>
            </w:r>
          </w:p>
        </w:tc>
        <w:tc>
          <w:tcPr>
            <w:tcW w:w="51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Correct </w:t>
            </w:r>
            <w:r w:rsidRPr="00484A1F">
              <w:rPr>
                <w:rStyle w:val="SpecialBold"/>
              </w:rPr>
              <w:t xml:space="preserve">storage procedures </w:t>
            </w:r>
            <w:r w:rsidRPr="00484A1F">
              <w:t>are followed including labelling and identification to standard operating procedures.</w:t>
            </w:r>
          </w:p>
        </w:tc>
      </w:tr>
      <w:tr w:rsidTr="00E72F3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3</w:t>
            </w:r>
          </w:p>
        </w:tc>
        <w:tc>
          <w:tcPr>
            <w:tcW w:w="3000" w:type="dxa"/>
            <w:vMerge w:val="restart"/>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Develop patterns as required</w:t>
            </w:r>
          </w:p>
        </w:tc>
        <w:tc>
          <w:tcPr>
            <w:tcW w:w="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3.1</w:t>
            </w:r>
          </w:p>
        </w:tc>
        <w:tc>
          <w:tcPr>
            <w:tcW w:w="51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Parallel line, radial line and triangulation </w:t>
            </w:r>
            <w:r w:rsidRPr="00484A1F">
              <w:rPr>
                <w:rStyle w:val="SpecialBold"/>
              </w:rPr>
              <w:t xml:space="preserve">development methods </w:t>
            </w:r>
            <w:r w:rsidRPr="00484A1F">
              <w:t>are chosen and applied.</w:t>
            </w:r>
          </w:p>
        </w:tc>
      </w:tr>
      <w:tr w:rsidTr="00E72F3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84A1F" w:rsidP="00484A1F">
            <w:pPr>
              <w:pStyle w:val="BodyText"/>
            </w:pPr>
            <w:r w:rsidRPr="00484A1F">
              <w:t>3.2</w:t>
            </w:r>
          </w:p>
        </w:tc>
        <w:tc>
          <w:tcPr>
            <w:tcW w:w="51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 xml:space="preserve">Allowances </w:t>
            </w:r>
            <w:r w:rsidRPr="00484A1F">
              <w:t>for fabrication and assembly are correctly determined and transferred.</w:t>
            </w:r>
          </w:p>
        </w:tc>
      </w:tr>
      <w:tr w:rsidTr="00E72F3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4</w:t>
            </w:r>
          </w:p>
        </w:tc>
        <w:tc>
          <w:tcPr>
            <w:tcW w:w="3000" w:type="dxa"/>
            <w:vMerge w:val="restart"/>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Interpret relevant codes, standards and symbols</w:t>
            </w:r>
          </w:p>
        </w:tc>
        <w:tc>
          <w:tcPr>
            <w:tcW w:w="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4.1</w:t>
            </w:r>
          </w:p>
        </w:tc>
        <w:tc>
          <w:tcPr>
            <w:tcW w:w="51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Relevant </w:t>
            </w:r>
            <w:r w:rsidRPr="00484A1F">
              <w:rPr>
                <w:rStyle w:val="SpecialBold"/>
              </w:rPr>
              <w:t>standards/code</w:t>
            </w:r>
            <w:r w:rsidRPr="00484A1F">
              <w:rPr>
                <w:rStyle w:val="SpecialBold"/>
              </w:rPr>
              <w:t xml:space="preserve">s and symbols </w:t>
            </w:r>
            <w:r w:rsidRPr="00484A1F">
              <w:t>are interpreted.</w:t>
            </w:r>
          </w:p>
        </w:tc>
      </w:tr>
      <w:tr w:rsidTr="00E72F3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4.2</w:t>
            </w:r>
          </w:p>
        </w:tc>
        <w:tc>
          <w:tcPr>
            <w:tcW w:w="51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Requirements of standards/codes are interpreted and applied to materials and processes.</w:t>
            </w:r>
          </w:p>
        </w:tc>
      </w:tr>
      <w:tr w:rsidTr="00E72F3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5</w:t>
            </w:r>
          </w:p>
        </w:tc>
        <w:tc>
          <w:tcPr>
            <w:tcW w:w="3000" w:type="dxa"/>
            <w:vMerge w:val="restart"/>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Estimate quantities of materials from detail drawings </w:t>
            </w:r>
          </w:p>
        </w:tc>
        <w:tc>
          <w:tcPr>
            <w:tcW w:w="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5.1</w:t>
            </w:r>
          </w:p>
        </w:tc>
        <w:tc>
          <w:tcPr>
            <w:tcW w:w="51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Materials are correctly identified.</w:t>
            </w:r>
          </w:p>
        </w:tc>
      </w:tr>
      <w:tr w:rsidTr="00E72F3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5.2</w:t>
            </w:r>
          </w:p>
        </w:tc>
        <w:tc>
          <w:tcPr>
            <w:tcW w:w="51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Quantities are estimated from drawings.</w:t>
            </w:r>
          </w:p>
        </w:tc>
      </w:tr>
      <w:tr w:rsidTr="00E72F3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5.3</w:t>
            </w:r>
          </w:p>
        </w:tc>
        <w:tc>
          <w:tcPr>
            <w:tcW w:w="5100" w:type="dxa"/>
            <w:tcBorders>
              <w:top w:val="nil"/>
              <w:left w:val="nil"/>
              <w:bottom w:val="nil"/>
              <w:right w:val="nil"/>
            </w:tcBorders>
            <w:tcMar>
              <w:top w:w="0" w:type="dxa"/>
              <w:left w:w="62" w:type="dxa"/>
              <w:bottom w:w="0" w:type="dxa"/>
              <w:right w:w="62" w:type="dxa"/>
            </w:tcMar>
          </w:tcPr>
          <w:p w:rsidR="00000000" w:rsidRPr="00484A1F" w:rsidP="00484A1F">
            <w:pPr>
              <w:pStyle w:val="BodyText"/>
            </w:pPr>
            <w:r w:rsidRPr="00484A1F">
              <w:t>Material wastage is minimised.</w:t>
            </w:r>
          </w:p>
        </w:tc>
      </w:tr>
    </w:tbl>
    <w:p w:rsidR="00000000" w:rsidRPr="00484A1F" w:rsidP="00484A1F">
      <w:pPr>
        <w:pStyle w:val="BodyText"/>
      </w:pPr>
    </w:p>
    <w:p w:rsidR="00000000" w:rsidRPr="00484A1F" w:rsidP="00484A1F">
      <w:pPr>
        <w:pStyle w:val="AllowPageBreak"/>
      </w:pPr>
    </w:p>
    <w:p w:rsidR="00000000" w:rsidRPr="00484A1F" w:rsidP="00484A1F">
      <w:pPr>
        <w:pStyle w:val="Heading1"/>
      </w:pPr>
      <w:bookmarkStart w:id="9" w:name="O_311631"/>
      <w:bookmarkEnd w:id="9"/>
      <w:r w:rsidRPr="00484A1F">
        <w:t>Required Skills and Knowledge</w:t>
      </w:r>
    </w:p>
    <w:p w:rsidR="00000000" w:rsidRPr="00484A1F" w:rsidP="00484A1F">
      <w:pPr>
        <w:pStyle w:val="Heading1"/>
      </w:pPr>
      <w:bookmarkStart w:id="10" w:name="O_311616"/>
      <w:bookmarkEnd w:id="10"/>
      <w:r w:rsidRPr="00484A1F">
        <w:t>Evidence Guide</w:t>
      </w:r>
    </w:p>
    <w:tbl>
      <w:tblPr>
        <w:tblW w:w="0" w:type="auto"/>
        <w:tblLayout w:type="fixed"/>
        <w:tblCellMar>
          <w:left w:w="62" w:type="dxa"/>
          <w:right w:w="62" w:type="dxa"/>
        </w:tblCellMar>
        <w:tblLook w:val="0000"/>
      </w:tblPr>
      <w:tblGrid>
        <w:gridCol w:w="4500"/>
        <w:gridCol w:w="4500"/>
      </w:tblGrid>
      <w:tr w:rsidTr="00E72F3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The evidence guide specifies the evidence required to demonstrate achievement in the unit of competency as a whole. It must be read in conjunction with the unit descriptor, performance criteria, range statement and the assessment guidelines for the Metal a</w:t>
            </w:r>
            <w:r w:rsidRPr="00484A1F">
              <w:t>nd Engineering Training Package</w:t>
            </w:r>
          </w:p>
        </w:tc>
      </w:tr>
      <w:tr w:rsidTr="00E72F3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A person who demonstrates competency in this unit must be able to mark out general fabrications using geometric development. Competency in this unit cannot be claimed until all prerequis</w:t>
            </w:r>
            <w:r w:rsidRPr="00484A1F">
              <w:t xml:space="preserve">ites have been satisfied. </w:t>
            </w:r>
          </w:p>
        </w:tc>
      </w:tr>
      <w:tr w:rsidTr="00E72F3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This unit may be assessed on the job, off the job or a combination of both on and off the job. Where assessment occurs off the job, that is </w:t>
            </w:r>
            <w:r w:rsidRPr="00484A1F">
              <w:t>the candidate is not in productive work, then an appropriate simulation must be used where the range of conditions reflects realistic workplace situations. The competencies covered by this unit would be demonstrated by an individual working alone or as par</w:t>
            </w:r>
            <w:r w:rsidRPr="00484A1F">
              <w:t xml:space="preserve">t of a team. The assessment environment should not disadvantage the candidate. </w:t>
            </w:r>
          </w:p>
        </w:tc>
      </w:tr>
      <w:tr w:rsidTr="00E72F3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Interdependent assessment</w:t>
            </w: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This unit could be assessed in conjunction with any other units addressing the safety, quality, communication, materials handling, recording and repo</w:t>
            </w:r>
            <w:r w:rsidRPr="00484A1F">
              <w:t xml:space="preserve">rting associated with applying geometric development or other units requiring the exercise of the skills and knowledge covered by this unit. </w:t>
            </w:r>
          </w:p>
        </w:tc>
      </w:tr>
      <w:tr w:rsidTr="00E72F3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Assessors should gather a range of evidence that is valid, sufficient, current and authentic</w:t>
            </w:r>
            <w:r w:rsidRPr="00484A1F">
              <w:t>. Evidence can be gathered through a variety of ways including direct observation, supervisor's reports, project work, samples and questioning. Questioning techniques should not require language, literacy and numeracy skills beyond those required in this u</w:t>
            </w:r>
            <w:r w:rsidRPr="00484A1F">
              <w:t>nit of competency. The candidate must have access to all tools, equipment, materials and documentation required. The candidate must be permitted to refer to any relevant workplace procedures, product and manufacturing specifications, codes, standards, manu</w:t>
            </w:r>
            <w:r w:rsidRPr="00484A1F">
              <w:t xml:space="preserve">als and reference materials. </w:t>
            </w:r>
          </w:p>
        </w:tc>
      </w:tr>
      <w:tr w:rsidTr="00E72F3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Assessors must be satisfied that the candidate can competently and consistently perform all elements of the unit as specified by the criteria, including required knowledge, and be capable of applyin</w:t>
            </w:r>
            <w:r w:rsidRPr="00484A1F">
              <w:t xml:space="preserve">g the competency in new and different situations and contexts. </w:t>
            </w:r>
          </w:p>
        </w:tc>
      </w:tr>
      <w:tr w:rsidTr="00E72F30">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Look for evidence that confirms skills in: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performing geometric calculations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carrying out geometric development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establishing datum points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producing templates to specification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labelling and storing templates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developing patterns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making fabrication and assembly allowances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determining material and component quantities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minimising material wastage </w:t>
            </w:r>
          </w:p>
        </w:tc>
      </w:tr>
      <w:tr w:rsidTr="00E72F30">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Look for evidence that confirms knowledge of: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specifications of work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tools and equipment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development preparation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datum points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materials used for the preparation of templates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manufacturing allowance considerations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template development, labelling, identification and storage requirements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development methods and applications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fabrication and assembly allowances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sources of data on fabrication </w:t>
            </w:r>
          </w:p>
        </w:tc>
      </w:tr>
      <w:tr w:rsidTr="00E72F3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84A1F" w:rsidP="00484A1F">
            <w:pPr>
              <w:pStyle w:val="BodyText"/>
            </w:pPr>
            <w:r w:rsidRPr="00484A1F">
              <w:t xml:space="preserve">relevant standards and codes </w:t>
            </w:r>
          </w:p>
        </w:tc>
      </w:tr>
    </w:tbl>
    <w:p w:rsidR="00000000" w:rsidRPr="00484A1F" w:rsidP="00484A1F">
      <w:pPr>
        <w:pStyle w:val="BodyText"/>
      </w:pPr>
    </w:p>
    <w:p w:rsidR="00000000" w:rsidRPr="00484A1F" w:rsidP="00484A1F">
      <w:pPr>
        <w:pStyle w:val="AllowPageBreak"/>
      </w:pPr>
    </w:p>
    <w:p w:rsidR="00000000" w:rsidRPr="00484A1F" w:rsidP="00484A1F">
      <w:pPr>
        <w:pStyle w:val="Heading1"/>
      </w:pPr>
      <w:bookmarkStart w:id="11" w:name="O_311617"/>
      <w:bookmarkEnd w:id="11"/>
      <w:r w:rsidRPr="00484A1F">
        <w:t>Range Statement</w:t>
      </w:r>
    </w:p>
    <w:tbl>
      <w:tblPr>
        <w:tblW w:w="0" w:type="auto"/>
        <w:tblLayout w:type="fixed"/>
        <w:tblCellMar>
          <w:left w:w="62" w:type="dxa"/>
          <w:right w:w="62" w:type="dxa"/>
        </w:tblCellMar>
        <w:tblLook w:val="0000"/>
      </w:tblPr>
      <w:tblGrid>
        <w:gridCol w:w="4500"/>
        <w:gridCol w:w="4500"/>
      </w:tblGrid>
      <w:tr w:rsidTr="00E72F3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84A1F" w:rsidP="00484A1F">
            <w:pPr>
              <w:pStyle w:val="BodyText"/>
            </w:pPr>
            <w:r w:rsidRPr="00484A1F">
              <w:t>The range statement provides information about the context in which the unit of competency is carried out. The variables and scope cater for different work requirements, work practices and knowledge between States, Territories and the Commonwealth, and bet</w:t>
            </w:r>
            <w:r w:rsidRPr="00484A1F">
              <w:t xml:space="preserve">ween organisations and workplaces. The range statement relates to the unit as a whole and provides a focus for assessment. Text in </w:t>
            </w:r>
            <w:r w:rsidRPr="00484A1F">
              <w:rPr>
                <w:rStyle w:val="SpecialBold"/>
              </w:rPr>
              <w:t>italics</w:t>
            </w:r>
            <w:r w:rsidRPr="00484A1F">
              <w:t xml:space="preserve"> in the performance criteria is explained here.</w:t>
            </w:r>
          </w:p>
          <w:p w:rsidR="00000000" w:rsidP="00484A1F">
            <w:pPr>
              <w:pStyle w:val="BodyText"/>
              <w:rPr>
                <w:lang w:val="en-NZ"/>
              </w:rPr>
            </w:pPr>
            <w:r w:rsidRPr="00484A1F">
              <w:t>The following variables may be present and may include, but are not li</w:t>
            </w:r>
            <w:r w:rsidRPr="00484A1F">
              <w:t>mited to, the examples listed under the scope. All work is undertaken to relevant legislative requirements, where applicable</w:t>
            </w:r>
          </w:p>
        </w:tc>
      </w:tr>
      <w:tr w:rsidTr="00E72F3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484A1F" w:rsidP="00484A1F">
            <w:pPr>
              <w:pStyle w:val="BodyText"/>
            </w:pPr>
            <w:r w:rsidRPr="00484A1F">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Scope</w:t>
            </w:r>
          </w:p>
        </w:tc>
      </w:tr>
      <w:tr w:rsidTr="00E72F3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Template material</w:t>
            </w: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Steel plate, perspex, timber, cardboard, paper etc. </w:t>
            </w:r>
          </w:p>
        </w:tc>
      </w:tr>
      <w:tr w:rsidTr="00E72F3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Storage procedures</w:t>
            </w: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Including labelling, identification, e.g. template lofts </w:t>
            </w:r>
          </w:p>
        </w:tc>
      </w:tr>
      <w:tr w:rsidTr="00E72F3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Development methods</w:t>
            </w: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Parallel line, radial line and triangulation </w:t>
            </w:r>
          </w:p>
        </w:tc>
      </w:tr>
      <w:tr w:rsidTr="00E72F3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Allowances</w:t>
            </w:r>
          </w:p>
        </w:tc>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t xml:space="preserve">Thickness, bend, pitch, angle, circumference, perimeter </w:t>
            </w:r>
          </w:p>
        </w:tc>
      </w:tr>
      <w:tr w:rsidTr="00E72F3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4A1F">
            <w:pPr>
              <w:pStyle w:val="BodyText"/>
              <w:rPr>
                <w:lang w:val="en-NZ"/>
              </w:rPr>
            </w:pPr>
            <w:r w:rsidRPr="00484A1F">
              <w:rPr>
                <w:rStyle w:val="SpecialBold"/>
              </w:rPr>
              <w:t>Standards</w:t>
            </w:r>
            <w:r w:rsidRPr="00484A1F">
              <w:t>/</w:t>
            </w:r>
            <w:r w:rsidRPr="00484A1F">
              <w:rPr>
                <w:rStyle w:val="SpecialBold"/>
              </w:rPr>
              <w:t>codes and symbols</w:t>
            </w:r>
          </w:p>
        </w:tc>
        <w:tc>
          <w:tcPr>
            <w:tcW w:w="4500" w:type="dxa"/>
            <w:tcBorders>
              <w:top w:val="nil"/>
              <w:left w:val="nil"/>
              <w:bottom w:val="nil"/>
              <w:right w:val="nil"/>
            </w:tcBorders>
            <w:tcMar>
              <w:top w:w="0" w:type="dxa"/>
              <w:left w:w="62" w:type="dxa"/>
              <w:bottom w:w="0" w:type="dxa"/>
              <w:right w:w="62" w:type="dxa"/>
            </w:tcMar>
          </w:tcPr>
          <w:p w:rsidR="00000000" w:rsidRPr="00484A1F" w:rsidP="00484A1F">
            <w:pPr>
              <w:pStyle w:val="BodyText"/>
            </w:pPr>
            <w:r w:rsidRPr="00484A1F">
              <w:t>All work carried out in accordanc</w:t>
            </w:r>
            <w:r w:rsidRPr="00484A1F">
              <w:t xml:space="preserve">e with legislative and regulatory requirements </w:t>
            </w:r>
          </w:p>
        </w:tc>
      </w:tr>
    </w:tbl>
    <w:p w:rsidR="00000000" w:rsidRPr="00484A1F" w:rsidP="00484A1F">
      <w:pPr>
        <w:pStyle w:val="BodyText"/>
      </w:pPr>
    </w:p>
    <w:p w:rsidR="00000000" w:rsidRPr="00484A1F" w:rsidP="00484A1F">
      <w:pPr>
        <w:pStyle w:val="AllowPageBreak"/>
      </w:pPr>
    </w:p>
    <w:p w:rsidR="00000000" w:rsidRPr="00484A1F" w:rsidP="00484A1F">
      <w:pPr>
        <w:pStyle w:val="Heading1"/>
      </w:pPr>
      <w:bookmarkStart w:id="12" w:name="O_311618"/>
      <w:bookmarkEnd w:id="12"/>
      <w:r w:rsidRPr="00484A1F">
        <w:t>Unit Sector(s)</w:t>
      </w:r>
    </w:p>
    <w:p w:rsidR="00000000" w:rsidRPr="00484A1F" w:rsidP="00484A1F">
      <w:pPr>
        <w:pStyle w:val="Heading1"/>
      </w:pPr>
      <w:bookmarkStart w:id="13" w:name="O_311619"/>
      <w:bookmarkEnd w:id="13"/>
      <w:r w:rsidRPr="00484A1F">
        <w:t>Band</w:t>
      </w:r>
    </w:p>
    <w:p w:rsidR="00000000" w:rsidRPr="00484A1F" w:rsidP="00484A1F">
      <w:pPr>
        <w:pStyle w:val="BodyText"/>
      </w:pPr>
      <w:r w:rsidRPr="00484A1F">
        <w:t>A</w:t>
      </w:r>
    </w:p>
    <w:p w:rsidR="00000000" w:rsidRPr="00484A1F" w:rsidP="00484A1F">
      <w:pPr>
        <w:pStyle w:val="AllowPageBreak"/>
      </w:pPr>
    </w:p>
    <w:p w:rsidR="00000000" w:rsidRPr="00484A1F" w:rsidP="00484A1F">
      <w:pPr>
        <w:pStyle w:val="Heading1"/>
      </w:pPr>
      <w:bookmarkStart w:id="14" w:name="O_311620"/>
      <w:bookmarkEnd w:id="14"/>
      <w:r w:rsidRPr="00484A1F">
        <w:t>Competency field</w:t>
      </w:r>
    </w:p>
    <w:p w:rsidR="00000000" w:rsidRPr="00484A1F" w:rsidP="00484A1F">
      <w:pPr>
        <w:pStyle w:val="BodyText"/>
      </w:pPr>
      <w:r w:rsidRPr="00484A1F">
        <w:t>Fabrication</w:t>
      </w:r>
    </w:p>
    <w:p w:rsidR="00000000" w:rsidRPr="00484A1F" w:rsidP="00484A1F">
      <w:pPr>
        <w:pStyle w:val="AllowPageBreak"/>
      </w:pPr>
    </w:p>
    <w:p w:rsidR="00000000" w:rsidRPr="00484A1F" w:rsidP="00484A1F">
      <w:pPr>
        <w:pStyle w:val="Heading1"/>
      </w:pPr>
      <w:bookmarkStart w:id="15" w:name="O_311621"/>
      <w:bookmarkEnd w:id="15"/>
      <w:r w:rsidRPr="00484A1F">
        <w:t>Unit Weight</w:t>
      </w:r>
    </w:p>
    <w:p w:rsidR="00000000" w:rsidRPr="00484A1F" w:rsidP="00484A1F">
      <w:pPr>
        <w:pStyle w:val="BodyText"/>
      </w:pPr>
      <w:r w:rsidRPr="00484A1F">
        <w:t>6</w:t>
      </w:r>
    </w:p>
    <w:p w:rsidR="00000000" w:rsidRPr="00484A1F" w:rsidP="00484A1F">
      <w:pPr>
        <w:pStyle w:val="AllowPageBreak"/>
      </w:pPr>
    </w:p>
    <w:p w:rsidR="00000000" w:rsidRPr="00484A1F" w:rsidP="00484A1F">
      <w:pPr>
        <w:pStyle w:val="Heading1"/>
      </w:pPr>
      <w:bookmarkStart w:id="16" w:name="O_311623"/>
      <w:bookmarkEnd w:id="16"/>
      <w:r w:rsidRPr="00484A1F">
        <w:t>Related units</w:t>
      </w:r>
    </w:p>
    <w:p w:rsidR="00000000" w:rsidRPr="00484A1F" w:rsidP="00484A1F">
      <w:pPr>
        <w:pStyle w:val="BodyText"/>
      </w:pPr>
      <w:r w:rsidRPr="00484A1F">
        <w:t xml:space="preserve">For skills required for marking out activities associated with general engineering and maintenance functions, see the following units: </w:t>
      </w:r>
    </w:p>
    <w:p w:rsidR="00000000" w:rsidRPr="00484A1F" w:rsidP="00484A1F">
      <w:pPr>
        <w:pStyle w:val="BodyText"/>
      </w:pPr>
      <w:r w:rsidRPr="00484A1F">
        <w:t>Unit MEM07005B (Perform general machining)</w:t>
      </w:r>
    </w:p>
    <w:p w:rsidR="00000000" w:rsidRPr="00484A1F" w:rsidP="00484A1F">
      <w:pPr>
        <w:pStyle w:val="BodyText"/>
      </w:pPr>
      <w:r w:rsidRPr="00484A1F">
        <w:t>Unit MEM12006B (Mark off/out [general engineering])</w:t>
      </w:r>
    </w:p>
    <w:p w:rsidR="00000000" w:rsidRPr="00484A1F" w:rsidP="00484A1F">
      <w:pPr>
        <w:pStyle w:val="BodyText"/>
      </w:pPr>
      <w:r w:rsidRPr="00484A1F">
        <w:t>Unit MEM18006B (Repair an</w:t>
      </w:r>
      <w:r w:rsidRPr="00484A1F">
        <w:t xml:space="preserve">d fit engineering components) </w:t>
      </w:r>
    </w:p>
    <w:p w:rsidR="00000000" w:rsidRPr="00484A1F" w:rsidP="00484A1F"/>
    <w:sectPr w:rsidSect="00484A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F30" w:rsidP="00E72F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30" w:rsidP="00484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72F30" w:rsidP="00484A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72F30" w:rsidP="00484A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F30" w:rsidP="00E72F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30" w:rsidP="00484A1F">
    <w:pPr>
      <w:pStyle w:val="Header"/>
      <w:framePr w:wrap="around"/>
    </w:pPr>
    <w:r>
      <w:fldChar w:fldCharType="begin"/>
    </w:r>
    <w:r>
      <w:instrText xml:space="preserve"> TITLE   \* MERGEFORMAT </w:instrText>
    </w:r>
    <w:r>
      <w:fldChar w:fldCharType="separate"/>
    </w:r>
    <w:r>
      <w:t>MEM05037B Perform geometric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2F30" w:rsidP="00484A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A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4A1F"/>
    <w:pPr>
      <w:spacing w:before="360" w:after="60"/>
      <w:outlineLvl w:val="0"/>
    </w:pPr>
    <w:rPr>
      <w:sz w:val="32"/>
    </w:rPr>
  </w:style>
  <w:style w:type="paragraph" w:styleId="Heading2">
    <w:name w:val="heading 2"/>
    <w:basedOn w:val="HeadingBase"/>
    <w:next w:val="BodyText"/>
    <w:link w:val="Heading2Char"/>
    <w:qFormat/>
    <w:rsid w:val="00484A1F"/>
    <w:pPr>
      <w:keepLines/>
      <w:spacing w:before="240" w:after="120"/>
      <w:outlineLvl w:val="1"/>
    </w:pPr>
    <w:rPr>
      <w:sz w:val="28"/>
      <w:szCs w:val="40"/>
    </w:rPr>
  </w:style>
  <w:style w:type="paragraph" w:styleId="Heading3">
    <w:name w:val="heading 3"/>
    <w:basedOn w:val="HeadingBase"/>
    <w:next w:val="BodyText"/>
    <w:link w:val="Heading3Char"/>
    <w:qFormat/>
    <w:rsid w:val="00484A1F"/>
    <w:pPr>
      <w:spacing w:before="180" w:after="120"/>
      <w:outlineLvl w:val="2"/>
    </w:pPr>
    <w:rPr>
      <w:spacing w:val="-10"/>
      <w:kern w:val="32"/>
    </w:rPr>
  </w:style>
  <w:style w:type="paragraph" w:styleId="Heading4">
    <w:name w:val="heading 4"/>
    <w:basedOn w:val="HeadingBase"/>
    <w:next w:val="BodyText"/>
    <w:link w:val="Heading4Char"/>
    <w:qFormat/>
    <w:rsid w:val="00484A1F"/>
    <w:pPr>
      <w:spacing w:before="160" w:after="120"/>
      <w:outlineLvl w:val="3"/>
    </w:pPr>
    <w:rPr>
      <w:sz w:val="22"/>
    </w:rPr>
  </w:style>
  <w:style w:type="paragraph" w:styleId="Heading5">
    <w:name w:val="heading 5"/>
    <w:basedOn w:val="HeadingBase"/>
    <w:next w:val="Normal"/>
    <w:link w:val="Heading5Char"/>
    <w:qFormat/>
    <w:rsid w:val="00484A1F"/>
    <w:pPr>
      <w:spacing w:before="80"/>
      <w:outlineLvl w:val="4"/>
    </w:pPr>
    <w:rPr>
      <w:color w:val="918585"/>
      <w:sz w:val="20"/>
    </w:rPr>
  </w:style>
  <w:style w:type="paragraph" w:styleId="Heading6">
    <w:name w:val="heading 6"/>
    <w:basedOn w:val="HeadingBase"/>
    <w:next w:val="Normal"/>
    <w:link w:val="Heading6Char"/>
    <w:qFormat/>
    <w:rsid w:val="00484A1F"/>
    <w:pPr>
      <w:spacing w:before="60"/>
      <w:outlineLvl w:val="5"/>
    </w:pPr>
    <w:rPr>
      <w:color w:val="918585"/>
      <w:sz w:val="20"/>
    </w:rPr>
  </w:style>
  <w:style w:type="paragraph" w:styleId="Heading7">
    <w:name w:val="heading 7"/>
    <w:basedOn w:val="Normal"/>
    <w:next w:val="Normal"/>
    <w:link w:val="Heading7Char"/>
    <w:qFormat/>
    <w:rsid w:val="00484A1F"/>
    <w:pPr>
      <w:ind w:left="720"/>
      <w:outlineLvl w:val="6"/>
    </w:pPr>
    <w:rPr>
      <w:i/>
    </w:rPr>
  </w:style>
  <w:style w:type="paragraph" w:styleId="Heading8">
    <w:name w:val="heading 8"/>
    <w:basedOn w:val="Normal"/>
    <w:next w:val="Normal"/>
    <w:link w:val="Heading8Char"/>
    <w:qFormat/>
    <w:rsid w:val="00484A1F"/>
    <w:pPr>
      <w:ind w:left="720"/>
      <w:outlineLvl w:val="7"/>
    </w:pPr>
    <w:rPr>
      <w:i/>
    </w:rPr>
  </w:style>
  <w:style w:type="paragraph" w:styleId="Heading9">
    <w:name w:val="heading 9"/>
    <w:basedOn w:val="Normal"/>
    <w:next w:val="Normal"/>
    <w:link w:val="Heading9Char"/>
    <w:qFormat/>
    <w:rsid w:val="00484A1F"/>
    <w:pPr>
      <w:ind w:left="720"/>
      <w:outlineLvl w:val="8"/>
    </w:pPr>
    <w:rPr>
      <w:i/>
    </w:rPr>
  </w:style>
  <w:style w:type="character" w:default="1" w:styleId="DefaultParagraphFont">
    <w:name w:val="Default Paragraph Font"/>
    <w:uiPriority w:val="1"/>
    <w:unhideWhenUsed/>
    <w:rsid w:val="00484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A1F"/>
  </w:style>
  <w:style w:type="character" w:customStyle="1" w:styleId="Heading1Char">
    <w:name w:val="Heading 1 Char"/>
    <w:basedOn w:val="DefaultParagraphFont"/>
    <w:link w:val="Heading1"/>
    <w:rsid w:val="00484A1F"/>
    <w:rPr>
      <w:rFonts w:ascii="Times New Roman" w:eastAsia="Times New Roman" w:hAnsi="Times New Roman" w:cs="Times New Roman"/>
      <w:b/>
      <w:sz w:val="32"/>
      <w:szCs w:val="20"/>
      <w:lang w:eastAsia="en-US"/>
    </w:rPr>
  </w:style>
  <w:style w:type="paragraph" w:styleId="BodyText">
    <w:name w:val="Body Text"/>
    <w:basedOn w:val="Normal"/>
    <w:link w:val="BodyTextChar"/>
    <w:rsid w:val="00484A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4A1F"/>
    <w:rPr>
      <w:rFonts w:ascii="Times New Roman" w:eastAsia="Times New Roman" w:hAnsi="Times New Roman" w:cs="Times New Roman"/>
      <w:sz w:val="24"/>
      <w:lang w:val="en-US" w:eastAsia="en-US"/>
    </w:rPr>
  </w:style>
  <w:style w:type="paragraph" w:styleId="Footer">
    <w:name w:val="footer"/>
    <w:basedOn w:val="Normal"/>
    <w:link w:val="FooterChar"/>
    <w:rsid w:val="00484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A1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84A1F"/>
    <w:rPr>
      <w:b/>
      <w:spacing w:val="0"/>
    </w:rPr>
  </w:style>
  <w:style w:type="paragraph" w:styleId="Header">
    <w:name w:val="header"/>
    <w:basedOn w:val="Normal"/>
    <w:link w:val="HeaderChar"/>
    <w:rsid w:val="00484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A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4A1F"/>
    <w:pPr>
      <w:spacing w:before="240" w:after="120"/>
      <w:outlineLvl w:val="0"/>
    </w:pPr>
    <w:rPr>
      <w:rFonts w:ascii="Times New Roman" w:hAnsi="Times New Roman"/>
      <w:b/>
      <w:sz w:val="28"/>
    </w:rPr>
  </w:style>
  <w:style w:type="paragraph" w:customStyle="1" w:styleId="AllowPageBreak">
    <w:name w:val="AllowPageBreak"/>
    <w:rsid w:val="00484A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4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A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4A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4A1F"/>
    <w:rPr>
      <w:rFonts w:ascii="Courier New" w:eastAsia="Times New Roman" w:hAnsi="Courier New" w:cs="Times New Roman"/>
      <w:i/>
      <w:szCs w:val="20"/>
      <w:lang w:val="en-US" w:eastAsia="en-US"/>
    </w:rPr>
  </w:style>
  <w:style w:type="paragraph" w:customStyle="1" w:styleId="HeadingBase">
    <w:name w:val="Heading Base"/>
    <w:rsid w:val="00484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A1F"/>
    <w:pPr>
      <w:tabs>
        <w:tab w:val="right" w:leader="dot" w:pos="9072"/>
      </w:tabs>
      <w:ind w:left="567"/>
    </w:pPr>
    <w:rPr>
      <w:szCs w:val="22"/>
    </w:rPr>
  </w:style>
  <w:style w:type="paragraph" w:customStyle="1" w:styleId="TOCBase">
    <w:name w:val="TOC Base"/>
    <w:rsid w:val="00484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A1F"/>
    <w:pPr>
      <w:tabs>
        <w:tab w:val="right" w:leader="dot" w:pos="9072"/>
      </w:tabs>
      <w:spacing w:before="40" w:after="40"/>
      <w:ind w:left="284"/>
    </w:pPr>
    <w:rPr>
      <w:rFonts w:ascii="Times New Roman" w:hAnsi="Times New Roman"/>
    </w:rPr>
  </w:style>
  <w:style w:type="paragraph" w:styleId="TOC1">
    <w:name w:val="toc 1"/>
    <w:basedOn w:val="TOCBase"/>
    <w:next w:val="Normal"/>
    <w:rsid w:val="00484A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4A1F"/>
    <w:pPr>
      <w:spacing w:before="5040"/>
      <w:jc w:val="center"/>
    </w:pPr>
    <w:rPr>
      <w:sz w:val="48"/>
      <w:szCs w:val="72"/>
      <w:lang w:val="en-US"/>
    </w:rPr>
  </w:style>
  <w:style w:type="character" w:customStyle="1" w:styleId="TitleChar">
    <w:name w:val="Title Char"/>
    <w:basedOn w:val="DefaultParagraphFont"/>
    <w:link w:val="Title"/>
    <w:rsid w:val="00484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A1F"/>
    <w:pPr>
      <w:tabs>
        <w:tab w:val="left" w:pos="3600"/>
        <w:tab w:val="left" w:pos="3958"/>
      </w:tabs>
    </w:pPr>
  </w:style>
  <w:style w:type="paragraph" w:styleId="List">
    <w:name w:val="List"/>
    <w:basedOn w:val="BodyText"/>
    <w:next w:val="BodyText"/>
    <w:rsid w:val="00484A1F"/>
    <w:pPr>
      <w:tabs>
        <w:tab w:val="left" w:pos="340"/>
      </w:tabs>
      <w:spacing w:before="60" w:after="60"/>
      <w:ind w:left="340" w:hanging="340"/>
    </w:pPr>
  </w:style>
  <w:style w:type="paragraph" w:styleId="ListBullet">
    <w:name w:val="List Bullet"/>
    <w:basedOn w:val="List"/>
    <w:rsid w:val="00484A1F"/>
    <w:pPr>
      <w:numPr>
        <w:numId w:val="11"/>
      </w:numPr>
      <w:tabs>
        <w:tab w:val="clear" w:pos="340"/>
      </w:tabs>
      <w:spacing w:before="40" w:after="40"/>
    </w:pPr>
  </w:style>
  <w:style w:type="paragraph" w:customStyle="1" w:styleId="Note">
    <w:name w:val="Note"/>
    <w:basedOn w:val="BodyText"/>
    <w:rsid w:val="00484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4A1F"/>
    <w:pPr>
      <w:framePr w:wrap="auto" w:hAnchor="text" w:y="6049"/>
    </w:pPr>
    <w:rPr>
      <w:color w:val="000000"/>
      <w:sz w:val="40"/>
    </w:rPr>
  </w:style>
  <w:style w:type="paragraph" w:customStyle="1" w:styleId="TOCTitle">
    <w:name w:val="TOCTitle"/>
    <w:basedOn w:val="Heading1"/>
    <w:rsid w:val="00484A1F"/>
    <w:pPr>
      <w:spacing w:after="240"/>
      <w:jc w:val="center"/>
      <w:outlineLvl w:val="9"/>
    </w:pPr>
    <w:rPr>
      <w:caps/>
    </w:rPr>
  </w:style>
  <w:style w:type="paragraph" w:customStyle="1" w:styleId="Version">
    <w:name w:val="Version"/>
    <w:rsid w:val="00484A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4A1F"/>
    <w:pPr>
      <w:numPr>
        <w:numId w:val="12"/>
      </w:numPr>
      <w:tabs>
        <w:tab w:val="clear" w:pos="680"/>
      </w:tabs>
    </w:pPr>
  </w:style>
  <w:style w:type="paragraph" w:styleId="Index1">
    <w:name w:val="index 1"/>
    <w:basedOn w:val="Normal"/>
    <w:next w:val="Normal"/>
    <w:semiHidden/>
    <w:rsid w:val="00484A1F"/>
    <w:pPr>
      <w:keepNext w:val="0"/>
      <w:tabs>
        <w:tab w:val="right" w:pos="4176"/>
      </w:tabs>
      <w:ind w:left="198" w:hanging="198"/>
    </w:pPr>
    <w:rPr>
      <w:rFonts w:ascii="Garamond" w:hAnsi="Garamond"/>
    </w:rPr>
  </w:style>
  <w:style w:type="paragraph" w:styleId="IndexHeading">
    <w:name w:val="index heading"/>
    <w:basedOn w:val="Normal"/>
    <w:next w:val="Index1"/>
    <w:semiHidden/>
    <w:rsid w:val="00484A1F"/>
    <w:pPr>
      <w:spacing w:before="120" w:after="120"/>
    </w:pPr>
    <w:rPr>
      <w:rFonts w:ascii="Arial" w:hAnsi="Arial"/>
      <w:b/>
      <w:color w:val="918585"/>
      <w:sz w:val="24"/>
    </w:rPr>
  </w:style>
  <w:style w:type="paragraph" w:customStyle="1" w:styleId="Chapter">
    <w:name w:val="Chapter"/>
    <w:basedOn w:val="Normal"/>
    <w:rsid w:val="00484A1F"/>
    <w:pPr>
      <w:spacing w:before="240"/>
    </w:pPr>
    <w:rPr>
      <w:rFonts w:ascii="Times New Roman" w:hAnsi="Times New Roman"/>
      <w:smallCaps/>
      <w:spacing w:val="80"/>
      <w:sz w:val="28"/>
    </w:rPr>
  </w:style>
  <w:style w:type="paragraph" w:customStyle="1" w:styleId="InChapter">
    <w:name w:val="InChapter"/>
    <w:basedOn w:val="Heading3"/>
    <w:rsid w:val="00484A1F"/>
    <w:pPr>
      <w:spacing w:after="240"/>
      <w:outlineLvl w:val="9"/>
    </w:pPr>
    <w:rPr>
      <w:noProof/>
    </w:rPr>
  </w:style>
  <w:style w:type="paragraph" w:styleId="Index2">
    <w:name w:val="index 2"/>
    <w:basedOn w:val="Normal"/>
    <w:next w:val="Normal"/>
    <w:semiHidden/>
    <w:rsid w:val="00484A1F"/>
    <w:pPr>
      <w:tabs>
        <w:tab w:val="right" w:pos="4176"/>
      </w:tabs>
      <w:ind w:left="568" w:hanging="284"/>
    </w:pPr>
    <w:rPr>
      <w:rFonts w:ascii="Garamond" w:hAnsi="Garamond"/>
    </w:rPr>
  </w:style>
  <w:style w:type="paragraph" w:customStyle="1" w:styleId="Byline">
    <w:name w:val="Byline"/>
    <w:rsid w:val="00484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A1F"/>
    <w:pPr>
      <w:tabs>
        <w:tab w:val="clear" w:pos="3600"/>
        <w:tab w:val="clear" w:pos="3958"/>
      </w:tabs>
      <w:jc w:val="right"/>
    </w:pPr>
  </w:style>
  <w:style w:type="character" w:styleId="Emphasis">
    <w:name w:val="Emphasis"/>
    <w:basedOn w:val="DefaultParagraphFont"/>
    <w:qFormat/>
    <w:rsid w:val="00484A1F"/>
    <w:rPr>
      <w:i/>
    </w:rPr>
  </w:style>
  <w:style w:type="paragraph" w:styleId="Caption">
    <w:name w:val="caption"/>
    <w:basedOn w:val="BodyText"/>
    <w:next w:val="Normal"/>
    <w:qFormat/>
    <w:rsid w:val="00484A1F"/>
    <w:pPr>
      <w:framePr w:w="2268" w:hSpace="181" w:vSpace="181" w:wrap="around" w:vAnchor="text" w:hAnchor="page" w:x="1135" w:y="285" w:anchorLock="1"/>
    </w:pPr>
    <w:rPr>
      <w:i/>
    </w:rPr>
  </w:style>
  <w:style w:type="paragraph" w:customStyle="1" w:styleId="MiniTOCTitle">
    <w:name w:val="MiniTOCTitle"/>
    <w:basedOn w:val="Heading4"/>
    <w:rsid w:val="00484A1F"/>
    <w:pPr>
      <w:spacing w:before="240"/>
      <w:outlineLvl w:val="9"/>
    </w:pPr>
    <w:rPr>
      <w:noProof/>
      <w:sz w:val="24"/>
    </w:rPr>
  </w:style>
  <w:style w:type="paragraph" w:customStyle="1" w:styleId="MiniTOCItem">
    <w:name w:val="MiniTOCItem"/>
    <w:basedOn w:val="ListBullet"/>
    <w:rsid w:val="00484A1F"/>
    <w:pPr>
      <w:numPr>
        <w:numId w:val="0"/>
      </w:numPr>
      <w:tabs>
        <w:tab w:val="right" w:leader="dot" w:pos="6521"/>
      </w:tabs>
      <w:spacing w:before="0" w:after="0"/>
    </w:pPr>
  </w:style>
  <w:style w:type="paragraph" w:customStyle="1" w:styleId="TOFTitle">
    <w:name w:val="TOFTitle"/>
    <w:basedOn w:val="TOCTitle"/>
    <w:rsid w:val="00484A1F"/>
  </w:style>
  <w:style w:type="paragraph" w:styleId="TableofFigures">
    <w:name w:val="table of figures"/>
    <w:basedOn w:val="Normal"/>
    <w:next w:val="Normal"/>
    <w:semiHidden/>
    <w:rsid w:val="00484A1F"/>
    <w:pPr>
      <w:tabs>
        <w:tab w:val="right" w:leader="dot" w:pos="9072"/>
      </w:tabs>
      <w:ind w:left="970" w:hanging="403"/>
    </w:pPr>
    <w:rPr>
      <w:rFonts w:ascii="Times New Roman" w:hAnsi="Times New Roman"/>
      <w:b/>
    </w:rPr>
  </w:style>
  <w:style w:type="paragraph" w:styleId="ListNumber">
    <w:name w:val="List Number"/>
    <w:basedOn w:val="List"/>
    <w:rsid w:val="00484A1F"/>
    <w:pPr>
      <w:numPr>
        <w:numId w:val="9"/>
      </w:numPr>
    </w:pPr>
  </w:style>
  <w:style w:type="character" w:customStyle="1" w:styleId="WingdingSymbols">
    <w:name w:val="Wingding Symbols"/>
    <w:rsid w:val="00484A1F"/>
    <w:rPr>
      <w:rFonts w:ascii="Wingdings" w:hAnsi="Wingdings"/>
    </w:rPr>
  </w:style>
  <w:style w:type="paragraph" w:customStyle="1" w:styleId="TableHeading">
    <w:name w:val="Table Heading"/>
    <w:basedOn w:val="HeadingBase"/>
    <w:rsid w:val="00484A1F"/>
    <w:pPr>
      <w:keepLines/>
      <w:pBdr>
        <w:bottom w:val="single" w:sz="6" w:space="1" w:color="918585"/>
      </w:pBdr>
      <w:spacing w:before="240"/>
    </w:pPr>
  </w:style>
  <w:style w:type="character" w:customStyle="1" w:styleId="HotSpot">
    <w:name w:val="HotSpot"/>
    <w:rsid w:val="00484A1F"/>
    <w:rPr>
      <w:color w:val="0033CC"/>
      <w:u w:val="none"/>
    </w:rPr>
  </w:style>
  <w:style w:type="paragraph" w:customStyle="1" w:styleId="BodyTextRight">
    <w:name w:val="Body Text Right"/>
    <w:basedOn w:val="BodyText"/>
    <w:rsid w:val="00484A1F"/>
    <w:pPr>
      <w:spacing w:before="0" w:after="0"/>
      <w:jc w:val="right"/>
    </w:pPr>
  </w:style>
  <w:style w:type="paragraph" w:styleId="Index3">
    <w:name w:val="index 3"/>
    <w:basedOn w:val="ListNumber2"/>
    <w:next w:val="Normal"/>
    <w:semiHidden/>
    <w:rsid w:val="00484A1F"/>
    <w:pPr>
      <w:numPr>
        <w:numId w:val="0"/>
      </w:numPr>
      <w:tabs>
        <w:tab w:val="right" w:leader="dot" w:pos="4176"/>
      </w:tabs>
    </w:pPr>
  </w:style>
  <w:style w:type="paragraph" w:styleId="ListNumber2">
    <w:name w:val="List Number 2"/>
    <w:basedOn w:val="List2"/>
    <w:rsid w:val="00484A1F"/>
    <w:pPr>
      <w:numPr>
        <w:numId w:val="8"/>
      </w:numPr>
      <w:tabs>
        <w:tab w:val="clear" w:pos="1060"/>
      </w:tabs>
    </w:pPr>
  </w:style>
  <w:style w:type="paragraph" w:customStyle="1" w:styleId="MarginNote">
    <w:name w:val="Margin Note"/>
    <w:basedOn w:val="BodyText"/>
    <w:rsid w:val="00484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A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4A1F"/>
    <w:rPr>
      <w:sz w:val="32"/>
    </w:rPr>
  </w:style>
  <w:style w:type="paragraph" w:customStyle="1" w:styleId="HeadingProcedure">
    <w:name w:val="Heading Procedure"/>
    <w:basedOn w:val="HeadingBase"/>
    <w:next w:val="Normal"/>
    <w:rsid w:val="00484A1F"/>
    <w:pPr>
      <w:tabs>
        <w:tab w:val="left" w:pos="0"/>
      </w:tabs>
      <w:spacing w:before="120" w:after="60"/>
    </w:pPr>
    <w:rPr>
      <w:i/>
      <w:color w:val="918585"/>
      <w:sz w:val="22"/>
    </w:rPr>
  </w:style>
  <w:style w:type="paragraph" w:customStyle="1" w:styleId="TableBodyText">
    <w:name w:val="Table Body Text"/>
    <w:basedOn w:val="BodyText"/>
    <w:rsid w:val="00484A1F"/>
    <w:pPr>
      <w:spacing w:before="60" w:after="60"/>
    </w:pPr>
  </w:style>
  <w:style w:type="paragraph" w:styleId="ListContinue">
    <w:name w:val="List Continue"/>
    <w:basedOn w:val="List"/>
    <w:rsid w:val="00484A1F"/>
    <w:pPr>
      <w:ind w:firstLine="0"/>
    </w:pPr>
  </w:style>
  <w:style w:type="paragraph" w:customStyle="1" w:styleId="ListNote">
    <w:name w:val="List Note"/>
    <w:basedOn w:val="List"/>
    <w:rsid w:val="00484A1F"/>
    <w:pPr>
      <w:pBdr>
        <w:top w:val="single" w:sz="6" w:space="2" w:color="918585"/>
        <w:bottom w:val="single" w:sz="6" w:space="2" w:color="918585"/>
      </w:pBdr>
      <w:tabs>
        <w:tab w:val="left" w:pos="1021"/>
      </w:tabs>
      <w:ind w:firstLine="0"/>
    </w:pPr>
  </w:style>
  <w:style w:type="paragraph" w:customStyle="1" w:styleId="Warning">
    <w:name w:val="Warning"/>
    <w:basedOn w:val="BodyText"/>
    <w:rsid w:val="00484A1F"/>
    <w:pPr>
      <w:shd w:val="clear" w:color="auto" w:fill="D9D9D9"/>
      <w:tabs>
        <w:tab w:val="left" w:pos="992"/>
      </w:tabs>
      <w:ind w:left="119" w:right="119"/>
    </w:pPr>
    <w:rPr>
      <w:sz w:val="20"/>
    </w:rPr>
  </w:style>
  <w:style w:type="paragraph" w:customStyle="1" w:styleId="MarginIcons">
    <w:name w:val="Margin Icons"/>
    <w:basedOn w:val="BodyText"/>
    <w:rsid w:val="00484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A1F"/>
    <w:rPr>
      <w:rFonts w:ascii="Courier New" w:hAnsi="Courier New"/>
    </w:rPr>
  </w:style>
  <w:style w:type="paragraph" w:customStyle="1" w:styleId="NoteBullet">
    <w:name w:val="Note Bullet"/>
    <w:basedOn w:val="Note"/>
    <w:rsid w:val="00484A1F"/>
    <w:pPr>
      <w:tabs>
        <w:tab w:val="clear" w:pos="680"/>
      </w:tabs>
      <w:spacing w:before="60" w:after="60"/>
    </w:pPr>
  </w:style>
  <w:style w:type="paragraph" w:customStyle="1" w:styleId="SubHeading2">
    <w:name w:val="SubHeading2"/>
    <w:basedOn w:val="HeadingBase"/>
    <w:rsid w:val="00484A1F"/>
    <w:pPr>
      <w:spacing w:before="240" w:after="60"/>
    </w:pPr>
    <w:rPr>
      <w:sz w:val="20"/>
    </w:rPr>
  </w:style>
  <w:style w:type="paragraph" w:customStyle="1" w:styleId="SubHeading1">
    <w:name w:val="SubHeading1"/>
    <w:basedOn w:val="HeadingBase"/>
    <w:rsid w:val="00484A1F"/>
    <w:pPr>
      <w:spacing w:before="240" w:after="60"/>
    </w:pPr>
    <w:rPr>
      <w:color w:val="918585"/>
      <w:sz w:val="22"/>
    </w:rPr>
  </w:style>
  <w:style w:type="paragraph" w:customStyle="1" w:styleId="SideHeading">
    <w:name w:val="Side Heading"/>
    <w:basedOn w:val="HeadingBase"/>
    <w:rsid w:val="00484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A1F"/>
    <w:pPr>
      <w:numPr>
        <w:numId w:val="10"/>
      </w:numPr>
    </w:pPr>
  </w:style>
  <w:style w:type="paragraph" w:styleId="PlainText">
    <w:name w:val="Plain Text"/>
    <w:basedOn w:val="Normal"/>
    <w:link w:val="PlainTextChar"/>
    <w:rsid w:val="00484A1F"/>
    <w:rPr>
      <w:sz w:val="20"/>
    </w:rPr>
  </w:style>
  <w:style w:type="character" w:customStyle="1" w:styleId="PlainTextChar">
    <w:name w:val="Plain Text Char"/>
    <w:basedOn w:val="DefaultParagraphFont"/>
    <w:link w:val="PlainText"/>
    <w:rsid w:val="00484A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4A1F"/>
    <w:rPr>
      <w:b/>
      <w:smallCaps/>
    </w:rPr>
  </w:style>
  <w:style w:type="paragraph" w:customStyle="1" w:styleId="TableListNumber">
    <w:name w:val="Table List Number"/>
    <w:basedOn w:val="ListNumber"/>
    <w:rsid w:val="00484A1F"/>
    <w:pPr>
      <w:numPr>
        <w:numId w:val="0"/>
      </w:numPr>
    </w:pPr>
  </w:style>
  <w:style w:type="paragraph" w:styleId="TOC4">
    <w:name w:val="toc 4"/>
    <w:basedOn w:val="TOCBase"/>
    <w:next w:val="Normal"/>
    <w:semiHidden/>
    <w:rsid w:val="00484A1F"/>
    <w:pPr>
      <w:tabs>
        <w:tab w:val="right" w:leader="dot" w:pos="9071"/>
      </w:tabs>
      <w:ind w:left="1701"/>
    </w:pPr>
  </w:style>
  <w:style w:type="paragraph" w:customStyle="1" w:styleId="ListAlpha">
    <w:name w:val="List Alpha"/>
    <w:basedOn w:val="List"/>
    <w:rsid w:val="00484A1F"/>
    <w:pPr>
      <w:numPr>
        <w:numId w:val="7"/>
      </w:numPr>
    </w:pPr>
  </w:style>
  <w:style w:type="paragraph" w:customStyle="1" w:styleId="ListAlpha2">
    <w:name w:val="List Alpha 2"/>
    <w:basedOn w:val="List2"/>
    <w:rsid w:val="00484A1F"/>
    <w:pPr>
      <w:numPr>
        <w:numId w:val="6"/>
      </w:numPr>
    </w:pPr>
  </w:style>
  <w:style w:type="paragraph" w:styleId="List2">
    <w:name w:val="List 2"/>
    <w:basedOn w:val="BodyText"/>
    <w:rsid w:val="00484A1F"/>
    <w:pPr>
      <w:tabs>
        <w:tab w:val="left" w:pos="680"/>
      </w:tabs>
      <w:spacing w:before="60" w:after="60"/>
      <w:ind w:left="680" w:hanging="340"/>
    </w:pPr>
  </w:style>
  <w:style w:type="paragraph" w:styleId="List3">
    <w:name w:val="List 3"/>
    <w:basedOn w:val="BodyText"/>
    <w:rsid w:val="00484A1F"/>
    <w:pPr>
      <w:tabs>
        <w:tab w:val="left" w:pos="1021"/>
      </w:tabs>
      <w:spacing w:before="60" w:after="60"/>
      <w:ind w:left="1020" w:hanging="340"/>
    </w:pPr>
  </w:style>
  <w:style w:type="paragraph" w:styleId="List4">
    <w:name w:val="List 4"/>
    <w:basedOn w:val="BodyText"/>
    <w:rsid w:val="00484A1F"/>
    <w:pPr>
      <w:tabs>
        <w:tab w:val="left" w:pos="1361"/>
      </w:tabs>
      <w:spacing w:before="60" w:after="60"/>
      <w:ind w:left="1361" w:hanging="340"/>
    </w:pPr>
  </w:style>
  <w:style w:type="paragraph" w:styleId="List5">
    <w:name w:val="List 5"/>
    <w:basedOn w:val="BodyText"/>
    <w:rsid w:val="00484A1F"/>
    <w:pPr>
      <w:tabs>
        <w:tab w:val="left" w:pos="1701"/>
      </w:tabs>
      <w:spacing w:before="60" w:after="60"/>
      <w:ind w:left="1701" w:hanging="340"/>
    </w:pPr>
  </w:style>
  <w:style w:type="paragraph" w:styleId="ListBullet3">
    <w:name w:val="List Bullet 3"/>
    <w:basedOn w:val="List3"/>
    <w:rsid w:val="00484A1F"/>
    <w:pPr>
      <w:numPr>
        <w:numId w:val="13"/>
      </w:numPr>
      <w:tabs>
        <w:tab w:val="clear" w:pos="1021"/>
      </w:tabs>
      <w:ind w:left="1037" w:hanging="357"/>
    </w:pPr>
  </w:style>
  <w:style w:type="paragraph" w:styleId="ListBullet4">
    <w:name w:val="List Bullet 4"/>
    <w:basedOn w:val="List4"/>
    <w:rsid w:val="00484A1F"/>
    <w:pPr>
      <w:numPr>
        <w:numId w:val="1"/>
      </w:numPr>
    </w:pPr>
  </w:style>
  <w:style w:type="paragraph" w:styleId="ListBullet5">
    <w:name w:val="List Bullet 5"/>
    <w:basedOn w:val="List5"/>
    <w:rsid w:val="00484A1F"/>
    <w:pPr>
      <w:numPr>
        <w:numId w:val="2"/>
      </w:numPr>
    </w:pPr>
  </w:style>
  <w:style w:type="paragraph" w:styleId="ListContinue2">
    <w:name w:val="List Continue 2"/>
    <w:basedOn w:val="List2"/>
    <w:rsid w:val="00484A1F"/>
    <w:pPr>
      <w:ind w:firstLine="0"/>
    </w:pPr>
  </w:style>
  <w:style w:type="paragraph" w:styleId="ListContinue3">
    <w:name w:val="List Continue 3"/>
    <w:basedOn w:val="List3"/>
    <w:rsid w:val="00484A1F"/>
    <w:pPr>
      <w:ind w:left="1021" w:firstLine="0"/>
    </w:pPr>
  </w:style>
  <w:style w:type="paragraph" w:styleId="ListContinue4">
    <w:name w:val="List Continue 4"/>
    <w:basedOn w:val="List4"/>
    <w:rsid w:val="00484A1F"/>
    <w:pPr>
      <w:ind w:firstLine="0"/>
    </w:pPr>
  </w:style>
  <w:style w:type="paragraph" w:styleId="ListContinue5">
    <w:name w:val="List Continue 5"/>
    <w:basedOn w:val="List5"/>
    <w:rsid w:val="00484A1F"/>
    <w:pPr>
      <w:ind w:firstLine="0"/>
    </w:pPr>
  </w:style>
  <w:style w:type="paragraph" w:styleId="ListNumber3">
    <w:name w:val="List Number 3"/>
    <w:basedOn w:val="List3"/>
    <w:rsid w:val="00484A1F"/>
    <w:pPr>
      <w:numPr>
        <w:numId w:val="3"/>
      </w:numPr>
    </w:pPr>
  </w:style>
  <w:style w:type="paragraph" w:styleId="ListNumber4">
    <w:name w:val="List Number 4"/>
    <w:basedOn w:val="List4"/>
    <w:rsid w:val="00484A1F"/>
    <w:pPr>
      <w:numPr>
        <w:numId w:val="4"/>
      </w:numPr>
    </w:pPr>
  </w:style>
  <w:style w:type="paragraph" w:styleId="ListNumber5">
    <w:name w:val="List Number 5"/>
    <w:basedOn w:val="List5"/>
    <w:rsid w:val="00484A1F"/>
    <w:pPr>
      <w:numPr>
        <w:numId w:val="5"/>
      </w:numPr>
    </w:pPr>
  </w:style>
  <w:style w:type="paragraph" w:styleId="BlockText">
    <w:name w:val="Block Text"/>
    <w:basedOn w:val="Normal"/>
    <w:rsid w:val="00484A1F"/>
    <w:pPr>
      <w:spacing w:after="120"/>
      <w:ind w:left="1440" w:right="1440"/>
    </w:pPr>
  </w:style>
  <w:style w:type="character" w:customStyle="1" w:styleId="Subscript">
    <w:name w:val="Subscript"/>
    <w:basedOn w:val="DefaultParagraphFont"/>
    <w:rsid w:val="00484A1F"/>
    <w:rPr>
      <w:sz w:val="16"/>
      <w:vertAlign w:val="subscript"/>
    </w:rPr>
  </w:style>
  <w:style w:type="character" w:customStyle="1" w:styleId="Superscript">
    <w:name w:val="Superscript"/>
    <w:basedOn w:val="DefaultParagraphFont"/>
    <w:rsid w:val="00484A1F"/>
    <w:rPr>
      <w:sz w:val="16"/>
      <w:vertAlign w:val="superscript"/>
    </w:rPr>
  </w:style>
  <w:style w:type="character" w:customStyle="1" w:styleId="Symbols">
    <w:name w:val="Symbols"/>
    <w:basedOn w:val="DefaultParagraphFont"/>
    <w:rsid w:val="00484A1F"/>
    <w:rPr>
      <w:rFonts w:ascii="Symbol" w:hAnsi="Symbol"/>
    </w:rPr>
  </w:style>
  <w:style w:type="character" w:customStyle="1" w:styleId="MenuOptions">
    <w:name w:val="Menu Options"/>
    <w:basedOn w:val="DefaultParagraphFont"/>
    <w:rsid w:val="00484A1F"/>
    <w:rPr>
      <w:rFonts w:ascii="Arial Narrow" w:hAnsi="Arial Narrow"/>
      <w:smallCaps/>
    </w:rPr>
  </w:style>
  <w:style w:type="character" w:customStyle="1" w:styleId="Buttons">
    <w:name w:val="Buttons"/>
    <w:basedOn w:val="DefaultParagraphFont"/>
    <w:rsid w:val="00484A1F"/>
    <w:rPr>
      <w:b/>
    </w:rPr>
  </w:style>
  <w:style w:type="character" w:customStyle="1" w:styleId="Underlined">
    <w:name w:val="Underlined"/>
    <w:basedOn w:val="DefaultParagraphFont"/>
    <w:rsid w:val="00484A1F"/>
    <w:rPr>
      <w:u w:val="single"/>
    </w:rPr>
  </w:style>
  <w:style w:type="paragraph" w:customStyle="1" w:styleId="TableBodyTextRight">
    <w:name w:val="Table Body Text Right"/>
    <w:basedOn w:val="TableBodyText"/>
    <w:rsid w:val="00484A1F"/>
    <w:pPr>
      <w:widowControl w:val="0"/>
      <w:autoSpaceDE w:val="0"/>
      <w:autoSpaceDN w:val="0"/>
      <w:adjustRightInd w:val="0"/>
      <w:jc w:val="right"/>
    </w:pPr>
    <w:rPr>
      <w:rFonts w:cs="Arial"/>
      <w:szCs w:val="18"/>
    </w:rPr>
  </w:style>
  <w:style w:type="paragraph" w:customStyle="1" w:styleId="CopyrightText">
    <w:name w:val="Copyright Text"/>
    <w:basedOn w:val="BodyText"/>
    <w:rsid w:val="00484A1F"/>
    <w:rPr>
      <w:sz w:val="18"/>
    </w:rPr>
  </w:style>
  <w:style w:type="paragraph" w:customStyle="1" w:styleId="BodySmallRight">
    <w:name w:val="Body Small Right"/>
    <w:basedOn w:val="BodyTextRight"/>
    <w:rsid w:val="00484A1F"/>
    <w:rPr>
      <w:sz w:val="18"/>
      <w:szCs w:val="18"/>
    </w:rPr>
  </w:style>
  <w:style w:type="paragraph" w:customStyle="1" w:styleId="MarginEdition">
    <w:name w:val="Margin Edition"/>
    <w:basedOn w:val="MarginNote"/>
    <w:rsid w:val="00484A1F"/>
    <w:pPr>
      <w:spacing w:before="0" w:after="0"/>
    </w:pPr>
    <w:rPr>
      <w:rFonts w:ascii="Times New Roman" w:hAnsi="Times New Roman"/>
      <w:color w:val="999999"/>
    </w:rPr>
  </w:style>
  <w:style w:type="paragraph" w:customStyle="1" w:styleId="Spacer">
    <w:name w:val="Spacer"/>
    <w:basedOn w:val="Normal"/>
    <w:rsid w:val="00484A1F"/>
    <w:rPr>
      <w:sz w:val="2"/>
      <w:szCs w:val="2"/>
    </w:rPr>
  </w:style>
  <w:style w:type="character" w:customStyle="1" w:styleId="Small">
    <w:name w:val="Small"/>
    <w:basedOn w:val="DefaultParagraphFont"/>
    <w:rsid w:val="00484A1F"/>
    <w:rPr>
      <w:sz w:val="16"/>
    </w:rPr>
  </w:style>
  <w:style w:type="paragraph" w:customStyle="1" w:styleId="WideTable">
    <w:name w:val="Wide Table"/>
    <w:basedOn w:val="Normal"/>
    <w:rsid w:val="00484A1F"/>
    <w:pPr>
      <w:ind w:left="-1418"/>
    </w:pPr>
    <w:rPr>
      <w:sz w:val="2"/>
      <w:szCs w:val="2"/>
    </w:rPr>
  </w:style>
  <w:style w:type="character" w:styleId="PageNumber">
    <w:name w:val="page number"/>
    <w:basedOn w:val="DefaultParagraphFont"/>
    <w:rsid w:val="00484A1F"/>
  </w:style>
  <w:style w:type="paragraph" w:styleId="Quote">
    <w:name w:val="Quote"/>
    <w:basedOn w:val="Heading1"/>
    <w:link w:val="QuoteChar"/>
    <w:qFormat/>
    <w:rsid w:val="00484A1F"/>
    <w:rPr>
      <w:b w:val="0"/>
      <w:sz w:val="72"/>
      <w:szCs w:val="72"/>
      <w:lang w:val="en-NZ"/>
    </w:rPr>
  </w:style>
  <w:style w:type="character" w:customStyle="1" w:styleId="QuoteChar">
    <w:name w:val="Quote Char"/>
    <w:basedOn w:val="DefaultParagraphFont"/>
    <w:link w:val="Quote"/>
    <w:rsid w:val="00484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A1F"/>
    <w:pPr>
      <w:pageBreakBefore/>
    </w:pPr>
  </w:style>
  <w:style w:type="paragraph" w:customStyle="1" w:styleId="Border">
    <w:name w:val="Border"/>
    <w:basedOn w:val="Normal"/>
    <w:qFormat/>
    <w:rsid w:val="00484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A1F"/>
    <w:rPr>
      <w:b/>
      <w:bCs/>
      <w:i/>
      <w:iCs/>
      <w:color w:val="auto"/>
    </w:rPr>
  </w:style>
  <w:style w:type="paragraph" w:styleId="IntenseQuote">
    <w:name w:val="Intense Quote"/>
    <w:basedOn w:val="Normal"/>
    <w:next w:val="Normal"/>
    <w:link w:val="IntenseQuoteChar"/>
    <w:uiPriority w:val="30"/>
    <w:qFormat/>
    <w:rsid w:val="00484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A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4A1F"/>
    <w:rPr>
      <w:smallCaps/>
      <w:color w:val="auto"/>
      <w:u w:val="single"/>
    </w:rPr>
  </w:style>
  <w:style w:type="character" w:styleId="IntenseReference">
    <w:name w:val="Intense Reference"/>
    <w:basedOn w:val="DefaultParagraphFont"/>
    <w:uiPriority w:val="32"/>
    <w:qFormat/>
    <w:rsid w:val="00484A1F"/>
    <w:rPr>
      <w:b/>
      <w:bCs/>
      <w:smallCaps/>
      <w:color w:val="auto"/>
      <w:spacing w:val="5"/>
      <w:u w:val="single"/>
    </w:rPr>
  </w:style>
  <w:style w:type="paragraph" w:customStyle="1" w:styleId="2ColumnHeading">
    <w:name w:val="2Column Heading"/>
    <w:basedOn w:val="BodyText"/>
    <w:qFormat/>
    <w:rsid w:val="00484A1F"/>
    <w:pPr>
      <w:spacing w:after="60"/>
      <w:ind w:left="-2268"/>
    </w:pPr>
    <w:rPr>
      <w:b/>
    </w:rPr>
  </w:style>
  <w:style w:type="paragraph" w:customStyle="1" w:styleId="Heading1TOC">
    <w:name w:val="Heading1 TOC"/>
    <w:basedOn w:val="Normal"/>
    <w:qFormat/>
    <w:rsid w:val="00484A1F"/>
    <w:pPr>
      <w:spacing w:before="240" w:after="120"/>
    </w:pPr>
    <w:rPr>
      <w:rFonts w:ascii="Times New Roman" w:hAnsi="Times New Roman"/>
      <w:b/>
      <w:sz w:val="32"/>
    </w:rPr>
  </w:style>
  <w:style w:type="paragraph" w:customStyle="1" w:styleId="Heading2TOC">
    <w:name w:val="Heading2 TOC"/>
    <w:basedOn w:val="Normal"/>
    <w:qFormat/>
    <w:rsid w:val="00484A1F"/>
    <w:pPr>
      <w:spacing w:before="240" w:after="60"/>
    </w:pPr>
    <w:rPr>
      <w:rFonts w:ascii="Times New Roman" w:hAnsi="Times New Roman"/>
      <w:b/>
      <w:sz w:val="28"/>
    </w:rPr>
  </w:style>
  <w:style w:type="character" w:customStyle="1" w:styleId="Underline">
    <w:name w:val="Underline"/>
    <w:basedOn w:val="DefaultParagraphFont"/>
    <w:qFormat/>
    <w:rsid w:val="00484A1F"/>
    <w:rPr>
      <w:u w:val="single"/>
    </w:rPr>
  </w:style>
  <w:style w:type="character" w:customStyle="1" w:styleId="BoldandItalics">
    <w:name w:val="Bold and Italics"/>
    <w:qFormat/>
    <w:rsid w:val="00484A1F"/>
    <w:rPr>
      <w:b/>
      <w:i/>
      <w:u w:val="none"/>
    </w:rPr>
  </w:style>
  <w:style w:type="paragraph" w:styleId="BalloonText">
    <w:name w:val="Balloon Text"/>
    <w:basedOn w:val="Normal"/>
    <w:link w:val="BalloonTextChar"/>
    <w:rsid w:val="00484A1F"/>
    <w:rPr>
      <w:rFonts w:ascii="Tahoma" w:hAnsi="Tahoma" w:cs="Tahoma"/>
      <w:sz w:val="16"/>
      <w:szCs w:val="16"/>
    </w:rPr>
  </w:style>
  <w:style w:type="character" w:customStyle="1" w:styleId="BalloonTextChar">
    <w:name w:val="Balloon Text Char"/>
    <w:basedOn w:val="DefaultParagraphFont"/>
    <w:link w:val="BalloonText"/>
    <w:rsid w:val="00484A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4A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4A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913</Words>
  <Characters>5804</Characters>
  <Application>Microsoft Office Word</Application>
  <DocSecurity>0</DocSecurity>
  <Lines>255</Lines>
  <Paragraphs>123</Paragraphs>
  <ScaleCrop>false</ScaleCrop>
  <Company>Author-it Software Corporation Ltd.</Company>
  <LinksUpToDate>false</LinksUpToDate>
  <CharactersWithSpaces>6630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MEM05037B Perform geometric development</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2012-05-27T01:30:00Z</dcterms:created>
  <dcterms:modified xsi:type="dcterms:W3CDTF">2012-05-27T01:30:00Z</dcterms:modified>
</cp:coreProperties>
</file>