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B86" w:rsidP="00412B86">
      <w:pPr>
        <w:pStyle w:val="Title"/>
      </w:pPr>
      <w:r>
        <w:fldChar w:fldCharType="begin"/>
      </w:r>
      <w:r>
        <w:instrText xml:space="preserve"> TITLE   \* MERGEFORMAT </w:instrText>
      </w:r>
      <w:r>
        <w:fldChar w:fldCharType="separate"/>
      </w:r>
      <w:r>
        <w:t>MEM05015C Weld using manual metal arc welding process</w:t>
      </w:r>
      <w:r>
        <w:fldChar w:fldCharType="end"/>
      </w:r>
    </w:p>
    <w:p w:rsidR="00412B86" w:rsidP="00412B86">
      <w:pPr>
        <w:pStyle w:val="Version"/>
        <w:sectPr w:rsidSect="00B87B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BA1" w:rsidP="00B87BA1">
      <w:pPr>
        <w:pStyle w:val="SuperHeading"/>
      </w:pPr>
      <w:r w:rsidRPr="00B87BA1">
        <w:t>MEM05015C Weld using manual metal arc welding process</w:t>
      </w:r>
    </w:p>
    <w:p w:rsidR="00000000" w:rsidRPr="00B87BA1" w:rsidP="00B87BA1">
      <w:pPr>
        <w:pStyle w:val="Heading1"/>
      </w:pPr>
      <w:bookmarkStart w:id="1" w:name="O_311608"/>
      <w:bookmarkEnd w:id="1"/>
      <w:r w:rsidRPr="00B87BA1">
        <w:t>Modification History</w:t>
      </w:r>
    </w:p>
    <w:p w:rsidR="00000000" w:rsidRPr="00B87BA1" w:rsidP="00B87BA1">
      <w:pPr>
        <w:pStyle w:val="BodyText"/>
      </w:pPr>
      <w:r w:rsidRPr="00B87BA1">
        <w:t>There are no notes for this unit.</w:t>
      </w:r>
    </w:p>
    <w:p w:rsidR="00000000" w:rsidRPr="00B87BA1" w:rsidP="00B87BA1">
      <w:pPr>
        <w:pStyle w:val="AllowPageBreak"/>
      </w:pPr>
    </w:p>
    <w:p w:rsidR="00000000" w:rsidRPr="00B87BA1" w:rsidP="00B87BA1">
      <w:pPr>
        <w:pStyle w:val="Heading1"/>
      </w:pPr>
      <w:bookmarkStart w:id="2" w:name="O_311613"/>
      <w:bookmarkEnd w:id="2"/>
      <w:r w:rsidRPr="00B87BA1">
        <w:t>Unit Descriptor</w:t>
      </w:r>
    </w:p>
    <w:p w:rsidR="00000000" w:rsidRPr="00B87BA1" w:rsidP="00B87BA1">
      <w:pPr>
        <w:pStyle w:val="BodyText"/>
      </w:pPr>
      <w:r w:rsidRPr="00B87BA1">
        <w:t>This unit covers preparing materials, selecting and setting up the welding equipme</w:t>
      </w:r>
      <w:r w:rsidRPr="00B87BA1">
        <w:t>nt, carrying out the manual metal arc welding (MMAW), and inspecting for and correcting defects, in a range of fabrication activities.</w:t>
      </w:r>
    </w:p>
    <w:p w:rsidR="00000000" w:rsidRPr="00B87BA1" w:rsidP="00B87BA1">
      <w:pPr>
        <w:pStyle w:val="AllowPageBreak"/>
      </w:pPr>
    </w:p>
    <w:p w:rsidR="00000000" w:rsidRPr="00B87BA1" w:rsidP="00B87BA1">
      <w:pPr>
        <w:pStyle w:val="Heading1"/>
      </w:pPr>
      <w:bookmarkStart w:id="3" w:name="O_311612"/>
      <w:bookmarkEnd w:id="3"/>
      <w:r w:rsidRPr="00B87BA1">
        <w:t>Application of the Unit</w:t>
      </w:r>
    </w:p>
    <w:p w:rsidR="00000000" w:rsidRPr="00B87BA1" w:rsidP="00B87BA1">
      <w:pPr>
        <w:pStyle w:val="BodyText"/>
      </w:pPr>
      <w:r w:rsidRPr="00B87BA1">
        <w:t>This unit applies to welds associated with heavy or light fabrication: fillet an</w:t>
      </w:r>
      <w:r w:rsidRPr="00B87BA1">
        <w:t>d butt welds in all positions on a range of materials that may include carbon steel or stainless steel. Weld quality would typically conform to Australian Standard 1554 General Purpose, American Bureau of Shipping (ABS) or equivalent.</w:t>
      </w:r>
    </w:p>
    <w:p w:rsidR="00000000" w:rsidRPr="00B87BA1" w:rsidP="00B87BA1">
      <w:pPr>
        <w:pStyle w:val="AllowPageBreak"/>
      </w:pPr>
    </w:p>
    <w:p w:rsidR="00000000" w:rsidRPr="00B87BA1" w:rsidP="00B87BA1">
      <w:pPr>
        <w:pStyle w:val="Heading1"/>
      </w:pPr>
      <w:bookmarkStart w:id="4" w:name="O_311611"/>
      <w:bookmarkEnd w:id="4"/>
      <w:r w:rsidRPr="00B87BA1">
        <w:t>Lice</w:t>
      </w:r>
      <w:r w:rsidRPr="00B87BA1">
        <w:t>nsing/Regulatory Information</w:t>
      </w:r>
    </w:p>
    <w:p w:rsidR="00000000" w:rsidRPr="00B87BA1" w:rsidP="00B87BA1">
      <w:pPr>
        <w:pStyle w:val="Heading1"/>
      </w:pPr>
      <w:bookmarkStart w:id="5" w:name="O_311610"/>
      <w:bookmarkEnd w:id="5"/>
      <w:r w:rsidRPr="00B87BA1">
        <w:t>Pre-Requisites</w:t>
      </w:r>
    </w:p>
    <w:tbl>
      <w:tblPr>
        <w:tblW w:w="0" w:type="auto"/>
        <w:tblLayout w:type="fixed"/>
        <w:tblCellMar>
          <w:left w:w="62" w:type="dxa"/>
          <w:right w:w="62" w:type="dxa"/>
        </w:tblCellMar>
        <w:tblLook w:val="0000"/>
      </w:tblPr>
      <w:tblGrid>
        <w:gridCol w:w="4500"/>
        <w:gridCol w:w="4500"/>
      </w:tblGrid>
      <w:tr w:rsidTr="00412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p>
        </w:tc>
      </w:tr>
      <w:tr w:rsidTr="00412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Path 1</w:t>
            </w:r>
          </w:p>
        </w:tc>
        <w:tc>
          <w:tcPr>
            <w:tcW w:w="4500" w:type="dxa"/>
            <w:tcBorders>
              <w:top w:val="nil"/>
              <w:left w:val="nil"/>
              <w:bottom w:val="nil"/>
              <w:right w:val="nil"/>
            </w:tcBorders>
            <w:tcMar>
              <w:top w:w="0" w:type="dxa"/>
              <w:left w:w="62" w:type="dxa"/>
              <w:bottom w:w="0" w:type="dxa"/>
              <w:right w:w="62" w:type="dxa"/>
            </w:tcMar>
          </w:tcPr>
          <w:p w:rsidR="00000000" w:rsidRPr="00B87BA1" w:rsidP="00B87BA1">
            <w:pPr>
              <w:pStyle w:val="BodyText"/>
            </w:pPr>
            <w:r w:rsidRPr="00B87BA1">
              <w:t>MEM05012C Perform routine manual metal arc welding</w:t>
            </w:r>
          </w:p>
          <w:p w:rsidR="00000000" w:rsidRPr="00B87BA1" w:rsidP="00B87BA1">
            <w:pPr>
              <w:pStyle w:val="BodyText"/>
            </w:pPr>
            <w:r w:rsidRPr="00B87BA1">
              <w:t>MEM05051A Select welding processes</w:t>
            </w:r>
          </w:p>
          <w:p w:rsidR="00000000" w:rsidRPr="00B87BA1" w:rsidP="00B87BA1">
            <w:pPr>
              <w:pStyle w:val="BodyText"/>
            </w:pPr>
            <w:r w:rsidRPr="00B87BA1">
              <w:t>MEM05052A Apply safe welding practices</w:t>
            </w:r>
          </w:p>
          <w:p w:rsidR="00000000" w:rsidRPr="00B87BA1" w:rsidP="00B87BA1">
            <w:pPr>
              <w:pStyle w:val="BodyText"/>
            </w:pPr>
            <w:r w:rsidRPr="00B87BA1">
              <w:t>MEM12023A Perform engineering measurements</w:t>
            </w:r>
          </w:p>
          <w:p w:rsidR="00000000" w:rsidRPr="00B87BA1" w:rsidP="00B87BA1">
            <w:pPr>
              <w:pStyle w:val="BodyText"/>
            </w:pPr>
            <w:r w:rsidRPr="00B87BA1">
              <w:t>MEM18001C Use hand tools</w:t>
            </w:r>
          </w:p>
          <w:p w:rsidR="00000000" w:rsidRPr="00B87BA1" w:rsidP="00B87BA1">
            <w:pPr>
              <w:pStyle w:val="BodyText"/>
            </w:pPr>
            <w:r w:rsidRPr="00B87BA1">
              <w:t>MEM18002B Use power tools/hand held operations</w:t>
            </w:r>
          </w:p>
        </w:tc>
      </w:tr>
    </w:tbl>
    <w:p w:rsidR="00000000" w:rsidRPr="00B87BA1" w:rsidP="00B87BA1">
      <w:pPr>
        <w:pStyle w:val="BodyText"/>
      </w:pPr>
    </w:p>
    <w:p w:rsidR="00000000" w:rsidRPr="00B87BA1" w:rsidP="00B87BA1">
      <w:pPr>
        <w:pStyle w:val="AllowPageBreak"/>
      </w:pPr>
    </w:p>
    <w:p w:rsidR="00000000" w:rsidRPr="00B87BA1" w:rsidP="00B87BA1">
      <w:pPr>
        <w:pStyle w:val="Heading1"/>
      </w:pPr>
      <w:bookmarkStart w:id="6" w:name="O_311609"/>
      <w:bookmarkEnd w:id="6"/>
      <w:r w:rsidRPr="00B87BA1">
        <w:t>Employability Skills Information</w:t>
      </w:r>
    </w:p>
    <w:p w:rsidR="00000000" w:rsidRPr="00B87BA1" w:rsidP="00B87BA1">
      <w:pPr>
        <w:pStyle w:val="Heading1"/>
      </w:pPr>
      <w:bookmarkStart w:id="7" w:name="O_311606"/>
      <w:bookmarkEnd w:id="7"/>
      <w:r w:rsidRPr="00B87BA1">
        <w:t>Elements and Performance Criteria Pre-Content</w:t>
      </w:r>
    </w:p>
    <w:p w:rsidR="00000000" w:rsidRPr="00B87BA1" w:rsidP="00B87BA1">
      <w:pPr>
        <w:pStyle w:val="BodyText"/>
      </w:pPr>
      <w:r w:rsidRPr="00B87BA1">
        <w:t>Elements are the essential outcomes of the unit of competency.</w:t>
      </w:r>
    </w:p>
    <w:p w:rsidR="00000000" w:rsidRPr="00B87BA1" w:rsidP="00B87BA1">
      <w:pPr>
        <w:pStyle w:val="BodyText"/>
      </w:pPr>
      <w:r w:rsidRPr="00B87BA1">
        <w:t>Togethe</w:t>
      </w:r>
      <w:r w:rsidRPr="00B87BA1">
        <w:t>r, performance criteria specify the requirements for competent performance. Text in italics is explained in the range statement following.</w:t>
      </w:r>
    </w:p>
    <w:p w:rsidR="00000000" w:rsidRPr="00B87BA1" w:rsidP="00B87BA1">
      <w:pPr>
        <w:pStyle w:val="AllowPageBreak"/>
      </w:pPr>
    </w:p>
    <w:p w:rsidR="00000000" w:rsidRPr="00B87BA1" w:rsidP="00B87BA1">
      <w:pPr>
        <w:pStyle w:val="Heading1"/>
      </w:pPr>
      <w:bookmarkStart w:id="8" w:name="O_311614"/>
      <w:bookmarkEnd w:id="8"/>
      <w:r w:rsidRPr="00B87BA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12B8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Elements and Performance Criteria</w:t>
            </w:r>
          </w:p>
        </w:tc>
      </w:tr>
      <w:tr w:rsidTr="00412B8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87BA1" w:rsidP="00B87BA1">
            <w:pPr>
              <w:pStyle w:val="BodyText"/>
            </w:pPr>
            <w:r w:rsidRPr="00B87BA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Performance Criteria</w:t>
            </w:r>
          </w:p>
        </w:tc>
      </w:tr>
      <w:tr w:rsidTr="00412B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1</w:t>
            </w:r>
          </w:p>
        </w:tc>
        <w:tc>
          <w:tcPr>
            <w:tcW w:w="3000" w:type="dxa"/>
            <w:vMerge w:val="restart"/>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Prepare materials for manual metal arc welding (MMAW)</w:t>
            </w:r>
          </w:p>
        </w:tc>
        <w:tc>
          <w:tcPr>
            <w:tcW w:w="500" w:type="dxa"/>
            <w:tcBorders>
              <w:top w:val="nil"/>
              <w:left w:val="nil"/>
              <w:bottom w:val="nil"/>
              <w:right w:val="nil"/>
            </w:tcBorders>
            <w:tcMar>
              <w:top w:w="0" w:type="dxa"/>
              <w:left w:w="62" w:type="dxa"/>
              <w:bottom w:w="0" w:type="dxa"/>
              <w:right w:w="62" w:type="dxa"/>
            </w:tcMar>
          </w:tcPr>
          <w:p w:rsidR="00000000" w:rsidRPr="00B87BA1" w:rsidP="00B87BA1">
            <w:pPr>
              <w:pStyle w:val="BodyText"/>
            </w:pPr>
            <w:r w:rsidRPr="00B87BA1">
              <w:t>1.1</w:t>
            </w:r>
          </w:p>
        </w:tc>
        <w:tc>
          <w:tcPr>
            <w:tcW w:w="51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 xml:space="preserve">Weld </w:t>
            </w:r>
            <w:r w:rsidRPr="00B87BA1">
              <w:t>requirements are identified from specifications and/or drawings.</w:t>
            </w:r>
          </w:p>
        </w:tc>
      </w:tr>
      <w:tr w:rsidTr="00412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87BA1" w:rsidP="00B87BA1">
            <w:pPr>
              <w:pStyle w:val="BodyText"/>
            </w:pPr>
            <w:r w:rsidRPr="00B87BA1">
              <w:t>1.2</w:t>
            </w:r>
          </w:p>
        </w:tc>
        <w:tc>
          <w:tcPr>
            <w:tcW w:w="51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 xml:space="preserve">Materials </w:t>
            </w:r>
            <w:r w:rsidRPr="00B87BA1">
              <w:t xml:space="preserve">are correctly </w:t>
            </w:r>
            <w:r w:rsidRPr="00B87BA1">
              <w:rPr>
                <w:rStyle w:val="SpecialBold"/>
              </w:rPr>
              <w:t>prepared</w:t>
            </w:r>
            <w:r w:rsidRPr="00B87BA1">
              <w:t>.</w:t>
            </w:r>
          </w:p>
        </w:tc>
      </w:tr>
      <w:tr w:rsidTr="00412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1.3</w:t>
            </w:r>
          </w:p>
        </w:tc>
        <w:tc>
          <w:tcPr>
            <w:tcW w:w="51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Materials are assembled/aligned to specification, where required.</w:t>
            </w:r>
          </w:p>
        </w:tc>
      </w:tr>
      <w:tr w:rsidTr="00412B86">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2</w:t>
            </w:r>
          </w:p>
        </w:tc>
        <w:tc>
          <w:tcPr>
            <w:tcW w:w="30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Select welding equipment</w:t>
            </w:r>
          </w:p>
        </w:tc>
        <w:tc>
          <w:tcPr>
            <w:tcW w:w="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2.1</w:t>
            </w:r>
          </w:p>
        </w:tc>
        <w:tc>
          <w:tcPr>
            <w:tcW w:w="51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Welding </w:t>
            </w:r>
            <w:r w:rsidRPr="00B87BA1">
              <w:rPr>
                <w:rStyle w:val="SpecialBold"/>
              </w:rPr>
              <w:t xml:space="preserve">equipment </w:t>
            </w:r>
            <w:r w:rsidRPr="00B87BA1">
              <w:t>and electrodes are identified.</w:t>
            </w:r>
          </w:p>
        </w:tc>
      </w:tr>
      <w:tr w:rsidTr="00412B86">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3</w:t>
            </w:r>
          </w:p>
        </w:tc>
        <w:tc>
          <w:tcPr>
            <w:tcW w:w="30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Assemble and set up welding equipment</w:t>
            </w:r>
          </w:p>
        </w:tc>
        <w:tc>
          <w:tcPr>
            <w:tcW w:w="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3.1</w:t>
            </w:r>
          </w:p>
        </w:tc>
        <w:tc>
          <w:tcPr>
            <w:tcW w:w="51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Welding equipment is assembled and set up.</w:t>
            </w:r>
          </w:p>
        </w:tc>
      </w:tr>
      <w:tr w:rsidTr="00412B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4</w:t>
            </w:r>
          </w:p>
        </w:tc>
        <w:tc>
          <w:tcPr>
            <w:tcW w:w="3000" w:type="dxa"/>
            <w:vMerge w:val="restart"/>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Minimise and rectify distortion</w:t>
            </w:r>
          </w:p>
        </w:tc>
        <w:tc>
          <w:tcPr>
            <w:tcW w:w="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4.1</w:t>
            </w:r>
          </w:p>
        </w:tc>
        <w:tc>
          <w:tcPr>
            <w:tcW w:w="51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Appropriate </w:t>
            </w:r>
            <w:r w:rsidRPr="00B87BA1">
              <w:rPr>
                <w:rStyle w:val="SpecialBold"/>
              </w:rPr>
              <w:t xml:space="preserve">distortion prevention </w:t>
            </w:r>
            <w:r w:rsidRPr="00B87BA1">
              <w:t>measures are selected.</w:t>
            </w:r>
          </w:p>
        </w:tc>
      </w:tr>
      <w:tr w:rsidTr="00412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4.2</w:t>
            </w:r>
          </w:p>
        </w:tc>
        <w:tc>
          <w:tcPr>
            <w:tcW w:w="51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Distortion is </w:t>
            </w:r>
            <w:r w:rsidRPr="00B87BA1">
              <w:rPr>
                <w:rStyle w:val="SpecialBold"/>
              </w:rPr>
              <w:t>rectified</w:t>
            </w:r>
            <w:r w:rsidRPr="00B87BA1">
              <w:t>.</w:t>
            </w:r>
          </w:p>
        </w:tc>
      </w:tr>
      <w:tr w:rsidTr="00412B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5</w:t>
            </w:r>
          </w:p>
        </w:tc>
        <w:tc>
          <w:tcPr>
            <w:tcW w:w="3000" w:type="dxa"/>
            <w:vMerge w:val="restart"/>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Weld to job specification using MMAW</w:t>
            </w:r>
          </w:p>
        </w:tc>
        <w:tc>
          <w:tcPr>
            <w:tcW w:w="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5.1</w:t>
            </w:r>
          </w:p>
        </w:tc>
        <w:tc>
          <w:tcPr>
            <w:tcW w:w="51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Weld deposit is to specification.</w:t>
            </w:r>
          </w:p>
        </w:tc>
      </w:tr>
      <w:tr w:rsidTr="00412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5.2</w:t>
            </w:r>
          </w:p>
        </w:tc>
        <w:tc>
          <w:tcPr>
            <w:tcW w:w="51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Joints are cleaned to specifications.</w:t>
            </w:r>
          </w:p>
        </w:tc>
      </w:tr>
      <w:tr w:rsidTr="00412B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6</w:t>
            </w:r>
          </w:p>
        </w:tc>
        <w:tc>
          <w:tcPr>
            <w:tcW w:w="3000" w:type="dxa"/>
            <w:vMerge w:val="restart"/>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Ensure weld conformance</w:t>
            </w:r>
          </w:p>
        </w:tc>
        <w:tc>
          <w:tcPr>
            <w:tcW w:w="500" w:type="dxa"/>
            <w:tcBorders>
              <w:top w:val="nil"/>
              <w:left w:val="nil"/>
              <w:bottom w:val="nil"/>
              <w:right w:val="nil"/>
            </w:tcBorders>
            <w:tcMar>
              <w:top w:w="0" w:type="dxa"/>
              <w:left w:w="62" w:type="dxa"/>
              <w:bottom w:w="0" w:type="dxa"/>
              <w:right w:w="62" w:type="dxa"/>
            </w:tcMar>
          </w:tcPr>
          <w:p w:rsidR="00000000" w:rsidRPr="00B87BA1" w:rsidP="00B87BA1">
            <w:pPr>
              <w:pStyle w:val="BodyText"/>
            </w:pPr>
            <w:r w:rsidRPr="00B87BA1">
              <w:t>6.1</w:t>
            </w:r>
          </w:p>
        </w:tc>
        <w:tc>
          <w:tcPr>
            <w:tcW w:w="51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 xml:space="preserve">Defects </w:t>
            </w:r>
            <w:r w:rsidRPr="00B87BA1">
              <w:t>are rectified with minimum loss of sound metal using correct techniques and tools.</w:t>
            </w:r>
          </w:p>
        </w:tc>
      </w:tr>
      <w:tr w:rsidTr="00412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6.2</w:t>
            </w:r>
          </w:p>
        </w:tc>
        <w:tc>
          <w:tcPr>
            <w:tcW w:w="51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Weld joints are visually inspected for conformance to specifications.</w:t>
            </w:r>
          </w:p>
        </w:tc>
      </w:tr>
      <w:tr w:rsidTr="00412B86">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7</w:t>
            </w:r>
          </w:p>
        </w:tc>
        <w:tc>
          <w:tcPr>
            <w:tcW w:w="30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Where required, maintain weld records </w:t>
            </w:r>
          </w:p>
        </w:tc>
        <w:tc>
          <w:tcPr>
            <w:tcW w:w="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7.1</w:t>
            </w:r>
          </w:p>
        </w:tc>
        <w:tc>
          <w:tcPr>
            <w:tcW w:w="5100" w:type="dxa"/>
            <w:tcBorders>
              <w:top w:val="nil"/>
              <w:left w:val="nil"/>
              <w:bottom w:val="nil"/>
              <w:right w:val="nil"/>
            </w:tcBorders>
            <w:tcMar>
              <w:top w:w="0" w:type="dxa"/>
              <w:left w:w="62" w:type="dxa"/>
              <w:bottom w:w="0" w:type="dxa"/>
              <w:right w:w="62" w:type="dxa"/>
            </w:tcMar>
          </w:tcPr>
          <w:p w:rsidR="00000000" w:rsidRPr="00B87BA1" w:rsidP="00B87BA1">
            <w:pPr>
              <w:pStyle w:val="BodyText"/>
            </w:pPr>
            <w:r w:rsidRPr="00B87BA1">
              <w:t>Where required, weld records are completed correctly.</w:t>
            </w:r>
          </w:p>
        </w:tc>
      </w:tr>
    </w:tbl>
    <w:p w:rsidR="00000000" w:rsidRPr="00B87BA1" w:rsidP="00B87BA1">
      <w:pPr>
        <w:pStyle w:val="BodyText"/>
      </w:pPr>
    </w:p>
    <w:p w:rsidR="00000000" w:rsidRPr="00B87BA1" w:rsidP="00B87BA1">
      <w:pPr>
        <w:pStyle w:val="AllowPageBreak"/>
      </w:pPr>
    </w:p>
    <w:p w:rsidR="00000000" w:rsidRPr="00B87BA1" w:rsidP="00B87BA1">
      <w:pPr>
        <w:pStyle w:val="Heading1"/>
      </w:pPr>
      <w:bookmarkStart w:id="9" w:name="O_311615"/>
      <w:bookmarkEnd w:id="9"/>
      <w:r w:rsidRPr="00B87BA1">
        <w:t>Required Skills and Knowledge</w:t>
      </w:r>
    </w:p>
    <w:p w:rsidR="00000000" w:rsidRPr="00B87BA1" w:rsidP="00B87BA1">
      <w:pPr>
        <w:pStyle w:val="Heading1"/>
      </w:pPr>
      <w:bookmarkStart w:id="10" w:name="O_311600"/>
      <w:bookmarkEnd w:id="10"/>
      <w:r w:rsidRPr="00B87BA1">
        <w:t>Evidence Guide</w:t>
      </w:r>
    </w:p>
    <w:tbl>
      <w:tblPr>
        <w:tblW w:w="0" w:type="auto"/>
        <w:tblLayout w:type="fixed"/>
        <w:tblCellMar>
          <w:left w:w="62" w:type="dxa"/>
          <w:right w:w="62" w:type="dxa"/>
        </w:tblCellMar>
        <w:tblLook w:val="0000"/>
      </w:tblPr>
      <w:tblGrid>
        <w:gridCol w:w="4500"/>
        <w:gridCol w:w="4500"/>
      </w:tblGrid>
      <w:tr w:rsidTr="00412B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The evidence guide specifies the evidence required to demonstrate achievement in the unit of competency as a whole. It must be read in conjunction with the unit descriptor, performance criteria, range statement and the assessment guidelines for the Metal a</w:t>
            </w:r>
            <w:r w:rsidRPr="00B87BA1">
              <w:t>nd Engineering Training Package</w:t>
            </w:r>
          </w:p>
        </w:tc>
      </w:tr>
      <w:tr w:rsidTr="00412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A person who demonstrates competency in this unit must be able to prepare materials, select and set up the welding equipment, carry out manual metal arc welding and inspect for and corre</w:t>
            </w:r>
            <w:r w:rsidRPr="00B87BA1">
              <w:t xml:space="preserve">ct defects, in a range of fabrication activities. Competency in this unit cannot be claimed until all prerequisites have been satisfied. </w:t>
            </w:r>
          </w:p>
        </w:tc>
      </w:tr>
      <w:tr w:rsidTr="00412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This unit may be assessed on the job, off the job or a combination of both on and off the job. Where assessment occurs off the job, that is the candidate is not in productive work, then an appropriate simulation must be used where the range of conditions r</w:t>
            </w:r>
            <w:r w:rsidRPr="00B87BA1">
              <w:t xml:space="preserve">eflects realistic workplace situations. The competencies covered by this unit would be demonstrated by an individual working alone or as part of a team. The assessment environment should not disadvantage the candidate. </w:t>
            </w:r>
          </w:p>
        </w:tc>
      </w:tr>
      <w:tr w:rsidTr="00412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Interdependent assessment</w:t>
            </w: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This unit</w:t>
            </w:r>
            <w:r w:rsidRPr="00B87BA1">
              <w:t xml:space="preserve"> could be assessed in conjunction with any other units addressing the safety, quality, communication, materials handling, recording and reporting associated with welding using manual metal arc welding process or other units requiring the exercise of the sk</w:t>
            </w:r>
            <w:r w:rsidRPr="00B87BA1">
              <w:t xml:space="preserve">ills and knowledge covered by this unit. </w:t>
            </w:r>
          </w:p>
        </w:tc>
      </w:tr>
      <w:tr w:rsidTr="00412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Assessors should gather a range of evidence that is valid, sufficient, current and authentic. Evidence can be gathered through a variety of ways including direct observation, supervisor's repo</w:t>
            </w:r>
            <w:r w:rsidRPr="00B87BA1">
              <w:t>rts, project work, samples and questioning. Questioning techniques should not require language, literacy and numeracy skills beyond those required in this unit of competency. The candidate must have access to all tools, equipment, materials and documentati</w:t>
            </w:r>
            <w:r w:rsidRPr="00B87BA1">
              <w:t xml:space="preserve">on required. The candidate must be permitted to refer to any relevant workplace procedures, product and manufacturing specifications, codes, standards, manuals and reference materials. </w:t>
            </w:r>
          </w:p>
        </w:tc>
      </w:tr>
      <w:tr w:rsidTr="00412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Consistency of performance</w:t>
            </w: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Assessors must be satisfied that the candi</w:t>
            </w:r>
            <w:r w:rsidRPr="00B87BA1">
              <w:t xml:space="preserve">date can competently and consistently perform all elements of the unit as specified by the criteria, including required knowledge, and be capable of applying the competency in new and different situations and contexts. </w:t>
            </w:r>
          </w:p>
        </w:tc>
      </w:tr>
      <w:tr w:rsidTr="00412B86">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Look for evidence t</w:t>
            </w:r>
            <w:r w:rsidRPr="00B87BA1">
              <w:t xml:space="preserve">hat confirms skills in: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identifying and interpreting appropriate standards e.g. Australian Standard 1554 General Purpose, American Bureau of Shipping (ABS) or equivalent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selecting and using appropriate tools and equipment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using a variety of welding machines and electrodes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identifying and rectifying weld defects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applying techniques for distortion prevention and rectification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cleaning welds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reading and interpreting information on written job instructions, specific</w:t>
            </w:r>
            <w:r w:rsidRPr="00B87BA1">
              <w:t xml:space="preserve">ations, standard operating procedures and drawings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recording routine information related to MMAW onto proformas and standard workplace forms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following oral instructions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measurement skills relating to joint preparation and MMAW </w:t>
            </w:r>
          </w:p>
        </w:tc>
      </w:tr>
      <w:tr w:rsidTr="00412B86">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Required knowledge</w:t>
            </w: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Look for evidence that confirms knowledge of: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material preparation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joint preparations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electrode classification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causes of distortion for materials within the scope of this unit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causes of defects and methods of rectification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the relationships between amperage, electrode and material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safe welding practices </w:t>
            </w:r>
          </w:p>
        </w:tc>
      </w:tr>
      <w:tr w:rsidTr="00412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87BA1" w:rsidP="00B87BA1">
            <w:pPr>
              <w:pStyle w:val="BodyText"/>
            </w:pPr>
            <w:r w:rsidRPr="00B87BA1">
              <w:t xml:space="preserve">use and application of personal protective equipment for MMAW </w:t>
            </w:r>
          </w:p>
        </w:tc>
      </w:tr>
    </w:tbl>
    <w:p w:rsidR="00000000" w:rsidRPr="00B87BA1" w:rsidP="00B87BA1">
      <w:pPr>
        <w:pStyle w:val="BodyText"/>
      </w:pPr>
    </w:p>
    <w:p w:rsidR="00000000" w:rsidRPr="00B87BA1" w:rsidP="00B87BA1">
      <w:pPr>
        <w:pStyle w:val="AllowPageBreak"/>
      </w:pPr>
    </w:p>
    <w:p w:rsidR="00000000" w:rsidRPr="00B87BA1" w:rsidP="00B87BA1">
      <w:pPr>
        <w:pStyle w:val="Heading1"/>
      </w:pPr>
      <w:bookmarkStart w:id="11" w:name="O_311601"/>
      <w:bookmarkEnd w:id="11"/>
      <w:r w:rsidRPr="00B87BA1">
        <w:t>Range Statement</w:t>
      </w:r>
    </w:p>
    <w:tbl>
      <w:tblPr>
        <w:tblW w:w="0" w:type="auto"/>
        <w:tblLayout w:type="fixed"/>
        <w:tblCellMar>
          <w:left w:w="62" w:type="dxa"/>
          <w:right w:w="62" w:type="dxa"/>
        </w:tblCellMar>
        <w:tblLook w:val="0000"/>
      </w:tblPr>
      <w:tblGrid>
        <w:gridCol w:w="4500"/>
        <w:gridCol w:w="4500"/>
      </w:tblGrid>
      <w:tr w:rsidTr="00412B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87BA1" w:rsidP="00B87BA1">
            <w:pPr>
              <w:pStyle w:val="BodyText"/>
            </w:pPr>
            <w:r w:rsidRPr="00B87BA1">
              <w:t>The range statement provides information about the context in which th</w:t>
            </w:r>
            <w:r w:rsidRPr="00B87BA1">
              <w:t xml:space="preserve">e unit of competency is carried out. The variables and scope cater for different work requirements, work practices and knowledge between States, Territories and the Commonwealth, and between organisations and workplaces. The range statement relates to the </w:t>
            </w:r>
            <w:r w:rsidRPr="00B87BA1">
              <w:t xml:space="preserve">unit as a whole and provides a focus for assessment. Text in </w:t>
            </w:r>
            <w:r w:rsidRPr="00B87BA1">
              <w:rPr>
                <w:rStyle w:val="SpecialBold"/>
              </w:rPr>
              <w:t>italics</w:t>
            </w:r>
            <w:r w:rsidRPr="00B87BA1">
              <w:t xml:space="preserve"> in the performance criteria is explained here.</w:t>
            </w:r>
          </w:p>
          <w:p w:rsidR="00000000" w:rsidP="00B87BA1">
            <w:pPr>
              <w:pStyle w:val="BodyText"/>
              <w:rPr>
                <w:lang w:val="en-NZ"/>
              </w:rPr>
            </w:pPr>
            <w:r w:rsidRPr="00B87BA1">
              <w:t xml:space="preserve">The following variables may be present and may include, but are not limited to, the examples listed under the scope. All work is undertaken </w:t>
            </w:r>
            <w:r w:rsidRPr="00B87BA1">
              <w:t>to relevant legislative requirements, where applicable</w:t>
            </w:r>
          </w:p>
        </w:tc>
      </w:tr>
      <w:tr w:rsidTr="00412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B87BA1" w:rsidP="00B87BA1">
            <w:pPr>
              <w:pStyle w:val="BodyText"/>
            </w:pPr>
            <w:r w:rsidRPr="00B87BA1">
              <w:rPr>
                <w:rStyle w:val="SpecialBold"/>
              </w:rPr>
              <w:t>Variable</w:t>
            </w: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Scope</w:t>
            </w:r>
          </w:p>
        </w:tc>
      </w:tr>
      <w:tr w:rsidTr="00412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Welds</w:t>
            </w: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Welds would be fillet and butt in all positions </w:t>
            </w:r>
          </w:p>
        </w:tc>
      </w:tr>
      <w:tr w:rsidTr="00412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Materials</w:t>
            </w: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Materials used would include carbon or stainless steel </w:t>
            </w:r>
          </w:p>
        </w:tc>
      </w:tr>
      <w:tr w:rsidTr="00412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Prepared</w:t>
            </w: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Preparation of materials including preheating, setting up of jigs, fixtures, clamps, etc., joint preparation e.g. bevelling </w:t>
            </w:r>
          </w:p>
        </w:tc>
      </w:tr>
      <w:tr w:rsidTr="00412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Equipment</w:t>
            </w: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AC or DC welding machines </w:t>
            </w:r>
          </w:p>
        </w:tc>
      </w:tr>
      <w:tr w:rsidTr="00412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Distortion prevention measures</w:t>
            </w:r>
          </w:p>
        </w:tc>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t xml:space="preserve">Include preheating, setting up of jigs, fixtures, clamps, etc. </w:t>
            </w:r>
          </w:p>
        </w:tc>
      </w:tr>
      <w:tr w:rsidTr="00412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Rectified</w:t>
            </w:r>
          </w:p>
        </w:tc>
        <w:tc>
          <w:tcPr>
            <w:tcW w:w="4500" w:type="dxa"/>
            <w:tcBorders>
              <w:top w:val="nil"/>
              <w:left w:val="nil"/>
              <w:bottom w:val="nil"/>
              <w:right w:val="nil"/>
            </w:tcBorders>
            <w:tcMar>
              <w:top w:w="0" w:type="dxa"/>
              <w:left w:w="62" w:type="dxa"/>
              <w:bottom w:w="0" w:type="dxa"/>
              <w:right w:w="62" w:type="dxa"/>
            </w:tcMar>
          </w:tcPr>
          <w:p w:rsidR="00000000" w:rsidRPr="00B87BA1" w:rsidP="00B87BA1">
            <w:pPr>
              <w:pStyle w:val="BodyText"/>
            </w:pPr>
            <w:r w:rsidRPr="00B87BA1">
              <w:t>Remedial action using thermal processes including oxy acetylene and air arc equipment</w:t>
            </w:r>
          </w:p>
          <w:p w:rsidR="00000000" w:rsidP="00B87BA1">
            <w:pPr>
              <w:pStyle w:val="BodyText"/>
              <w:rPr>
                <w:lang w:val="en-NZ"/>
              </w:rPr>
            </w:pPr>
            <w:r w:rsidRPr="00B87BA1">
              <w:t xml:space="preserve">Grinding devices may also be used </w:t>
            </w:r>
          </w:p>
        </w:tc>
      </w:tr>
      <w:tr w:rsidTr="00412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BA1">
            <w:pPr>
              <w:pStyle w:val="BodyText"/>
              <w:rPr>
                <w:lang w:val="en-NZ"/>
              </w:rPr>
            </w:pPr>
            <w:r w:rsidRPr="00B87BA1">
              <w:rPr>
                <w:rStyle w:val="SpecialBold"/>
              </w:rPr>
              <w:t>Defects</w:t>
            </w:r>
          </w:p>
        </w:tc>
        <w:tc>
          <w:tcPr>
            <w:tcW w:w="4500" w:type="dxa"/>
            <w:tcBorders>
              <w:top w:val="nil"/>
              <w:left w:val="nil"/>
              <w:bottom w:val="nil"/>
              <w:right w:val="nil"/>
            </w:tcBorders>
            <w:tcMar>
              <w:top w:w="0" w:type="dxa"/>
              <w:left w:w="62" w:type="dxa"/>
              <w:bottom w:w="0" w:type="dxa"/>
              <w:right w:w="62" w:type="dxa"/>
            </w:tcMar>
          </w:tcPr>
          <w:p w:rsidR="00000000" w:rsidRPr="00B87BA1" w:rsidP="00B87BA1">
            <w:pPr>
              <w:pStyle w:val="BodyText"/>
            </w:pPr>
            <w:r w:rsidRPr="00B87BA1">
              <w:t>Porosity, slag inclusions, discontinuities, lack of</w:t>
            </w:r>
            <w:r w:rsidRPr="00B87BA1">
              <w:t xml:space="preserve"> penetration, undercut </w:t>
            </w:r>
          </w:p>
        </w:tc>
      </w:tr>
    </w:tbl>
    <w:p w:rsidR="00000000" w:rsidRPr="00B87BA1" w:rsidP="00B87BA1">
      <w:pPr>
        <w:pStyle w:val="BodyText"/>
      </w:pPr>
    </w:p>
    <w:p w:rsidR="00000000" w:rsidRPr="00B87BA1" w:rsidP="00B87BA1">
      <w:pPr>
        <w:pStyle w:val="AllowPageBreak"/>
      </w:pPr>
    </w:p>
    <w:p w:rsidR="00000000" w:rsidRPr="00B87BA1" w:rsidP="00B87BA1">
      <w:pPr>
        <w:pStyle w:val="Heading1"/>
      </w:pPr>
      <w:bookmarkStart w:id="12" w:name="O_311602"/>
      <w:bookmarkEnd w:id="12"/>
      <w:r w:rsidRPr="00B87BA1">
        <w:t>Unit Sector(s)</w:t>
      </w:r>
    </w:p>
    <w:p w:rsidR="00000000" w:rsidRPr="00B87BA1" w:rsidP="00B87BA1">
      <w:pPr>
        <w:pStyle w:val="Heading1"/>
      </w:pPr>
      <w:bookmarkStart w:id="13" w:name="O_311603"/>
      <w:bookmarkEnd w:id="13"/>
      <w:r w:rsidRPr="00B87BA1">
        <w:t>Band</w:t>
      </w:r>
    </w:p>
    <w:p w:rsidR="00000000" w:rsidRPr="00B87BA1" w:rsidP="00B87BA1">
      <w:pPr>
        <w:pStyle w:val="BodyText"/>
      </w:pPr>
      <w:r w:rsidRPr="00B87BA1">
        <w:t>A</w:t>
      </w:r>
    </w:p>
    <w:p w:rsidR="00000000" w:rsidRPr="00B87BA1" w:rsidP="00B87BA1">
      <w:pPr>
        <w:pStyle w:val="AllowPageBreak"/>
      </w:pPr>
    </w:p>
    <w:p w:rsidR="00000000" w:rsidRPr="00B87BA1" w:rsidP="00B87BA1">
      <w:pPr>
        <w:pStyle w:val="Heading1"/>
      </w:pPr>
      <w:bookmarkStart w:id="14" w:name="O_311604"/>
      <w:bookmarkEnd w:id="14"/>
      <w:r w:rsidRPr="00B87BA1">
        <w:t>Competency field</w:t>
      </w:r>
    </w:p>
    <w:p w:rsidR="00000000" w:rsidRPr="00B87BA1" w:rsidP="00B87BA1">
      <w:pPr>
        <w:pStyle w:val="BodyText"/>
      </w:pPr>
      <w:r w:rsidRPr="00B87BA1">
        <w:t>Fabrication</w:t>
      </w:r>
    </w:p>
    <w:p w:rsidR="00000000" w:rsidRPr="00B87BA1" w:rsidP="00B87BA1">
      <w:pPr>
        <w:pStyle w:val="AllowPageBreak"/>
      </w:pPr>
    </w:p>
    <w:p w:rsidR="00000000" w:rsidRPr="00B87BA1" w:rsidP="00B87BA1">
      <w:pPr>
        <w:pStyle w:val="Heading1"/>
      </w:pPr>
      <w:bookmarkStart w:id="15" w:name="O_311605"/>
      <w:bookmarkEnd w:id="15"/>
      <w:r w:rsidRPr="00B87BA1">
        <w:t>Related units</w:t>
      </w:r>
    </w:p>
    <w:p w:rsidR="00000000" w:rsidRPr="00B87BA1" w:rsidP="00B87BA1">
      <w:pPr>
        <w:pStyle w:val="BodyText"/>
      </w:pPr>
      <w:r w:rsidRPr="00B87BA1">
        <w:t xml:space="preserve">Where thermal processes are required, the appropriate specialisation units should be selected. </w:t>
      </w:r>
    </w:p>
    <w:p w:rsidR="00000000" w:rsidRPr="00B87BA1" w:rsidP="00B87BA1">
      <w:pPr>
        <w:pStyle w:val="AllowPageBreak"/>
      </w:pPr>
    </w:p>
    <w:p w:rsidR="00000000" w:rsidRPr="00B87BA1" w:rsidP="00B87BA1">
      <w:pPr>
        <w:pStyle w:val="Heading1"/>
      </w:pPr>
      <w:bookmarkStart w:id="16" w:name="O_311607"/>
      <w:bookmarkEnd w:id="16"/>
      <w:r w:rsidRPr="00B87BA1">
        <w:t>Unit Weight</w:t>
      </w:r>
    </w:p>
    <w:p w:rsidR="00000000" w:rsidRPr="00B87BA1" w:rsidP="00B87BA1">
      <w:pPr>
        <w:pStyle w:val="BodyText"/>
      </w:pPr>
      <w:r w:rsidRPr="00B87BA1">
        <w:t>4</w:t>
      </w:r>
    </w:p>
    <w:p w:rsidR="00000000" w:rsidRPr="00B87BA1" w:rsidP="00B87BA1"/>
    <w:sectPr w:rsidSect="00B87B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B86" w:rsidP="00412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B86" w:rsidP="00B87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12B86" w:rsidP="00B87B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12B86" w:rsidP="00B87B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B86" w:rsidP="00412B8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B86" w:rsidP="00B87BA1">
    <w:pPr>
      <w:pStyle w:val="Header"/>
      <w:framePr w:wrap="around"/>
    </w:pPr>
    <w:r>
      <w:fldChar w:fldCharType="begin"/>
    </w:r>
    <w:r>
      <w:instrText xml:space="preserve"> TITLE   \* MERGEFORMAT </w:instrText>
    </w:r>
    <w:r>
      <w:fldChar w:fldCharType="separate"/>
    </w:r>
    <w:r>
      <w:t>MEM05015C Weld using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2B86" w:rsidP="00B87B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B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7BA1"/>
    <w:pPr>
      <w:spacing w:before="360" w:after="60"/>
      <w:outlineLvl w:val="0"/>
    </w:pPr>
    <w:rPr>
      <w:sz w:val="32"/>
    </w:rPr>
  </w:style>
  <w:style w:type="paragraph" w:styleId="Heading2">
    <w:name w:val="heading 2"/>
    <w:basedOn w:val="HeadingBase"/>
    <w:next w:val="BodyText"/>
    <w:link w:val="Heading2Char"/>
    <w:qFormat/>
    <w:rsid w:val="00B87BA1"/>
    <w:pPr>
      <w:keepLines/>
      <w:spacing w:before="240" w:after="120"/>
      <w:outlineLvl w:val="1"/>
    </w:pPr>
    <w:rPr>
      <w:sz w:val="28"/>
      <w:szCs w:val="40"/>
    </w:rPr>
  </w:style>
  <w:style w:type="paragraph" w:styleId="Heading3">
    <w:name w:val="heading 3"/>
    <w:basedOn w:val="HeadingBase"/>
    <w:next w:val="BodyText"/>
    <w:link w:val="Heading3Char"/>
    <w:qFormat/>
    <w:rsid w:val="00B87BA1"/>
    <w:pPr>
      <w:spacing w:before="180" w:after="120"/>
      <w:outlineLvl w:val="2"/>
    </w:pPr>
    <w:rPr>
      <w:spacing w:val="-10"/>
      <w:kern w:val="32"/>
    </w:rPr>
  </w:style>
  <w:style w:type="paragraph" w:styleId="Heading4">
    <w:name w:val="heading 4"/>
    <w:basedOn w:val="HeadingBase"/>
    <w:next w:val="BodyText"/>
    <w:link w:val="Heading4Char"/>
    <w:qFormat/>
    <w:rsid w:val="00B87BA1"/>
    <w:pPr>
      <w:spacing w:before="160" w:after="120"/>
      <w:outlineLvl w:val="3"/>
    </w:pPr>
    <w:rPr>
      <w:sz w:val="22"/>
    </w:rPr>
  </w:style>
  <w:style w:type="paragraph" w:styleId="Heading5">
    <w:name w:val="heading 5"/>
    <w:basedOn w:val="HeadingBase"/>
    <w:next w:val="Normal"/>
    <w:link w:val="Heading5Char"/>
    <w:qFormat/>
    <w:rsid w:val="00B87BA1"/>
    <w:pPr>
      <w:spacing w:before="80"/>
      <w:outlineLvl w:val="4"/>
    </w:pPr>
    <w:rPr>
      <w:color w:val="918585"/>
      <w:sz w:val="20"/>
    </w:rPr>
  </w:style>
  <w:style w:type="paragraph" w:styleId="Heading6">
    <w:name w:val="heading 6"/>
    <w:basedOn w:val="HeadingBase"/>
    <w:next w:val="Normal"/>
    <w:link w:val="Heading6Char"/>
    <w:qFormat/>
    <w:rsid w:val="00B87BA1"/>
    <w:pPr>
      <w:spacing w:before="60"/>
      <w:outlineLvl w:val="5"/>
    </w:pPr>
    <w:rPr>
      <w:color w:val="918585"/>
      <w:sz w:val="20"/>
    </w:rPr>
  </w:style>
  <w:style w:type="paragraph" w:styleId="Heading7">
    <w:name w:val="heading 7"/>
    <w:basedOn w:val="Normal"/>
    <w:next w:val="Normal"/>
    <w:link w:val="Heading7Char"/>
    <w:qFormat/>
    <w:rsid w:val="00B87BA1"/>
    <w:pPr>
      <w:ind w:left="720"/>
      <w:outlineLvl w:val="6"/>
    </w:pPr>
    <w:rPr>
      <w:i/>
    </w:rPr>
  </w:style>
  <w:style w:type="paragraph" w:styleId="Heading8">
    <w:name w:val="heading 8"/>
    <w:basedOn w:val="Normal"/>
    <w:next w:val="Normal"/>
    <w:link w:val="Heading8Char"/>
    <w:qFormat/>
    <w:rsid w:val="00B87BA1"/>
    <w:pPr>
      <w:ind w:left="720"/>
      <w:outlineLvl w:val="7"/>
    </w:pPr>
    <w:rPr>
      <w:i/>
    </w:rPr>
  </w:style>
  <w:style w:type="paragraph" w:styleId="Heading9">
    <w:name w:val="heading 9"/>
    <w:basedOn w:val="Normal"/>
    <w:next w:val="Normal"/>
    <w:link w:val="Heading9Char"/>
    <w:qFormat/>
    <w:rsid w:val="00B87BA1"/>
    <w:pPr>
      <w:ind w:left="720"/>
      <w:outlineLvl w:val="8"/>
    </w:pPr>
    <w:rPr>
      <w:i/>
    </w:rPr>
  </w:style>
  <w:style w:type="character" w:default="1" w:styleId="DefaultParagraphFont">
    <w:name w:val="Default Paragraph Font"/>
    <w:uiPriority w:val="1"/>
    <w:unhideWhenUsed/>
    <w:rsid w:val="00B87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BA1"/>
  </w:style>
  <w:style w:type="character" w:customStyle="1" w:styleId="Heading1Char">
    <w:name w:val="Heading 1 Char"/>
    <w:link w:val="Heading1"/>
    <w:rsid w:val="00B87BA1"/>
    <w:rPr>
      <w:rFonts w:ascii="Times New Roman" w:eastAsia="Times New Roman" w:hAnsi="Times New Roman" w:cs="Times New Roman"/>
      <w:b/>
      <w:sz w:val="32"/>
      <w:szCs w:val="20"/>
      <w:lang w:eastAsia="en-US"/>
    </w:rPr>
  </w:style>
  <w:style w:type="paragraph" w:styleId="BodyText">
    <w:name w:val="Body Text"/>
    <w:basedOn w:val="Normal"/>
    <w:link w:val="BodyTextChar"/>
    <w:rsid w:val="00B87BA1"/>
    <w:pPr>
      <w:spacing w:before="120" w:after="120"/>
      <w:contextualSpacing/>
    </w:pPr>
    <w:rPr>
      <w:rFonts w:ascii="Times New Roman" w:hAnsi="Times New Roman"/>
      <w:sz w:val="24"/>
      <w:szCs w:val="22"/>
    </w:rPr>
  </w:style>
  <w:style w:type="character" w:customStyle="1" w:styleId="BodyTextChar">
    <w:name w:val="Body Text Char"/>
    <w:link w:val="BodyText"/>
    <w:rsid w:val="00B87BA1"/>
    <w:rPr>
      <w:rFonts w:ascii="Times New Roman" w:eastAsia="Times New Roman" w:hAnsi="Times New Roman" w:cs="Times New Roman"/>
      <w:sz w:val="24"/>
      <w:lang w:val="en-US" w:eastAsia="en-US"/>
    </w:rPr>
  </w:style>
  <w:style w:type="paragraph" w:styleId="Footer">
    <w:name w:val="footer"/>
    <w:basedOn w:val="Normal"/>
    <w:link w:val="FooterChar"/>
    <w:rsid w:val="00B87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87BA1"/>
    <w:rPr>
      <w:rFonts w:ascii="Times New Roman" w:eastAsia="Times New Roman" w:hAnsi="Times New Roman" w:cs="Times New Roman"/>
      <w:sz w:val="16"/>
      <w:lang w:val="en-US" w:eastAsia="en-US"/>
    </w:rPr>
  </w:style>
  <w:style w:type="character" w:customStyle="1" w:styleId="SpecialBold">
    <w:name w:val="Special Bold"/>
    <w:rsid w:val="00B87BA1"/>
    <w:rPr>
      <w:b/>
      <w:spacing w:val="0"/>
    </w:rPr>
  </w:style>
  <w:style w:type="paragraph" w:styleId="Header">
    <w:name w:val="header"/>
    <w:basedOn w:val="Normal"/>
    <w:link w:val="HeaderChar"/>
    <w:rsid w:val="00B87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87B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7BA1"/>
    <w:pPr>
      <w:spacing w:before="240" w:after="120"/>
      <w:outlineLvl w:val="0"/>
    </w:pPr>
    <w:rPr>
      <w:rFonts w:ascii="Times New Roman" w:hAnsi="Times New Roman"/>
      <w:b/>
      <w:sz w:val="28"/>
    </w:rPr>
  </w:style>
  <w:style w:type="paragraph" w:customStyle="1" w:styleId="AllowPageBreak">
    <w:name w:val="AllowPageBreak"/>
    <w:rsid w:val="00B87B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87BA1"/>
    <w:rPr>
      <w:rFonts w:ascii="Times New Roman" w:eastAsia="Times New Roman" w:hAnsi="Times New Roman" w:cs="Times New Roman"/>
      <w:b/>
      <w:sz w:val="28"/>
      <w:szCs w:val="40"/>
      <w:lang w:eastAsia="en-US"/>
    </w:rPr>
  </w:style>
  <w:style w:type="character" w:customStyle="1" w:styleId="Heading3Char">
    <w:name w:val="Heading 3 Char"/>
    <w:link w:val="Heading3"/>
    <w:rsid w:val="00B87BA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87BA1"/>
    <w:rPr>
      <w:rFonts w:ascii="Times New Roman" w:eastAsia="Times New Roman" w:hAnsi="Times New Roman" w:cs="Times New Roman"/>
      <w:b/>
      <w:szCs w:val="20"/>
      <w:lang w:eastAsia="en-US"/>
    </w:rPr>
  </w:style>
  <w:style w:type="character" w:customStyle="1" w:styleId="Heading5Char">
    <w:name w:val="Heading 5 Char"/>
    <w:link w:val="Heading5"/>
    <w:rsid w:val="00B87BA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87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B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7B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7BA1"/>
    <w:rPr>
      <w:rFonts w:ascii="Courier New" w:eastAsia="Times New Roman" w:hAnsi="Courier New" w:cs="Times New Roman"/>
      <w:i/>
      <w:szCs w:val="20"/>
      <w:lang w:val="en-US" w:eastAsia="en-US"/>
    </w:rPr>
  </w:style>
  <w:style w:type="paragraph" w:customStyle="1" w:styleId="HeadingBase">
    <w:name w:val="Heading Base"/>
    <w:rsid w:val="00B87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BA1"/>
    <w:pPr>
      <w:tabs>
        <w:tab w:val="right" w:leader="dot" w:pos="9072"/>
      </w:tabs>
      <w:ind w:left="567"/>
    </w:pPr>
    <w:rPr>
      <w:szCs w:val="22"/>
    </w:rPr>
  </w:style>
  <w:style w:type="paragraph" w:customStyle="1" w:styleId="TOCBase">
    <w:name w:val="TOC Base"/>
    <w:rsid w:val="00B87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BA1"/>
    <w:pPr>
      <w:tabs>
        <w:tab w:val="right" w:leader="dot" w:pos="9072"/>
      </w:tabs>
      <w:spacing w:before="40" w:after="40"/>
      <w:ind w:left="284"/>
    </w:pPr>
    <w:rPr>
      <w:rFonts w:ascii="Times New Roman" w:hAnsi="Times New Roman"/>
    </w:rPr>
  </w:style>
  <w:style w:type="paragraph" w:styleId="TOC1">
    <w:name w:val="toc 1"/>
    <w:basedOn w:val="TOCBase"/>
    <w:next w:val="Normal"/>
    <w:rsid w:val="00B87B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7BA1"/>
    <w:pPr>
      <w:spacing w:before="5040"/>
      <w:jc w:val="center"/>
    </w:pPr>
    <w:rPr>
      <w:sz w:val="48"/>
      <w:szCs w:val="72"/>
      <w:lang w:val="en-US"/>
    </w:rPr>
  </w:style>
  <w:style w:type="character" w:customStyle="1" w:styleId="TitleChar">
    <w:name w:val="Title Char"/>
    <w:link w:val="Title"/>
    <w:rsid w:val="00B87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BA1"/>
    <w:pPr>
      <w:tabs>
        <w:tab w:val="left" w:pos="3600"/>
        <w:tab w:val="left" w:pos="3958"/>
      </w:tabs>
    </w:pPr>
  </w:style>
  <w:style w:type="paragraph" w:styleId="List">
    <w:name w:val="List"/>
    <w:basedOn w:val="BodyText"/>
    <w:next w:val="BodyText"/>
    <w:rsid w:val="00B87BA1"/>
    <w:pPr>
      <w:tabs>
        <w:tab w:val="left" w:pos="340"/>
      </w:tabs>
      <w:spacing w:before="60" w:after="60"/>
      <w:ind w:left="340" w:hanging="340"/>
    </w:pPr>
  </w:style>
  <w:style w:type="paragraph" w:styleId="ListBullet">
    <w:name w:val="List Bullet"/>
    <w:basedOn w:val="List"/>
    <w:rsid w:val="00B87BA1"/>
    <w:pPr>
      <w:numPr>
        <w:numId w:val="11"/>
      </w:numPr>
      <w:tabs>
        <w:tab w:val="clear" w:pos="340"/>
      </w:tabs>
      <w:spacing w:before="40" w:after="40"/>
    </w:pPr>
  </w:style>
  <w:style w:type="paragraph" w:customStyle="1" w:styleId="Note">
    <w:name w:val="Note"/>
    <w:basedOn w:val="BodyText"/>
    <w:rsid w:val="00B87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BA1"/>
    <w:pPr>
      <w:framePr w:wrap="auto" w:hAnchor="text" w:y="6049"/>
    </w:pPr>
    <w:rPr>
      <w:color w:val="000000"/>
      <w:sz w:val="40"/>
    </w:rPr>
  </w:style>
  <w:style w:type="paragraph" w:customStyle="1" w:styleId="TOCTitle">
    <w:name w:val="TOCTitle"/>
    <w:basedOn w:val="Heading1"/>
    <w:rsid w:val="00B87BA1"/>
    <w:pPr>
      <w:spacing w:after="240"/>
      <w:jc w:val="center"/>
      <w:outlineLvl w:val="9"/>
    </w:pPr>
    <w:rPr>
      <w:caps/>
    </w:rPr>
  </w:style>
  <w:style w:type="paragraph" w:customStyle="1" w:styleId="Version">
    <w:name w:val="Version"/>
    <w:rsid w:val="00B87B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7BA1"/>
    <w:pPr>
      <w:numPr>
        <w:numId w:val="12"/>
      </w:numPr>
      <w:tabs>
        <w:tab w:val="clear" w:pos="680"/>
      </w:tabs>
    </w:pPr>
  </w:style>
  <w:style w:type="paragraph" w:styleId="Index1">
    <w:name w:val="index 1"/>
    <w:basedOn w:val="Normal"/>
    <w:next w:val="Normal"/>
    <w:semiHidden/>
    <w:rsid w:val="00B87BA1"/>
    <w:pPr>
      <w:keepNext w:val="0"/>
      <w:tabs>
        <w:tab w:val="right" w:pos="4176"/>
      </w:tabs>
      <w:ind w:left="198" w:hanging="198"/>
    </w:pPr>
    <w:rPr>
      <w:rFonts w:ascii="Garamond" w:hAnsi="Garamond"/>
    </w:rPr>
  </w:style>
  <w:style w:type="paragraph" w:styleId="IndexHeading">
    <w:name w:val="index heading"/>
    <w:basedOn w:val="Normal"/>
    <w:next w:val="Index1"/>
    <w:semiHidden/>
    <w:rsid w:val="00B87BA1"/>
    <w:pPr>
      <w:spacing w:before="120" w:after="120"/>
    </w:pPr>
    <w:rPr>
      <w:rFonts w:ascii="Arial" w:hAnsi="Arial"/>
      <w:b/>
      <w:color w:val="918585"/>
      <w:sz w:val="24"/>
    </w:rPr>
  </w:style>
  <w:style w:type="paragraph" w:customStyle="1" w:styleId="Chapter">
    <w:name w:val="Chapter"/>
    <w:basedOn w:val="Normal"/>
    <w:rsid w:val="00B87BA1"/>
    <w:pPr>
      <w:spacing w:before="240"/>
    </w:pPr>
    <w:rPr>
      <w:rFonts w:ascii="Times New Roman" w:hAnsi="Times New Roman"/>
      <w:smallCaps/>
      <w:spacing w:val="80"/>
      <w:sz w:val="28"/>
    </w:rPr>
  </w:style>
  <w:style w:type="paragraph" w:customStyle="1" w:styleId="InChapter">
    <w:name w:val="InChapter"/>
    <w:basedOn w:val="Heading3"/>
    <w:rsid w:val="00B87BA1"/>
    <w:pPr>
      <w:spacing w:after="240"/>
      <w:outlineLvl w:val="9"/>
    </w:pPr>
    <w:rPr>
      <w:noProof/>
    </w:rPr>
  </w:style>
  <w:style w:type="paragraph" w:styleId="Index2">
    <w:name w:val="index 2"/>
    <w:basedOn w:val="Normal"/>
    <w:next w:val="Normal"/>
    <w:semiHidden/>
    <w:rsid w:val="00B87BA1"/>
    <w:pPr>
      <w:tabs>
        <w:tab w:val="right" w:pos="4176"/>
      </w:tabs>
      <w:ind w:left="568" w:hanging="284"/>
    </w:pPr>
    <w:rPr>
      <w:rFonts w:ascii="Garamond" w:hAnsi="Garamond"/>
    </w:rPr>
  </w:style>
  <w:style w:type="paragraph" w:customStyle="1" w:styleId="Byline">
    <w:name w:val="Byline"/>
    <w:rsid w:val="00B87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BA1"/>
    <w:pPr>
      <w:tabs>
        <w:tab w:val="clear" w:pos="3600"/>
        <w:tab w:val="clear" w:pos="3958"/>
      </w:tabs>
      <w:jc w:val="right"/>
    </w:pPr>
  </w:style>
  <w:style w:type="character" w:styleId="Emphasis">
    <w:name w:val="Emphasis"/>
    <w:qFormat/>
    <w:rsid w:val="00B87BA1"/>
    <w:rPr>
      <w:i/>
    </w:rPr>
  </w:style>
  <w:style w:type="paragraph" w:styleId="Caption">
    <w:name w:val="caption"/>
    <w:basedOn w:val="BodyText"/>
    <w:next w:val="Normal"/>
    <w:qFormat/>
    <w:rsid w:val="00B87BA1"/>
    <w:pPr>
      <w:framePr w:w="2268" w:hSpace="181" w:vSpace="181" w:wrap="around" w:vAnchor="text" w:hAnchor="page" w:x="1135" w:y="285" w:anchorLock="1"/>
    </w:pPr>
    <w:rPr>
      <w:i/>
    </w:rPr>
  </w:style>
  <w:style w:type="paragraph" w:customStyle="1" w:styleId="MiniTOCTitle">
    <w:name w:val="MiniTOCTitle"/>
    <w:basedOn w:val="Heading4"/>
    <w:rsid w:val="00B87BA1"/>
    <w:pPr>
      <w:spacing w:before="240"/>
      <w:outlineLvl w:val="9"/>
    </w:pPr>
    <w:rPr>
      <w:noProof/>
      <w:sz w:val="24"/>
    </w:rPr>
  </w:style>
  <w:style w:type="paragraph" w:customStyle="1" w:styleId="MiniTOCItem">
    <w:name w:val="MiniTOCItem"/>
    <w:basedOn w:val="ListBullet"/>
    <w:rsid w:val="00B87BA1"/>
    <w:pPr>
      <w:numPr>
        <w:numId w:val="0"/>
      </w:numPr>
      <w:tabs>
        <w:tab w:val="right" w:leader="dot" w:pos="6521"/>
      </w:tabs>
      <w:spacing w:before="0" w:after="0"/>
    </w:pPr>
  </w:style>
  <w:style w:type="paragraph" w:customStyle="1" w:styleId="TOFTitle">
    <w:name w:val="TOFTitle"/>
    <w:basedOn w:val="TOCTitle"/>
    <w:rsid w:val="00B87BA1"/>
  </w:style>
  <w:style w:type="paragraph" w:styleId="TableofFigures">
    <w:name w:val="table of figures"/>
    <w:basedOn w:val="Normal"/>
    <w:next w:val="Normal"/>
    <w:semiHidden/>
    <w:rsid w:val="00B87BA1"/>
    <w:pPr>
      <w:tabs>
        <w:tab w:val="right" w:leader="dot" w:pos="9072"/>
      </w:tabs>
      <w:ind w:left="970" w:hanging="403"/>
    </w:pPr>
    <w:rPr>
      <w:rFonts w:ascii="Times New Roman" w:hAnsi="Times New Roman"/>
      <w:b/>
    </w:rPr>
  </w:style>
  <w:style w:type="paragraph" w:styleId="ListNumber">
    <w:name w:val="List Number"/>
    <w:basedOn w:val="List"/>
    <w:rsid w:val="00B87BA1"/>
    <w:pPr>
      <w:numPr>
        <w:numId w:val="9"/>
      </w:numPr>
    </w:pPr>
  </w:style>
  <w:style w:type="character" w:customStyle="1" w:styleId="WingdingSymbols">
    <w:name w:val="Wingding Symbols"/>
    <w:rsid w:val="00B87BA1"/>
    <w:rPr>
      <w:rFonts w:ascii="Wingdings" w:hAnsi="Wingdings"/>
    </w:rPr>
  </w:style>
  <w:style w:type="paragraph" w:customStyle="1" w:styleId="TableHeading">
    <w:name w:val="Table Heading"/>
    <w:basedOn w:val="HeadingBase"/>
    <w:rsid w:val="00B87BA1"/>
    <w:pPr>
      <w:keepLines/>
      <w:pBdr>
        <w:bottom w:val="single" w:sz="6" w:space="1" w:color="918585"/>
      </w:pBdr>
      <w:spacing w:before="240"/>
    </w:pPr>
  </w:style>
  <w:style w:type="character" w:customStyle="1" w:styleId="HotSpot">
    <w:name w:val="HotSpot"/>
    <w:rsid w:val="00B87BA1"/>
    <w:rPr>
      <w:color w:val="0033CC"/>
      <w:u w:val="none"/>
    </w:rPr>
  </w:style>
  <w:style w:type="paragraph" w:customStyle="1" w:styleId="BodyTextRight">
    <w:name w:val="Body Text Right"/>
    <w:basedOn w:val="BodyText"/>
    <w:rsid w:val="00B87BA1"/>
    <w:pPr>
      <w:spacing w:before="0" w:after="0"/>
      <w:jc w:val="right"/>
    </w:pPr>
  </w:style>
  <w:style w:type="paragraph" w:styleId="Index3">
    <w:name w:val="index 3"/>
    <w:basedOn w:val="ListNumber2"/>
    <w:next w:val="Normal"/>
    <w:semiHidden/>
    <w:rsid w:val="00B87BA1"/>
    <w:pPr>
      <w:numPr>
        <w:numId w:val="0"/>
      </w:numPr>
      <w:tabs>
        <w:tab w:val="right" w:leader="dot" w:pos="4176"/>
      </w:tabs>
    </w:pPr>
  </w:style>
  <w:style w:type="paragraph" w:styleId="ListNumber2">
    <w:name w:val="List Number 2"/>
    <w:basedOn w:val="List2"/>
    <w:rsid w:val="00B87BA1"/>
    <w:pPr>
      <w:numPr>
        <w:numId w:val="8"/>
      </w:numPr>
      <w:tabs>
        <w:tab w:val="clear" w:pos="1060"/>
      </w:tabs>
    </w:pPr>
  </w:style>
  <w:style w:type="paragraph" w:customStyle="1" w:styleId="MarginNote">
    <w:name w:val="Margin Note"/>
    <w:basedOn w:val="BodyText"/>
    <w:rsid w:val="00B87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87B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7BA1"/>
    <w:rPr>
      <w:sz w:val="32"/>
    </w:rPr>
  </w:style>
  <w:style w:type="paragraph" w:customStyle="1" w:styleId="HeadingProcedure">
    <w:name w:val="Heading Procedure"/>
    <w:basedOn w:val="HeadingBase"/>
    <w:next w:val="Normal"/>
    <w:rsid w:val="00B87BA1"/>
    <w:pPr>
      <w:tabs>
        <w:tab w:val="left" w:pos="0"/>
      </w:tabs>
      <w:spacing w:before="120" w:after="60"/>
    </w:pPr>
    <w:rPr>
      <w:i/>
      <w:color w:val="918585"/>
      <w:sz w:val="22"/>
    </w:rPr>
  </w:style>
  <w:style w:type="paragraph" w:customStyle="1" w:styleId="TableBodyText">
    <w:name w:val="Table Body Text"/>
    <w:basedOn w:val="BodyText"/>
    <w:rsid w:val="00B87BA1"/>
    <w:pPr>
      <w:spacing w:before="60" w:after="60"/>
    </w:pPr>
  </w:style>
  <w:style w:type="paragraph" w:styleId="ListContinue">
    <w:name w:val="List Continue"/>
    <w:basedOn w:val="List"/>
    <w:rsid w:val="00B87BA1"/>
    <w:pPr>
      <w:ind w:firstLine="0"/>
    </w:pPr>
  </w:style>
  <w:style w:type="paragraph" w:customStyle="1" w:styleId="ListNote">
    <w:name w:val="List Note"/>
    <w:basedOn w:val="List"/>
    <w:rsid w:val="00B87BA1"/>
    <w:pPr>
      <w:pBdr>
        <w:top w:val="single" w:sz="6" w:space="2" w:color="918585"/>
        <w:bottom w:val="single" w:sz="6" w:space="2" w:color="918585"/>
      </w:pBdr>
      <w:tabs>
        <w:tab w:val="left" w:pos="1021"/>
      </w:tabs>
      <w:ind w:firstLine="0"/>
    </w:pPr>
  </w:style>
  <w:style w:type="paragraph" w:customStyle="1" w:styleId="Warning">
    <w:name w:val="Warning"/>
    <w:basedOn w:val="BodyText"/>
    <w:rsid w:val="00B87BA1"/>
    <w:pPr>
      <w:shd w:val="clear" w:color="auto" w:fill="D9D9D9"/>
      <w:tabs>
        <w:tab w:val="left" w:pos="992"/>
      </w:tabs>
      <w:ind w:left="119" w:right="119"/>
    </w:pPr>
    <w:rPr>
      <w:sz w:val="20"/>
    </w:rPr>
  </w:style>
  <w:style w:type="paragraph" w:customStyle="1" w:styleId="MarginIcons">
    <w:name w:val="Margin Icons"/>
    <w:basedOn w:val="BodyText"/>
    <w:rsid w:val="00B87BA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87BA1"/>
    <w:rPr>
      <w:rFonts w:ascii="Courier New" w:hAnsi="Courier New"/>
    </w:rPr>
  </w:style>
  <w:style w:type="paragraph" w:customStyle="1" w:styleId="NoteBullet">
    <w:name w:val="Note Bullet"/>
    <w:basedOn w:val="Note"/>
    <w:rsid w:val="00B87BA1"/>
    <w:pPr>
      <w:tabs>
        <w:tab w:val="clear" w:pos="680"/>
      </w:tabs>
      <w:spacing w:before="60" w:after="60"/>
    </w:pPr>
  </w:style>
  <w:style w:type="paragraph" w:customStyle="1" w:styleId="SubHeading2">
    <w:name w:val="SubHeading2"/>
    <w:basedOn w:val="HeadingBase"/>
    <w:rsid w:val="00B87BA1"/>
    <w:pPr>
      <w:spacing w:before="240" w:after="60"/>
    </w:pPr>
    <w:rPr>
      <w:sz w:val="20"/>
    </w:rPr>
  </w:style>
  <w:style w:type="paragraph" w:customStyle="1" w:styleId="SubHeading1">
    <w:name w:val="SubHeading1"/>
    <w:basedOn w:val="HeadingBase"/>
    <w:rsid w:val="00B87BA1"/>
    <w:pPr>
      <w:spacing w:before="240" w:after="60"/>
    </w:pPr>
    <w:rPr>
      <w:color w:val="918585"/>
      <w:sz w:val="22"/>
    </w:rPr>
  </w:style>
  <w:style w:type="paragraph" w:customStyle="1" w:styleId="SideHeading">
    <w:name w:val="Side Heading"/>
    <w:basedOn w:val="HeadingBase"/>
    <w:rsid w:val="00B87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BA1"/>
    <w:pPr>
      <w:numPr>
        <w:numId w:val="10"/>
      </w:numPr>
    </w:pPr>
  </w:style>
  <w:style w:type="paragraph" w:styleId="PlainText">
    <w:name w:val="Plain Text"/>
    <w:basedOn w:val="Normal"/>
    <w:link w:val="PlainTextChar"/>
    <w:rsid w:val="00B87BA1"/>
    <w:rPr>
      <w:sz w:val="20"/>
    </w:rPr>
  </w:style>
  <w:style w:type="character" w:customStyle="1" w:styleId="PlainTextChar">
    <w:name w:val="Plain Text Char"/>
    <w:basedOn w:val="DefaultParagraphFont"/>
    <w:link w:val="PlainText"/>
    <w:rsid w:val="00B87BA1"/>
    <w:rPr>
      <w:rFonts w:ascii="Courier New" w:eastAsia="Times New Roman" w:hAnsi="Courier New" w:cs="Times New Roman"/>
      <w:sz w:val="20"/>
      <w:szCs w:val="20"/>
      <w:lang w:val="en-US" w:eastAsia="en-US"/>
    </w:rPr>
  </w:style>
  <w:style w:type="character" w:customStyle="1" w:styleId="MenuOption">
    <w:name w:val="Menu Option"/>
    <w:rsid w:val="00B87BA1"/>
    <w:rPr>
      <w:b/>
      <w:smallCaps/>
    </w:rPr>
  </w:style>
  <w:style w:type="paragraph" w:customStyle="1" w:styleId="TableListNumber">
    <w:name w:val="Table List Number"/>
    <w:basedOn w:val="ListNumber"/>
    <w:rsid w:val="00B87BA1"/>
    <w:pPr>
      <w:numPr>
        <w:numId w:val="0"/>
      </w:numPr>
    </w:pPr>
  </w:style>
  <w:style w:type="paragraph" w:styleId="TOC4">
    <w:name w:val="toc 4"/>
    <w:basedOn w:val="TOCBase"/>
    <w:next w:val="Normal"/>
    <w:semiHidden/>
    <w:rsid w:val="00B87BA1"/>
    <w:pPr>
      <w:tabs>
        <w:tab w:val="right" w:leader="dot" w:pos="9071"/>
      </w:tabs>
      <w:ind w:left="1701"/>
    </w:pPr>
  </w:style>
  <w:style w:type="paragraph" w:customStyle="1" w:styleId="ListAlpha">
    <w:name w:val="List Alpha"/>
    <w:basedOn w:val="List"/>
    <w:rsid w:val="00B87BA1"/>
    <w:pPr>
      <w:numPr>
        <w:numId w:val="7"/>
      </w:numPr>
    </w:pPr>
  </w:style>
  <w:style w:type="paragraph" w:customStyle="1" w:styleId="ListAlpha2">
    <w:name w:val="List Alpha 2"/>
    <w:basedOn w:val="List2"/>
    <w:rsid w:val="00B87BA1"/>
    <w:pPr>
      <w:numPr>
        <w:numId w:val="6"/>
      </w:numPr>
    </w:pPr>
  </w:style>
  <w:style w:type="paragraph" w:styleId="List2">
    <w:name w:val="List 2"/>
    <w:basedOn w:val="BodyText"/>
    <w:rsid w:val="00B87BA1"/>
    <w:pPr>
      <w:tabs>
        <w:tab w:val="left" w:pos="680"/>
      </w:tabs>
      <w:spacing w:before="60" w:after="60"/>
      <w:ind w:left="680" w:hanging="340"/>
    </w:pPr>
  </w:style>
  <w:style w:type="paragraph" w:styleId="List3">
    <w:name w:val="List 3"/>
    <w:basedOn w:val="BodyText"/>
    <w:rsid w:val="00B87BA1"/>
    <w:pPr>
      <w:tabs>
        <w:tab w:val="left" w:pos="1021"/>
      </w:tabs>
      <w:spacing w:before="60" w:after="60"/>
      <w:ind w:left="1020" w:hanging="340"/>
    </w:pPr>
  </w:style>
  <w:style w:type="paragraph" w:styleId="List4">
    <w:name w:val="List 4"/>
    <w:basedOn w:val="BodyText"/>
    <w:rsid w:val="00B87BA1"/>
    <w:pPr>
      <w:tabs>
        <w:tab w:val="left" w:pos="1361"/>
      </w:tabs>
      <w:spacing w:before="60" w:after="60"/>
      <w:ind w:left="1361" w:hanging="340"/>
    </w:pPr>
  </w:style>
  <w:style w:type="paragraph" w:styleId="List5">
    <w:name w:val="List 5"/>
    <w:basedOn w:val="BodyText"/>
    <w:rsid w:val="00B87BA1"/>
    <w:pPr>
      <w:tabs>
        <w:tab w:val="left" w:pos="1701"/>
      </w:tabs>
      <w:spacing w:before="60" w:after="60"/>
      <w:ind w:left="1701" w:hanging="340"/>
    </w:pPr>
  </w:style>
  <w:style w:type="paragraph" w:styleId="ListBullet3">
    <w:name w:val="List Bullet 3"/>
    <w:basedOn w:val="List3"/>
    <w:rsid w:val="00B87BA1"/>
    <w:pPr>
      <w:numPr>
        <w:numId w:val="13"/>
      </w:numPr>
      <w:tabs>
        <w:tab w:val="clear" w:pos="1021"/>
      </w:tabs>
      <w:ind w:left="1037" w:hanging="357"/>
    </w:pPr>
  </w:style>
  <w:style w:type="paragraph" w:styleId="ListBullet4">
    <w:name w:val="List Bullet 4"/>
    <w:basedOn w:val="List4"/>
    <w:rsid w:val="00B87BA1"/>
    <w:pPr>
      <w:numPr>
        <w:numId w:val="1"/>
      </w:numPr>
    </w:pPr>
  </w:style>
  <w:style w:type="paragraph" w:styleId="ListBullet5">
    <w:name w:val="List Bullet 5"/>
    <w:basedOn w:val="List5"/>
    <w:rsid w:val="00B87BA1"/>
    <w:pPr>
      <w:numPr>
        <w:numId w:val="2"/>
      </w:numPr>
    </w:pPr>
  </w:style>
  <w:style w:type="paragraph" w:styleId="ListContinue2">
    <w:name w:val="List Continue 2"/>
    <w:basedOn w:val="List2"/>
    <w:rsid w:val="00B87BA1"/>
    <w:pPr>
      <w:ind w:firstLine="0"/>
    </w:pPr>
  </w:style>
  <w:style w:type="paragraph" w:styleId="ListContinue3">
    <w:name w:val="List Continue 3"/>
    <w:basedOn w:val="List3"/>
    <w:rsid w:val="00B87BA1"/>
    <w:pPr>
      <w:ind w:left="1021" w:firstLine="0"/>
    </w:pPr>
  </w:style>
  <w:style w:type="paragraph" w:styleId="ListContinue4">
    <w:name w:val="List Continue 4"/>
    <w:basedOn w:val="List4"/>
    <w:rsid w:val="00B87BA1"/>
    <w:pPr>
      <w:ind w:firstLine="0"/>
    </w:pPr>
  </w:style>
  <w:style w:type="paragraph" w:styleId="ListContinue5">
    <w:name w:val="List Continue 5"/>
    <w:basedOn w:val="List5"/>
    <w:rsid w:val="00B87BA1"/>
    <w:pPr>
      <w:ind w:firstLine="0"/>
    </w:pPr>
  </w:style>
  <w:style w:type="paragraph" w:styleId="ListNumber3">
    <w:name w:val="List Number 3"/>
    <w:basedOn w:val="List3"/>
    <w:rsid w:val="00B87BA1"/>
    <w:pPr>
      <w:numPr>
        <w:numId w:val="3"/>
      </w:numPr>
    </w:pPr>
  </w:style>
  <w:style w:type="paragraph" w:styleId="ListNumber4">
    <w:name w:val="List Number 4"/>
    <w:basedOn w:val="List4"/>
    <w:rsid w:val="00B87BA1"/>
    <w:pPr>
      <w:numPr>
        <w:numId w:val="4"/>
      </w:numPr>
    </w:pPr>
  </w:style>
  <w:style w:type="paragraph" w:styleId="ListNumber5">
    <w:name w:val="List Number 5"/>
    <w:basedOn w:val="List5"/>
    <w:rsid w:val="00B87BA1"/>
    <w:pPr>
      <w:numPr>
        <w:numId w:val="5"/>
      </w:numPr>
    </w:pPr>
  </w:style>
  <w:style w:type="paragraph" w:styleId="BlockText">
    <w:name w:val="Block Text"/>
    <w:basedOn w:val="Normal"/>
    <w:rsid w:val="00B87BA1"/>
    <w:pPr>
      <w:spacing w:after="120"/>
      <w:ind w:left="1440" w:right="1440"/>
    </w:pPr>
  </w:style>
  <w:style w:type="character" w:customStyle="1" w:styleId="Subscript">
    <w:name w:val="Subscript"/>
    <w:rsid w:val="00B87BA1"/>
    <w:rPr>
      <w:sz w:val="16"/>
      <w:vertAlign w:val="subscript"/>
    </w:rPr>
  </w:style>
  <w:style w:type="character" w:customStyle="1" w:styleId="Superscript">
    <w:name w:val="Superscript"/>
    <w:rsid w:val="00B87BA1"/>
    <w:rPr>
      <w:sz w:val="16"/>
      <w:vertAlign w:val="superscript"/>
    </w:rPr>
  </w:style>
  <w:style w:type="character" w:customStyle="1" w:styleId="Symbols">
    <w:name w:val="Symbols"/>
    <w:rsid w:val="00B87BA1"/>
    <w:rPr>
      <w:rFonts w:ascii="Symbol" w:hAnsi="Symbol"/>
    </w:rPr>
  </w:style>
  <w:style w:type="character" w:customStyle="1" w:styleId="MenuOptions">
    <w:name w:val="Menu Options"/>
    <w:rsid w:val="00B87BA1"/>
    <w:rPr>
      <w:rFonts w:ascii="Arial Narrow" w:hAnsi="Arial Narrow"/>
      <w:smallCaps/>
    </w:rPr>
  </w:style>
  <w:style w:type="character" w:customStyle="1" w:styleId="Buttons">
    <w:name w:val="Buttons"/>
    <w:rsid w:val="00B87BA1"/>
    <w:rPr>
      <w:b/>
    </w:rPr>
  </w:style>
  <w:style w:type="character" w:customStyle="1" w:styleId="Underlined">
    <w:name w:val="Underlined"/>
    <w:rsid w:val="00B87BA1"/>
    <w:rPr>
      <w:u w:val="single"/>
    </w:rPr>
  </w:style>
  <w:style w:type="paragraph" w:customStyle="1" w:styleId="TableBodyTextRight">
    <w:name w:val="Table Body Text Right"/>
    <w:basedOn w:val="TableBodyText"/>
    <w:rsid w:val="00B87BA1"/>
    <w:pPr>
      <w:widowControl w:val="0"/>
      <w:autoSpaceDE w:val="0"/>
      <w:autoSpaceDN w:val="0"/>
      <w:adjustRightInd w:val="0"/>
      <w:jc w:val="right"/>
    </w:pPr>
    <w:rPr>
      <w:rFonts w:cs="Arial"/>
      <w:szCs w:val="18"/>
    </w:rPr>
  </w:style>
  <w:style w:type="paragraph" w:customStyle="1" w:styleId="CopyrightText">
    <w:name w:val="Copyright Text"/>
    <w:basedOn w:val="BodyText"/>
    <w:rsid w:val="00B87BA1"/>
    <w:rPr>
      <w:sz w:val="18"/>
    </w:rPr>
  </w:style>
  <w:style w:type="paragraph" w:customStyle="1" w:styleId="BodySmallRight">
    <w:name w:val="Body Small Right"/>
    <w:basedOn w:val="BodyTextRight"/>
    <w:rsid w:val="00B87BA1"/>
    <w:rPr>
      <w:sz w:val="18"/>
      <w:szCs w:val="18"/>
    </w:rPr>
  </w:style>
  <w:style w:type="paragraph" w:customStyle="1" w:styleId="MarginEdition">
    <w:name w:val="Margin Edition"/>
    <w:basedOn w:val="MarginNote"/>
    <w:rsid w:val="00B87BA1"/>
    <w:pPr>
      <w:spacing w:before="0" w:after="0"/>
    </w:pPr>
    <w:rPr>
      <w:rFonts w:ascii="Times New Roman" w:hAnsi="Times New Roman"/>
      <w:color w:val="999999"/>
    </w:rPr>
  </w:style>
  <w:style w:type="paragraph" w:customStyle="1" w:styleId="Spacer">
    <w:name w:val="Spacer"/>
    <w:basedOn w:val="Normal"/>
    <w:rsid w:val="00B87BA1"/>
    <w:rPr>
      <w:sz w:val="2"/>
      <w:szCs w:val="2"/>
    </w:rPr>
  </w:style>
  <w:style w:type="character" w:customStyle="1" w:styleId="Small">
    <w:name w:val="Small"/>
    <w:rsid w:val="00B87BA1"/>
    <w:rPr>
      <w:sz w:val="16"/>
    </w:rPr>
  </w:style>
  <w:style w:type="paragraph" w:customStyle="1" w:styleId="WideTable">
    <w:name w:val="Wide Table"/>
    <w:basedOn w:val="Normal"/>
    <w:rsid w:val="00B87BA1"/>
    <w:pPr>
      <w:ind w:left="-1418"/>
    </w:pPr>
    <w:rPr>
      <w:sz w:val="2"/>
      <w:szCs w:val="2"/>
    </w:rPr>
  </w:style>
  <w:style w:type="character" w:styleId="PageNumber">
    <w:name w:val="page number"/>
    <w:rsid w:val="00B87BA1"/>
  </w:style>
  <w:style w:type="paragraph" w:styleId="Quote">
    <w:name w:val="Quote"/>
    <w:basedOn w:val="Heading1"/>
    <w:link w:val="QuoteChar"/>
    <w:qFormat/>
    <w:rsid w:val="00B87BA1"/>
    <w:rPr>
      <w:b w:val="0"/>
      <w:sz w:val="72"/>
      <w:szCs w:val="72"/>
      <w:lang w:val="en-NZ"/>
    </w:rPr>
  </w:style>
  <w:style w:type="character" w:customStyle="1" w:styleId="QuoteChar">
    <w:name w:val="Quote Char"/>
    <w:link w:val="Quote"/>
    <w:rsid w:val="00B87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BA1"/>
    <w:pPr>
      <w:pageBreakBefore/>
    </w:pPr>
  </w:style>
  <w:style w:type="paragraph" w:customStyle="1" w:styleId="Border">
    <w:name w:val="Border"/>
    <w:basedOn w:val="Normal"/>
    <w:qFormat/>
    <w:rsid w:val="00B87BA1"/>
    <w:pPr>
      <w:pBdr>
        <w:top w:val="single" w:sz="18" w:space="1" w:color="auto"/>
      </w:pBdr>
    </w:pPr>
    <w:rPr>
      <w:rFonts w:ascii="Times New Roman" w:hAnsi="Times New Roman"/>
      <w:color w:val="FFFFFF"/>
      <w:sz w:val="2"/>
    </w:rPr>
  </w:style>
  <w:style w:type="character" w:styleId="IntenseEmphasis">
    <w:name w:val="Intense Emphasis"/>
    <w:uiPriority w:val="21"/>
    <w:qFormat/>
    <w:rsid w:val="00B87BA1"/>
    <w:rPr>
      <w:b/>
      <w:bCs/>
      <w:i/>
      <w:iCs/>
      <w:color w:val="auto"/>
    </w:rPr>
  </w:style>
  <w:style w:type="paragraph" w:styleId="IntenseQuote">
    <w:name w:val="Intense Quote"/>
    <w:basedOn w:val="Normal"/>
    <w:next w:val="Normal"/>
    <w:link w:val="IntenseQuoteChar"/>
    <w:uiPriority w:val="30"/>
    <w:qFormat/>
    <w:rsid w:val="00B87BA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87BA1"/>
    <w:rPr>
      <w:rFonts w:ascii="Courier New" w:eastAsia="Times New Roman" w:hAnsi="Courier New" w:cs="Times New Roman"/>
      <w:b/>
      <w:bCs/>
      <w:i/>
      <w:iCs/>
      <w:szCs w:val="20"/>
      <w:lang w:val="en-US" w:eastAsia="en-US"/>
    </w:rPr>
  </w:style>
  <w:style w:type="character" w:styleId="SubtleReference">
    <w:name w:val="Subtle Reference"/>
    <w:uiPriority w:val="31"/>
    <w:qFormat/>
    <w:rsid w:val="00B87BA1"/>
    <w:rPr>
      <w:smallCaps/>
      <w:color w:val="auto"/>
      <w:u w:val="single"/>
    </w:rPr>
  </w:style>
  <w:style w:type="character" w:styleId="IntenseReference">
    <w:name w:val="Intense Reference"/>
    <w:uiPriority w:val="32"/>
    <w:qFormat/>
    <w:rsid w:val="00B87BA1"/>
    <w:rPr>
      <w:b/>
      <w:bCs/>
      <w:smallCaps/>
      <w:color w:val="auto"/>
      <w:spacing w:val="5"/>
      <w:u w:val="single"/>
    </w:rPr>
  </w:style>
  <w:style w:type="paragraph" w:customStyle="1" w:styleId="2ColumnHeading">
    <w:name w:val="2Column Heading"/>
    <w:basedOn w:val="BodyText"/>
    <w:qFormat/>
    <w:rsid w:val="00B87BA1"/>
    <w:pPr>
      <w:spacing w:after="60"/>
      <w:ind w:left="-2268"/>
    </w:pPr>
    <w:rPr>
      <w:b/>
    </w:rPr>
  </w:style>
  <w:style w:type="paragraph" w:customStyle="1" w:styleId="Heading1TOC">
    <w:name w:val="Heading1 TOC"/>
    <w:basedOn w:val="Normal"/>
    <w:qFormat/>
    <w:rsid w:val="00B87BA1"/>
    <w:pPr>
      <w:spacing w:before="240" w:after="120"/>
    </w:pPr>
    <w:rPr>
      <w:rFonts w:ascii="Times New Roman" w:hAnsi="Times New Roman"/>
      <w:b/>
      <w:sz w:val="32"/>
    </w:rPr>
  </w:style>
  <w:style w:type="paragraph" w:customStyle="1" w:styleId="Heading2TOC">
    <w:name w:val="Heading2 TOC"/>
    <w:basedOn w:val="Normal"/>
    <w:qFormat/>
    <w:rsid w:val="00B87BA1"/>
    <w:pPr>
      <w:spacing w:before="240" w:after="60"/>
    </w:pPr>
    <w:rPr>
      <w:rFonts w:ascii="Times New Roman" w:hAnsi="Times New Roman"/>
      <w:b/>
      <w:sz w:val="28"/>
    </w:rPr>
  </w:style>
  <w:style w:type="character" w:customStyle="1" w:styleId="Underline">
    <w:name w:val="Underline"/>
    <w:qFormat/>
    <w:rsid w:val="00B87BA1"/>
    <w:rPr>
      <w:u w:val="single"/>
    </w:rPr>
  </w:style>
  <w:style w:type="character" w:customStyle="1" w:styleId="BoldandItalics">
    <w:name w:val="Bold and Italics"/>
    <w:qFormat/>
    <w:rsid w:val="00B87BA1"/>
    <w:rPr>
      <w:b/>
      <w:i/>
      <w:u w:val="none"/>
    </w:rPr>
  </w:style>
  <w:style w:type="paragraph" w:styleId="BalloonText">
    <w:name w:val="Balloon Text"/>
    <w:basedOn w:val="Normal"/>
    <w:link w:val="BalloonTextChar"/>
    <w:rsid w:val="00B87BA1"/>
    <w:rPr>
      <w:rFonts w:ascii="Tahoma" w:hAnsi="Tahoma" w:cs="Tahoma"/>
      <w:sz w:val="16"/>
      <w:szCs w:val="16"/>
    </w:rPr>
  </w:style>
  <w:style w:type="character" w:customStyle="1" w:styleId="BalloonTextChar">
    <w:name w:val="Balloon Text Char"/>
    <w:link w:val="BalloonText"/>
    <w:rsid w:val="00B87B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7BA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87BA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1050</Words>
  <Characters>6330</Characters>
  <Application>Microsoft Office Word</Application>
  <DocSecurity>0</DocSecurity>
  <Lines>273</Lines>
  <Paragraphs>128</Paragraphs>
  <ScaleCrop>false</ScaleCrop>
  <Company>Author-it Software Corporation Ltd.</Company>
  <LinksUpToDate>false</LinksUpToDate>
  <CharactersWithSpaces>7285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MEM05015C Weld using manual metal arc welding process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2012-05-27T01:29:00Z</dcterms:created>
  <dcterms:modified xsi:type="dcterms:W3CDTF">2012-05-27T01:29:00Z</dcterms:modified>
</cp:coreProperties>
</file>