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073" w:rsidP="00E90073">
      <w:pPr>
        <w:pStyle w:val="Title"/>
      </w:pPr>
      <w:r>
        <w:fldChar w:fldCharType="begin"/>
      </w:r>
      <w:r>
        <w:instrText xml:space="preserve"> TITLE   \* MERGEFORMAT </w:instrText>
      </w:r>
      <w:r>
        <w:fldChar w:fldCharType="separate"/>
      </w:r>
      <w:r>
        <w:t>MEM05010B Apply fabrication, forming and shaping techniques</w:t>
      </w:r>
      <w:r>
        <w:fldChar w:fldCharType="end"/>
      </w:r>
    </w:p>
    <w:p w:rsidR="00E90073" w:rsidP="00E90073">
      <w:pPr>
        <w:pStyle w:val="Version"/>
        <w:sectPr w:rsidSect="00CF0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0087" w:rsidP="00CF0087">
      <w:pPr>
        <w:pStyle w:val="SuperHeading"/>
      </w:pPr>
      <w:r w:rsidRPr="00CF0087">
        <w:t>MEM05010B Apply fabrication, forming and shaping techniques</w:t>
      </w:r>
    </w:p>
    <w:p w:rsidR="00000000" w:rsidRPr="00CF0087" w:rsidP="00CF0087">
      <w:pPr>
        <w:pStyle w:val="Heading1"/>
      </w:pPr>
      <w:bookmarkStart w:id="1" w:name="O_311753"/>
      <w:bookmarkEnd w:id="1"/>
      <w:r w:rsidRPr="00CF0087">
        <w:t>Modification History</w:t>
      </w:r>
    </w:p>
    <w:p w:rsidR="00000000" w:rsidRPr="00CF0087" w:rsidP="00CF0087">
      <w:pPr>
        <w:pStyle w:val="BodyText"/>
      </w:pPr>
      <w:r w:rsidRPr="00CF0087">
        <w:t>There are no notes for this unit.</w:t>
      </w:r>
    </w:p>
    <w:p w:rsidR="00000000" w:rsidRPr="00CF0087" w:rsidP="00CF0087">
      <w:pPr>
        <w:pStyle w:val="AllowPageBreak"/>
      </w:pPr>
    </w:p>
    <w:p w:rsidR="00000000" w:rsidRPr="00CF0087" w:rsidP="00CF0087">
      <w:pPr>
        <w:pStyle w:val="Heading1"/>
      </w:pPr>
      <w:bookmarkStart w:id="2" w:name="O_311752"/>
      <w:bookmarkEnd w:id="2"/>
      <w:r w:rsidRPr="00CF0087">
        <w:t>Unit Descriptor</w:t>
      </w:r>
    </w:p>
    <w:p w:rsidR="00000000" w:rsidRPr="00CF0087" w:rsidP="00CF0087">
      <w:pPr>
        <w:pStyle w:val="BodyText"/>
      </w:pPr>
      <w:r w:rsidRPr="00CF0087">
        <w:t>This unit covers applying the fabrication of shapes and products using a variety of form</w:t>
      </w:r>
      <w:r w:rsidRPr="00CF0087">
        <w:t>ing and shaping techniques, using a variety of tools and equipment.</w:t>
      </w:r>
    </w:p>
    <w:p w:rsidR="00000000" w:rsidRPr="00CF0087" w:rsidP="00CF0087">
      <w:pPr>
        <w:pStyle w:val="AllowPageBreak"/>
      </w:pPr>
    </w:p>
    <w:p w:rsidR="00000000" w:rsidRPr="00CF0087" w:rsidP="00CF0087">
      <w:pPr>
        <w:pStyle w:val="Heading1"/>
      </w:pPr>
      <w:bookmarkStart w:id="3" w:name="O_311758"/>
      <w:bookmarkEnd w:id="3"/>
      <w:r w:rsidRPr="00CF0087">
        <w:t>Application of the Unit</w:t>
      </w:r>
    </w:p>
    <w:p w:rsidR="00000000" w:rsidRPr="00CF0087" w:rsidP="00CF0087">
      <w:pPr>
        <w:pStyle w:val="BodyText"/>
      </w:pPr>
      <w:r w:rsidRPr="00CF0087">
        <w:t xml:space="preserve">Predetermined standards of quality and safety are observed and work is carried out following standard operating procedures. </w:t>
      </w:r>
    </w:p>
    <w:p w:rsidR="00000000" w:rsidRPr="00CF0087" w:rsidP="00CF0087">
      <w:pPr>
        <w:pStyle w:val="BodyText"/>
      </w:pPr>
      <w:r w:rsidRPr="00CF0087">
        <w:t>Competency in this uni</w:t>
      </w:r>
      <w:r w:rsidRPr="00CF0087">
        <w:t>t includes the ability to produce a wide range of shapes and products such as pipework, chamfers, cylinders, cones, angles, hoppers, ductwork, square to round, transitions, lobster backs and all forms of tubular shapes, including hand rails, reticulation p</w:t>
      </w:r>
      <w:r w:rsidRPr="00CF0087">
        <w:t>ipework and mufflers.</w:t>
      </w:r>
    </w:p>
    <w:p w:rsidR="00000000" w:rsidRPr="00CF0087" w:rsidP="00CF0087">
      <w:pPr>
        <w:pStyle w:val="BodyText"/>
      </w:pPr>
      <w:r w:rsidRPr="00CF0087">
        <w:t>Materials may include ferrous and non-ferrous and non-metallic substances. A variety of tools and equipment may be used including presses, shapers, benders, rollers, drop hammers etc.</w:t>
      </w:r>
    </w:p>
    <w:p w:rsidR="00000000" w:rsidRPr="00CF0087" w:rsidP="00CF0087">
      <w:pPr>
        <w:pStyle w:val="BodyText"/>
      </w:pPr>
      <w:r w:rsidRPr="00CF0087">
        <w:t>This unit is not intended to apply in situations w</w:t>
      </w:r>
      <w:r w:rsidRPr="00CF0087">
        <w:t>here products or shapes are merely bent using hand tools or equipment.</w:t>
      </w:r>
    </w:p>
    <w:p w:rsidR="00000000" w:rsidRPr="00CF0087" w:rsidP="00CF0087">
      <w:pPr>
        <w:pStyle w:val="AllowPageBreak"/>
      </w:pPr>
    </w:p>
    <w:p w:rsidR="00000000" w:rsidRPr="00CF0087" w:rsidP="00CF0087">
      <w:pPr>
        <w:pStyle w:val="Heading1"/>
      </w:pPr>
      <w:bookmarkStart w:id="4" w:name="O_311757"/>
      <w:bookmarkEnd w:id="4"/>
      <w:r w:rsidRPr="00CF0087">
        <w:t>Licensing/Regulatory Information</w:t>
      </w:r>
    </w:p>
    <w:p w:rsidR="00000000" w:rsidRPr="00CF0087" w:rsidP="00CF0087">
      <w:pPr>
        <w:pStyle w:val="Heading1"/>
      </w:pPr>
      <w:bookmarkStart w:id="5" w:name="O_311756"/>
      <w:bookmarkEnd w:id="5"/>
      <w:r w:rsidRPr="00CF0087">
        <w:t>Pre-Requisites</w:t>
      </w:r>
    </w:p>
    <w:tbl>
      <w:tblPr>
        <w:tblW w:w="0" w:type="auto"/>
        <w:tblLayout w:type="fixed"/>
        <w:tblCellMar>
          <w:left w:w="62" w:type="dxa"/>
          <w:right w:w="62" w:type="dxa"/>
        </w:tblCellMar>
        <w:tblLook w:val="0000"/>
      </w:tblPr>
      <w:tblGrid>
        <w:gridCol w:w="4500"/>
        <w:gridCol w:w="4500"/>
      </w:tblGrid>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Path 1</w:t>
            </w:r>
          </w:p>
        </w:tc>
        <w:tc>
          <w:tcPr>
            <w:tcW w:w="4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MEM05037B Perform geometric development</w:t>
            </w:r>
          </w:p>
          <w:p w:rsidR="00000000" w:rsidRPr="00CF0087" w:rsidP="00CF0087">
            <w:pPr>
              <w:pStyle w:val="BodyText"/>
            </w:pPr>
            <w:r w:rsidRPr="00CF0087">
              <w:t>MEM09002B Interpret technical drawing</w:t>
            </w:r>
          </w:p>
          <w:p w:rsidR="00000000" w:rsidRPr="00CF0087" w:rsidP="00CF0087">
            <w:pPr>
              <w:pStyle w:val="BodyText"/>
            </w:pPr>
            <w:r w:rsidRPr="00CF0087">
              <w:t>MEM12023A Perform engineering measurements</w:t>
            </w:r>
          </w:p>
          <w:p w:rsidR="00000000" w:rsidRPr="00CF0087" w:rsidP="00CF0087">
            <w:pPr>
              <w:pStyle w:val="BodyText"/>
            </w:pPr>
            <w:r w:rsidRPr="00CF0087">
              <w:t>MEM12024A Perform computations</w:t>
            </w:r>
          </w:p>
          <w:p w:rsidR="00000000" w:rsidRPr="00CF0087" w:rsidP="00CF0087">
            <w:pPr>
              <w:pStyle w:val="BodyText"/>
            </w:pPr>
            <w:r w:rsidRPr="00CF0087">
              <w:t>MEM18001C Use hand tools</w:t>
            </w:r>
          </w:p>
        </w:tc>
      </w:tr>
    </w:tbl>
    <w:p w:rsidR="00000000" w:rsidRPr="00CF0087" w:rsidP="00CF0087">
      <w:pPr>
        <w:pStyle w:val="BodyText"/>
      </w:pPr>
    </w:p>
    <w:p w:rsidR="00000000" w:rsidRPr="00CF0087" w:rsidP="00CF0087">
      <w:pPr>
        <w:pStyle w:val="AllowPageBreak"/>
      </w:pPr>
    </w:p>
    <w:p w:rsidR="00000000" w:rsidRPr="00CF0087" w:rsidP="00CF0087">
      <w:pPr>
        <w:pStyle w:val="Heading1"/>
      </w:pPr>
      <w:bookmarkStart w:id="6" w:name="O_311755"/>
      <w:bookmarkEnd w:id="6"/>
      <w:r w:rsidRPr="00CF0087">
        <w:t>Employability Skills Information</w:t>
      </w:r>
    </w:p>
    <w:p w:rsidR="00000000" w:rsidRPr="00CF0087" w:rsidP="00CF0087">
      <w:pPr>
        <w:pStyle w:val="Heading1"/>
      </w:pPr>
      <w:bookmarkStart w:id="7" w:name="O_311754"/>
      <w:bookmarkEnd w:id="7"/>
      <w:r w:rsidRPr="00CF0087">
        <w:t>Elements and Performance Criteria Pre-Content</w:t>
      </w:r>
    </w:p>
    <w:p w:rsidR="00000000" w:rsidRPr="00CF0087" w:rsidP="00CF0087">
      <w:pPr>
        <w:pStyle w:val="BodyText"/>
      </w:pPr>
      <w:r w:rsidRPr="00CF0087">
        <w:t xml:space="preserve">Elements are the essential outcomes of the </w:t>
      </w:r>
      <w:r w:rsidRPr="00CF0087">
        <w:t>unit of competency.</w:t>
      </w:r>
    </w:p>
    <w:p w:rsidR="00000000" w:rsidRPr="00CF0087" w:rsidP="00CF0087">
      <w:pPr>
        <w:pStyle w:val="BodyText"/>
      </w:pPr>
      <w:r w:rsidRPr="00CF0087">
        <w:t>Together, performance criteria specify the requirements for competent performance. Text in italics is explained in the range statement following.</w:t>
      </w:r>
    </w:p>
    <w:p w:rsidR="00000000" w:rsidRPr="00CF0087" w:rsidP="00CF0087">
      <w:pPr>
        <w:pStyle w:val="AllowPageBreak"/>
      </w:pPr>
    </w:p>
    <w:p w:rsidR="00000000" w:rsidRPr="00CF0087" w:rsidP="00CF0087">
      <w:pPr>
        <w:pStyle w:val="Heading1"/>
      </w:pPr>
      <w:bookmarkStart w:id="8" w:name="O_311744"/>
      <w:bookmarkEnd w:id="8"/>
      <w:r w:rsidRPr="00CF00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9007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Elements and Performance Criteria</w:t>
            </w:r>
          </w:p>
        </w:tc>
      </w:tr>
      <w:tr w:rsidTr="00E9007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Performance Criteria</w:t>
            </w:r>
          </w:p>
        </w:tc>
      </w:tr>
      <w:tr w:rsidTr="00E900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1</w:t>
            </w:r>
          </w:p>
        </w:tc>
        <w:tc>
          <w:tcPr>
            <w:tcW w:w="30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Select and set up forming/shaping equipment for a specific operation</w:t>
            </w: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1.1</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Most appropriate </w:t>
            </w:r>
            <w:r w:rsidRPr="00CF0087">
              <w:rPr>
                <w:rStyle w:val="SpecialBold"/>
              </w:rPr>
              <w:t xml:space="preserve">tools and equipment </w:t>
            </w:r>
            <w:r w:rsidRPr="00CF0087">
              <w:t>are selected.</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1.2</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Equipment is correctly set up and adjusted for operation to standard operating procedures.</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1.3</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Allowances for shrinkage, thickness and inside/outside measurements are correctly made.</w:t>
            </w:r>
          </w:p>
        </w:tc>
      </w:tr>
      <w:tr w:rsidTr="00E900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2</w:t>
            </w:r>
          </w:p>
        </w:tc>
        <w:tc>
          <w:tcPr>
            <w:tcW w:w="30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Operate forming/shaping equipment</w:t>
            </w: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2.1</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Machine is safely started up and shut down to standard operating procedures.</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2.2</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 xml:space="preserve">Material </w:t>
            </w:r>
            <w:r w:rsidRPr="00CF0087">
              <w:t>and safety guards are correctly positioned.</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2.3</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Equipment is correctly operated and adjusted.</w:t>
            </w:r>
          </w:p>
        </w:tc>
      </w:tr>
      <w:tr w:rsidTr="00E9007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3</w:t>
            </w:r>
          </w:p>
        </w:tc>
        <w:tc>
          <w:tcPr>
            <w:tcW w:w="30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Form and shape </w:t>
            </w:r>
            <w:r w:rsidRPr="00CF0087">
              <w:rPr>
                <w:rStyle w:val="SpecialBold"/>
              </w:rPr>
              <w:t>material</w:t>
            </w: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3.1</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Material is levelled, straightened, rolled, pressed or bent to specifications/drawings using </w:t>
            </w:r>
            <w:r w:rsidRPr="00CF0087">
              <w:rPr>
                <w:rStyle w:val="SpecialBold"/>
              </w:rPr>
              <w:t>fabrication techniques</w:t>
            </w:r>
            <w:r w:rsidRPr="00CF0087">
              <w:t>.</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3.2</w:t>
            </w:r>
          </w:p>
        </w:tc>
        <w:tc>
          <w:tcPr>
            <w:tcW w:w="51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Correct hot or cold forming procedures are followed.</w:t>
            </w:r>
          </w:p>
        </w:tc>
      </w:tr>
      <w:tr w:rsidTr="00E9007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3.3</w:t>
            </w:r>
          </w:p>
        </w:tc>
        <w:tc>
          <w:tcPr>
            <w:tcW w:w="51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rPr>
                <w:rStyle w:val="SpecialBold"/>
              </w:rPr>
              <w:t xml:space="preserve">Final form/shape </w:t>
            </w:r>
            <w:r w:rsidRPr="00CF0087">
              <w:t>is checked for compliance to specification and adjusted as necessary to standard operating procedures.</w:t>
            </w:r>
          </w:p>
        </w:tc>
      </w:tr>
    </w:tbl>
    <w:p w:rsidR="00000000" w:rsidRPr="00CF0087" w:rsidP="00CF0087">
      <w:pPr>
        <w:pStyle w:val="BodyText"/>
      </w:pPr>
    </w:p>
    <w:p w:rsidR="00000000" w:rsidRPr="00CF0087" w:rsidP="00CF0087">
      <w:pPr>
        <w:pStyle w:val="AllowPageBreak"/>
      </w:pPr>
    </w:p>
    <w:p w:rsidR="00000000" w:rsidRPr="00CF0087" w:rsidP="00CF0087">
      <w:pPr>
        <w:pStyle w:val="Heading1"/>
      </w:pPr>
      <w:bookmarkStart w:id="9" w:name="O_311745"/>
      <w:bookmarkEnd w:id="9"/>
      <w:r w:rsidRPr="00CF0087">
        <w:t>Required Skills and Knowledge</w:t>
      </w:r>
    </w:p>
    <w:p w:rsidR="00000000" w:rsidRPr="00CF0087" w:rsidP="00CF0087">
      <w:pPr>
        <w:pStyle w:val="Heading1"/>
      </w:pPr>
      <w:bookmarkStart w:id="10" w:name="O_311759"/>
      <w:bookmarkEnd w:id="10"/>
      <w:r w:rsidRPr="00CF0087">
        <w:t>Evidence Guide</w:t>
      </w:r>
    </w:p>
    <w:tbl>
      <w:tblPr>
        <w:tblW w:w="0" w:type="auto"/>
        <w:tblLayout w:type="fixed"/>
        <w:tblCellMar>
          <w:left w:w="62" w:type="dxa"/>
          <w:right w:w="62" w:type="dxa"/>
        </w:tblCellMar>
        <w:tblLook w:val="0000"/>
      </w:tblPr>
      <w:tblGrid>
        <w:gridCol w:w="4500"/>
        <w:gridCol w:w="4500"/>
      </w:tblGrid>
      <w:tr w:rsidTr="00E9007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The evidence guide specifies the evidence required to demonstrate achievement in the unit of competency as a whole. It must be read in conjunction with the unit descriptor, performance criteria, range statement and the assessment guidelines </w:t>
            </w:r>
            <w:r w:rsidRPr="00CF0087">
              <w:t>for the Metal and Engineering Training Package</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Overview of assessment requirements</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A person who demonstrates competency in this unit must be able to apply fabrication, forming and shaping techniques to meet specifications. Competency in this unit cannot </w:t>
            </w:r>
            <w:r w:rsidRPr="00CF0087">
              <w:t xml:space="preserve">be claimed until all prerequisites have been satisfied.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Context of assessment</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This unit may be assessed on the job, off the job or a combination of both on and off the job. Where assessment occurs off the job, that is the candidate is not in productive w</w:t>
            </w:r>
            <w:r w:rsidRPr="00CF0087">
              <w:t>ork, then an appropriate simulation must be used where the range of conditions reflects realistic workplace situations. The competencies covered by this unit would be demonstrated by an individual working alone or as part of a team. The assessment environm</w:t>
            </w:r>
            <w:r w:rsidRPr="00CF0087">
              <w:t xml:space="preserve">ent should not disadvantage the candidate.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Interdependent assessment</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This unit could be assessed in conjunction with any other units addressing the safety, quality, communication, materials handling, recording and reporting associated with applying fabri</w:t>
            </w:r>
            <w:r w:rsidRPr="00CF0087">
              <w:t xml:space="preserve">cation, forming and shaping techniques or other units requiring the exercise of the skills and knowledge covered by this unit.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Assessors should gather a range of evidence that is valid, sufficient, current and authentic. Evidence can be gathered through a variety of ways including direct observation, supervisor's reports, project work, samples and questioning. Questioning techniqu</w:t>
            </w:r>
            <w:r w:rsidRPr="00CF0087">
              <w:t>es should not require language, literacy and numeracy skills beyond those required in this unit of competency. The candidate must have access to all tools, equipment, materials and documentation required. The candidate must be permitted to refer to any rel</w:t>
            </w:r>
            <w:r w:rsidRPr="00CF0087">
              <w:t xml:space="preserve">evant workplace procedures, product and manufacturing specifications, codes, standards, manuals and reference materials.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Consistency of performance</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Assessors must be satisfied that the candidate can competently and consistently perform all elements of th</w:t>
            </w:r>
            <w:r w:rsidRPr="00CF0087">
              <w:t xml:space="preserve">e unit as specified by the criteria, including required knowledge, and be capable of applying the competency in new and different situations and contexts. </w:t>
            </w:r>
          </w:p>
        </w:tc>
      </w:tr>
      <w:tr w:rsidTr="00E9007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Required skills</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Look for evidence that confirms skills in: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selecting tools and equipment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setting up and adjusting equipment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calculating allowances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taking measurements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starting up and shutting down the machine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positioning material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positioning safety guards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obtaining drawings and/or specifications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selecting the most appropri</w:t>
            </w:r>
            <w:r w:rsidRPr="00CF0087">
              <w:t xml:space="preserve">ate forming/shaping process to achieve the required size and specification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forming/shaping material to size and specification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checking the final form/shape of the object for conformance with specifications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reworking the object to ensure conformance with specifications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reading, interpreting and following information on written job instructions, specifications, standard operating procedures, charts, lists, drawings and other applicable reference documents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planning and sequencing operations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checking task-related information </w:t>
            </w:r>
          </w:p>
        </w:tc>
      </w:tr>
      <w:tr w:rsidTr="00E90073">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Required knowledge</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Look for evidence that confirms knowledge of: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a variety of hot and cold forming/shaping processes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the machines, tools and/or equipment required to perform forming/shaping processes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the reasons for selecting chosen tools, equipment and process(es)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adjustments that can be made to the equipment and the effect of adjustments on the object being for</w:t>
            </w:r>
            <w:r w:rsidRPr="00CF0087">
              <w:t xml:space="preserve">med/shaped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allowances when forming/shaping materials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sources of data relating to allowances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start-up and shut-down procedures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the material positioning/feeding requirements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the location and function of all safety guards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procedures for the forming/shaping process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defects in formed/shaped materials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defects that can be rectified by further work/adjustment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hazards and control measures associated with undertaking fabrication, forming and shaping, including housekeepi</w:t>
            </w:r>
            <w:r w:rsidRPr="00CF0087">
              <w:t xml:space="preserve">ng </w:t>
            </w:r>
          </w:p>
        </w:tc>
      </w:tr>
      <w:tr w:rsidTr="00E90073">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 xml:space="preserve">safe work practices and procedures </w:t>
            </w:r>
          </w:p>
        </w:tc>
      </w:tr>
    </w:tbl>
    <w:p w:rsidR="00000000" w:rsidRPr="00CF0087" w:rsidP="00CF0087">
      <w:pPr>
        <w:pStyle w:val="BodyText"/>
      </w:pPr>
    </w:p>
    <w:p w:rsidR="00000000" w:rsidRPr="00CF0087" w:rsidP="00CF0087">
      <w:pPr>
        <w:pStyle w:val="AllowPageBreak"/>
      </w:pPr>
    </w:p>
    <w:p w:rsidR="00000000" w:rsidRPr="00CF0087" w:rsidP="00CF0087">
      <w:pPr>
        <w:pStyle w:val="Heading1"/>
      </w:pPr>
      <w:bookmarkStart w:id="11" w:name="O_311750"/>
      <w:bookmarkEnd w:id="11"/>
      <w:r w:rsidRPr="00CF0087">
        <w:t>Range Statement</w:t>
      </w:r>
    </w:p>
    <w:tbl>
      <w:tblPr>
        <w:tblW w:w="0" w:type="auto"/>
        <w:tblLayout w:type="fixed"/>
        <w:tblCellMar>
          <w:left w:w="62" w:type="dxa"/>
          <w:right w:w="62" w:type="dxa"/>
        </w:tblCellMar>
        <w:tblLook w:val="0000"/>
      </w:tblPr>
      <w:tblGrid>
        <w:gridCol w:w="4500"/>
        <w:gridCol w:w="4500"/>
      </w:tblGrid>
      <w:tr w:rsidTr="00E9007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 xml:space="preserve">The range statement provides information about the context in which the unit of competency is carried out. The variables and scope cater for </w:t>
            </w:r>
            <w:r w:rsidRPr="00CF0087">
              <w:t xml:space="preserve">different work requirements, work practices and knowledge between States, Territories and the Commonwealth, and between organisations and workplaces. The range statement relates to the unit as a whole and provides a focus for assessment. Text in </w:t>
            </w:r>
            <w:r w:rsidRPr="00CF0087">
              <w:rPr>
                <w:rStyle w:val="SpecialBold"/>
              </w:rPr>
              <w:t>italics</w:t>
            </w:r>
            <w:r w:rsidRPr="00CF0087">
              <w:t xml:space="preserve"> in</w:t>
            </w:r>
            <w:r w:rsidRPr="00CF0087">
              <w:t xml:space="preserve"> the performance criteria is explained here.</w:t>
            </w:r>
          </w:p>
          <w:p w:rsidR="00000000" w:rsidP="00CF0087">
            <w:pPr>
              <w:pStyle w:val="BodyText"/>
              <w:rPr>
                <w:lang w:val="en-NZ"/>
              </w:rPr>
            </w:pPr>
            <w:r w:rsidRPr="00CF0087">
              <w:t>The following variables may be present and may include, but are not limited to, the examples listed under the scope. All work is undertaken to relevant legislative requirements, where applicable</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rPr>
                <w:rStyle w:val="SpecialBold"/>
              </w:rPr>
              <w:t>Variable</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Scope</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Tools and equipment</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Presses, shapers, benders, rollers, drop hammers etc.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Material</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Ferrous and no-ferrous and non-metallic substances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Fabrication techniques</w:t>
            </w:r>
          </w:p>
        </w:tc>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t xml:space="preserve">Includes measurements and calculations associated with allowances for shrinkage, thickness and inside/outside measurements  </w:t>
            </w:r>
          </w:p>
        </w:tc>
      </w:tr>
      <w:tr w:rsidTr="00E9007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F0087">
            <w:pPr>
              <w:pStyle w:val="BodyText"/>
              <w:rPr>
                <w:lang w:val="en-NZ"/>
              </w:rPr>
            </w:pPr>
            <w:r w:rsidRPr="00CF0087">
              <w:rPr>
                <w:rStyle w:val="SpecialBold"/>
              </w:rPr>
              <w:t>Final form</w:t>
            </w:r>
            <w:r w:rsidRPr="00CF0087">
              <w:t>/</w:t>
            </w:r>
            <w:r w:rsidRPr="00CF0087">
              <w:rPr>
                <w:rStyle w:val="SpecialBold"/>
              </w:rPr>
              <w:t>shape</w:t>
            </w:r>
          </w:p>
        </w:tc>
        <w:tc>
          <w:tcPr>
            <w:tcW w:w="4500" w:type="dxa"/>
            <w:tcBorders>
              <w:top w:val="nil"/>
              <w:left w:val="nil"/>
              <w:bottom w:val="nil"/>
              <w:right w:val="nil"/>
            </w:tcBorders>
            <w:tcMar>
              <w:top w:w="0" w:type="dxa"/>
              <w:left w:w="62" w:type="dxa"/>
              <w:bottom w:w="0" w:type="dxa"/>
              <w:right w:w="62" w:type="dxa"/>
            </w:tcMar>
          </w:tcPr>
          <w:p w:rsidR="00000000" w:rsidRPr="00CF0087" w:rsidP="00CF0087">
            <w:pPr>
              <w:pStyle w:val="BodyText"/>
            </w:pPr>
            <w:r w:rsidRPr="00CF0087">
              <w:t>Pipework, chamfers, cylinders, cones, angles, hoppers, ductwork, 'square to round', 'transitions', 'lobster backs</w:t>
            </w:r>
            <w:r w:rsidRPr="00CF0087">
              <w:t xml:space="preserve">' and all forms of tubular shapes, including hand rails, reticulation pipework, mufflers etc. </w:t>
            </w:r>
          </w:p>
        </w:tc>
      </w:tr>
    </w:tbl>
    <w:p w:rsidR="00000000" w:rsidRPr="00CF0087" w:rsidP="00CF0087">
      <w:pPr>
        <w:pStyle w:val="BodyText"/>
      </w:pPr>
    </w:p>
    <w:p w:rsidR="00000000" w:rsidRPr="00CF0087" w:rsidP="00CF0087">
      <w:pPr>
        <w:pStyle w:val="AllowPageBreak"/>
      </w:pPr>
    </w:p>
    <w:p w:rsidR="00000000" w:rsidRPr="00CF0087" w:rsidP="00CF0087">
      <w:pPr>
        <w:pStyle w:val="Heading1"/>
      </w:pPr>
      <w:bookmarkStart w:id="12" w:name="O_311749"/>
      <w:bookmarkEnd w:id="12"/>
      <w:r w:rsidRPr="00CF0087">
        <w:t>Unit Sector(s)</w:t>
      </w:r>
    </w:p>
    <w:p w:rsidR="00000000" w:rsidRPr="00CF0087" w:rsidP="00CF0087">
      <w:pPr>
        <w:pStyle w:val="Heading1"/>
      </w:pPr>
      <w:bookmarkStart w:id="13" w:name="O_311746"/>
      <w:bookmarkEnd w:id="13"/>
      <w:r w:rsidRPr="00CF0087">
        <w:t>Related units</w:t>
      </w:r>
    </w:p>
    <w:p w:rsidR="00000000" w:rsidRPr="00CF0087" w:rsidP="00CF0087">
      <w:pPr>
        <w:pStyle w:val="BodyText"/>
      </w:pPr>
      <w:r w:rsidRPr="00CF0087">
        <w:t>If heating or thermal cutting is required, Unit MEM05007C (Perform manual heating and thermal cut</w:t>
      </w:r>
      <w:r w:rsidRPr="00CF0087">
        <w:t>ting) should be accessed.</w:t>
      </w:r>
    </w:p>
    <w:p w:rsidR="00000000" w:rsidRPr="00CF0087" w:rsidP="00CF0087">
      <w:pPr>
        <w:pStyle w:val="BodyText"/>
      </w:pPr>
      <w:r w:rsidRPr="00CF0087">
        <w:t>Where marking off/out skills are required, then Unit MEM12007C (Mark off/out structural fabrications and shapes) should be selected.</w:t>
      </w:r>
    </w:p>
    <w:p w:rsidR="00000000" w:rsidRPr="00CF0087" w:rsidP="00CF0087">
      <w:pPr>
        <w:pStyle w:val="BodyText"/>
      </w:pPr>
      <w:r w:rsidRPr="00CF0087">
        <w:t>Where welding is required, relevant welding units should be selected.</w:t>
      </w:r>
    </w:p>
    <w:p w:rsidR="00000000" w:rsidRPr="00CF0087" w:rsidP="00CF0087">
      <w:pPr>
        <w:pStyle w:val="AllowPageBreak"/>
      </w:pPr>
    </w:p>
    <w:p w:rsidR="00000000" w:rsidRPr="00CF0087" w:rsidP="00CF0087">
      <w:pPr>
        <w:pStyle w:val="Heading1"/>
      </w:pPr>
      <w:bookmarkStart w:id="14" w:name="O_311747"/>
      <w:bookmarkEnd w:id="14"/>
      <w:r w:rsidRPr="00CF0087">
        <w:t>Competency</w:t>
      </w:r>
      <w:r w:rsidRPr="00CF0087">
        <w:t xml:space="preserve"> field</w:t>
      </w:r>
    </w:p>
    <w:p w:rsidR="00000000" w:rsidRPr="00CF0087" w:rsidP="00CF0087">
      <w:pPr>
        <w:pStyle w:val="BodyText"/>
      </w:pPr>
      <w:r w:rsidRPr="00CF0087">
        <w:t>Fabrication</w:t>
      </w:r>
    </w:p>
    <w:p w:rsidR="00000000" w:rsidRPr="00CF0087" w:rsidP="00CF0087">
      <w:pPr>
        <w:pStyle w:val="AllowPageBreak"/>
      </w:pPr>
    </w:p>
    <w:p w:rsidR="00000000" w:rsidRPr="00CF0087" w:rsidP="00CF0087">
      <w:pPr>
        <w:pStyle w:val="Heading1"/>
      </w:pPr>
      <w:bookmarkStart w:id="15" w:name="O_311748"/>
      <w:bookmarkEnd w:id="15"/>
      <w:r w:rsidRPr="00CF0087">
        <w:t>Band</w:t>
      </w:r>
    </w:p>
    <w:p w:rsidR="00000000" w:rsidRPr="00CF0087" w:rsidP="00CF0087">
      <w:pPr>
        <w:pStyle w:val="BodyText"/>
      </w:pPr>
      <w:r w:rsidRPr="00CF0087">
        <w:t>A</w:t>
      </w:r>
    </w:p>
    <w:p w:rsidR="00000000" w:rsidRPr="00CF0087" w:rsidP="00CF0087">
      <w:pPr>
        <w:pStyle w:val="AllowPageBreak"/>
      </w:pPr>
    </w:p>
    <w:p w:rsidR="00000000" w:rsidRPr="00CF0087" w:rsidP="00CF0087">
      <w:pPr>
        <w:pStyle w:val="Heading1"/>
      </w:pPr>
      <w:bookmarkStart w:id="16" w:name="O_311751"/>
      <w:bookmarkEnd w:id="16"/>
      <w:r w:rsidRPr="00CF0087">
        <w:t>Unit Weight</w:t>
      </w:r>
    </w:p>
    <w:p w:rsidR="00000000" w:rsidRPr="00CF0087" w:rsidP="00CF0087">
      <w:pPr>
        <w:pStyle w:val="BodyText"/>
      </w:pPr>
      <w:r w:rsidRPr="00CF0087">
        <w:t>8</w:t>
      </w:r>
    </w:p>
    <w:p w:rsidR="00000000" w:rsidRPr="00CF0087" w:rsidP="00CF0087"/>
    <w:sectPr w:rsidSect="00CF0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073" w:rsidP="00E90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73" w:rsidP="00CF0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90073" w:rsidP="00CF0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0073" w:rsidP="00CF0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0073" w:rsidP="00E900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073" w:rsidP="00CF0087">
    <w:pPr>
      <w:pStyle w:val="Header"/>
      <w:framePr w:wrap="around"/>
    </w:pPr>
    <w:r>
      <w:fldChar w:fldCharType="begin"/>
    </w:r>
    <w:r>
      <w:instrText xml:space="preserve"> TITLE   \* MERGEFORMAT </w:instrText>
    </w:r>
    <w:r>
      <w:fldChar w:fldCharType="separate"/>
    </w:r>
    <w:r>
      <w:t>MEM05010B Apply fabrication, forming and shaping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0073" w:rsidP="00CF0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0087"/>
    <w:pPr>
      <w:spacing w:before="360" w:after="60"/>
      <w:outlineLvl w:val="0"/>
    </w:pPr>
    <w:rPr>
      <w:sz w:val="32"/>
    </w:rPr>
  </w:style>
  <w:style w:type="paragraph" w:styleId="Heading2">
    <w:name w:val="heading 2"/>
    <w:basedOn w:val="HeadingBase"/>
    <w:next w:val="BodyText"/>
    <w:link w:val="Heading2Char"/>
    <w:qFormat/>
    <w:rsid w:val="00CF0087"/>
    <w:pPr>
      <w:keepLines/>
      <w:spacing w:before="240" w:after="120"/>
      <w:outlineLvl w:val="1"/>
    </w:pPr>
    <w:rPr>
      <w:sz w:val="28"/>
      <w:szCs w:val="40"/>
    </w:rPr>
  </w:style>
  <w:style w:type="paragraph" w:styleId="Heading3">
    <w:name w:val="heading 3"/>
    <w:basedOn w:val="HeadingBase"/>
    <w:next w:val="BodyText"/>
    <w:link w:val="Heading3Char"/>
    <w:qFormat/>
    <w:rsid w:val="00CF0087"/>
    <w:pPr>
      <w:spacing w:before="180" w:after="120"/>
      <w:outlineLvl w:val="2"/>
    </w:pPr>
    <w:rPr>
      <w:spacing w:val="-10"/>
      <w:kern w:val="32"/>
    </w:rPr>
  </w:style>
  <w:style w:type="paragraph" w:styleId="Heading4">
    <w:name w:val="heading 4"/>
    <w:basedOn w:val="HeadingBase"/>
    <w:next w:val="BodyText"/>
    <w:link w:val="Heading4Char"/>
    <w:qFormat/>
    <w:rsid w:val="00CF0087"/>
    <w:pPr>
      <w:spacing w:before="160" w:after="120"/>
      <w:outlineLvl w:val="3"/>
    </w:pPr>
    <w:rPr>
      <w:sz w:val="22"/>
    </w:rPr>
  </w:style>
  <w:style w:type="paragraph" w:styleId="Heading5">
    <w:name w:val="heading 5"/>
    <w:basedOn w:val="HeadingBase"/>
    <w:next w:val="Normal"/>
    <w:link w:val="Heading5Char"/>
    <w:qFormat/>
    <w:rsid w:val="00CF0087"/>
    <w:pPr>
      <w:spacing w:before="80"/>
      <w:outlineLvl w:val="4"/>
    </w:pPr>
    <w:rPr>
      <w:color w:val="918585"/>
      <w:sz w:val="20"/>
    </w:rPr>
  </w:style>
  <w:style w:type="paragraph" w:styleId="Heading6">
    <w:name w:val="heading 6"/>
    <w:basedOn w:val="HeadingBase"/>
    <w:next w:val="Normal"/>
    <w:link w:val="Heading6Char"/>
    <w:qFormat/>
    <w:rsid w:val="00CF0087"/>
    <w:pPr>
      <w:spacing w:before="60"/>
      <w:outlineLvl w:val="5"/>
    </w:pPr>
    <w:rPr>
      <w:color w:val="918585"/>
      <w:sz w:val="20"/>
    </w:rPr>
  </w:style>
  <w:style w:type="paragraph" w:styleId="Heading7">
    <w:name w:val="heading 7"/>
    <w:basedOn w:val="Normal"/>
    <w:next w:val="Normal"/>
    <w:link w:val="Heading7Char"/>
    <w:qFormat/>
    <w:rsid w:val="00CF0087"/>
    <w:pPr>
      <w:ind w:left="720"/>
      <w:outlineLvl w:val="6"/>
    </w:pPr>
    <w:rPr>
      <w:i/>
    </w:rPr>
  </w:style>
  <w:style w:type="paragraph" w:styleId="Heading8">
    <w:name w:val="heading 8"/>
    <w:basedOn w:val="Normal"/>
    <w:next w:val="Normal"/>
    <w:link w:val="Heading8Char"/>
    <w:qFormat/>
    <w:rsid w:val="00CF0087"/>
    <w:pPr>
      <w:ind w:left="720"/>
      <w:outlineLvl w:val="7"/>
    </w:pPr>
    <w:rPr>
      <w:i/>
    </w:rPr>
  </w:style>
  <w:style w:type="paragraph" w:styleId="Heading9">
    <w:name w:val="heading 9"/>
    <w:basedOn w:val="Normal"/>
    <w:next w:val="Normal"/>
    <w:link w:val="Heading9Char"/>
    <w:qFormat/>
    <w:rsid w:val="00CF0087"/>
    <w:pPr>
      <w:ind w:left="720"/>
      <w:outlineLvl w:val="8"/>
    </w:pPr>
    <w:rPr>
      <w:i/>
    </w:rPr>
  </w:style>
  <w:style w:type="character" w:default="1" w:styleId="DefaultParagraphFont">
    <w:name w:val="Default Paragraph Font"/>
    <w:uiPriority w:val="1"/>
    <w:unhideWhenUsed/>
    <w:rsid w:val="00CF0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087"/>
  </w:style>
  <w:style w:type="character" w:customStyle="1" w:styleId="Heading1Char">
    <w:name w:val="Heading 1 Char"/>
    <w:link w:val="Heading1"/>
    <w:rsid w:val="00CF0087"/>
    <w:rPr>
      <w:rFonts w:ascii="Times New Roman" w:eastAsia="Times New Roman" w:hAnsi="Times New Roman" w:cs="Times New Roman"/>
      <w:b/>
      <w:sz w:val="32"/>
      <w:szCs w:val="20"/>
      <w:lang w:eastAsia="en-US"/>
    </w:rPr>
  </w:style>
  <w:style w:type="paragraph" w:styleId="BodyText">
    <w:name w:val="Body Text"/>
    <w:basedOn w:val="Normal"/>
    <w:link w:val="BodyTextChar"/>
    <w:rsid w:val="00CF0087"/>
    <w:pPr>
      <w:spacing w:before="120" w:after="120"/>
      <w:contextualSpacing/>
    </w:pPr>
    <w:rPr>
      <w:rFonts w:ascii="Times New Roman" w:hAnsi="Times New Roman"/>
      <w:sz w:val="24"/>
      <w:szCs w:val="22"/>
    </w:rPr>
  </w:style>
  <w:style w:type="character" w:customStyle="1" w:styleId="BodyTextChar">
    <w:name w:val="Body Text Char"/>
    <w:link w:val="BodyText"/>
    <w:rsid w:val="00CF0087"/>
    <w:rPr>
      <w:rFonts w:ascii="Times New Roman" w:eastAsia="Times New Roman" w:hAnsi="Times New Roman" w:cs="Times New Roman"/>
      <w:sz w:val="24"/>
      <w:lang w:val="en-US" w:eastAsia="en-US"/>
    </w:rPr>
  </w:style>
  <w:style w:type="paragraph" w:styleId="Footer">
    <w:name w:val="footer"/>
    <w:basedOn w:val="Normal"/>
    <w:link w:val="FooterChar"/>
    <w:rsid w:val="00CF0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F0087"/>
    <w:rPr>
      <w:rFonts w:ascii="Times New Roman" w:eastAsia="Times New Roman" w:hAnsi="Times New Roman" w:cs="Times New Roman"/>
      <w:sz w:val="16"/>
      <w:lang w:val="en-US" w:eastAsia="en-US"/>
    </w:rPr>
  </w:style>
  <w:style w:type="character" w:customStyle="1" w:styleId="SpecialBold">
    <w:name w:val="Special Bold"/>
    <w:rsid w:val="00CF0087"/>
    <w:rPr>
      <w:b/>
      <w:spacing w:val="0"/>
    </w:rPr>
  </w:style>
  <w:style w:type="paragraph" w:styleId="Header">
    <w:name w:val="header"/>
    <w:basedOn w:val="Normal"/>
    <w:link w:val="HeaderChar"/>
    <w:rsid w:val="00CF0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F0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0087"/>
    <w:pPr>
      <w:spacing w:before="240" w:after="120"/>
      <w:outlineLvl w:val="0"/>
    </w:pPr>
    <w:rPr>
      <w:rFonts w:ascii="Times New Roman" w:hAnsi="Times New Roman"/>
      <w:b/>
      <w:sz w:val="28"/>
    </w:rPr>
  </w:style>
  <w:style w:type="paragraph" w:customStyle="1" w:styleId="AllowPageBreak">
    <w:name w:val="AllowPageBreak"/>
    <w:rsid w:val="00CF00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F0087"/>
    <w:rPr>
      <w:rFonts w:ascii="Times New Roman" w:eastAsia="Times New Roman" w:hAnsi="Times New Roman" w:cs="Times New Roman"/>
      <w:b/>
      <w:sz w:val="28"/>
      <w:szCs w:val="40"/>
      <w:lang w:eastAsia="en-US"/>
    </w:rPr>
  </w:style>
  <w:style w:type="character" w:customStyle="1" w:styleId="Heading3Char">
    <w:name w:val="Heading 3 Char"/>
    <w:link w:val="Heading3"/>
    <w:rsid w:val="00CF00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F0087"/>
    <w:rPr>
      <w:rFonts w:ascii="Times New Roman" w:eastAsia="Times New Roman" w:hAnsi="Times New Roman" w:cs="Times New Roman"/>
      <w:b/>
      <w:szCs w:val="20"/>
      <w:lang w:eastAsia="en-US"/>
    </w:rPr>
  </w:style>
  <w:style w:type="character" w:customStyle="1" w:styleId="Heading5Char">
    <w:name w:val="Heading 5 Char"/>
    <w:link w:val="Heading5"/>
    <w:rsid w:val="00CF00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F0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0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0087"/>
    <w:rPr>
      <w:rFonts w:ascii="Courier New" w:eastAsia="Times New Roman" w:hAnsi="Courier New" w:cs="Times New Roman"/>
      <w:i/>
      <w:szCs w:val="20"/>
      <w:lang w:val="en-US" w:eastAsia="en-US"/>
    </w:rPr>
  </w:style>
  <w:style w:type="paragraph" w:customStyle="1" w:styleId="HeadingBase">
    <w:name w:val="Heading Base"/>
    <w:rsid w:val="00CF0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087"/>
    <w:pPr>
      <w:tabs>
        <w:tab w:val="right" w:leader="dot" w:pos="9072"/>
      </w:tabs>
      <w:ind w:left="567"/>
    </w:pPr>
    <w:rPr>
      <w:szCs w:val="22"/>
    </w:rPr>
  </w:style>
  <w:style w:type="paragraph" w:customStyle="1" w:styleId="TOCBase">
    <w:name w:val="TOC Base"/>
    <w:rsid w:val="00CF0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087"/>
    <w:pPr>
      <w:tabs>
        <w:tab w:val="right" w:leader="dot" w:pos="9072"/>
      </w:tabs>
      <w:spacing w:before="40" w:after="40"/>
      <w:ind w:left="284"/>
    </w:pPr>
    <w:rPr>
      <w:rFonts w:ascii="Times New Roman" w:hAnsi="Times New Roman"/>
    </w:rPr>
  </w:style>
  <w:style w:type="paragraph" w:styleId="TOC1">
    <w:name w:val="toc 1"/>
    <w:basedOn w:val="TOCBase"/>
    <w:next w:val="Normal"/>
    <w:rsid w:val="00CF0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0087"/>
    <w:pPr>
      <w:spacing w:before="5040"/>
      <w:jc w:val="center"/>
    </w:pPr>
    <w:rPr>
      <w:sz w:val="48"/>
      <w:szCs w:val="72"/>
      <w:lang w:val="en-US"/>
    </w:rPr>
  </w:style>
  <w:style w:type="character" w:customStyle="1" w:styleId="TitleChar">
    <w:name w:val="Title Char"/>
    <w:link w:val="Title"/>
    <w:rsid w:val="00CF0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087"/>
    <w:pPr>
      <w:tabs>
        <w:tab w:val="left" w:pos="3600"/>
        <w:tab w:val="left" w:pos="3958"/>
      </w:tabs>
    </w:pPr>
  </w:style>
  <w:style w:type="paragraph" w:styleId="List">
    <w:name w:val="List"/>
    <w:basedOn w:val="BodyText"/>
    <w:next w:val="BodyText"/>
    <w:rsid w:val="00CF0087"/>
    <w:pPr>
      <w:tabs>
        <w:tab w:val="left" w:pos="340"/>
      </w:tabs>
      <w:spacing w:before="60" w:after="60"/>
      <w:ind w:left="340" w:hanging="340"/>
    </w:pPr>
  </w:style>
  <w:style w:type="paragraph" w:styleId="ListBullet">
    <w:name w:val="List Bullet"/>
    <w:basedOn w:val="List"/>
    <w:rsid w:val="00CF0087"/>
    <w:pPr>
      <w:numPr>
        <w:numId w:val="11"/>
      </w:numPr>
      <w:tabs>
        <w:tab w:val="clear" w:pos="340"/>
      </w:tabs>
      <w:spacing w:before="40" w:after="40"/>
    </w:pPr>
  </w:style>
  <w:style w:type="paragraph" w:customStyle="1" w:styleId="Note">
    <w:name w:val="Note"/>
    <w:basedOn w:val="BodyText"/>
    <w:rsid w:val="00CF0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087"/>
    <w:pPr>
      <w:framePr w:wrap="auto" w:hAnchor="text" w:y="6049"/>
    </w:pPr>
    <w:rPr>
      <w:color w:val="000000"/>
      <w:sz w:val="40"/>
    </w:rPr>
  </w:style>
  <w:style w:type="paragraph" w:customStyle="1" w:styleId="TOCTitle">
    <w:name w:val="TOCTitle"/>
    <w:basedOn w:val="Heading1"/>
    <w:rsid w:val="00CF0087"/>
    <w:pPr>
      <w:spacing w:after="240"/>
      <w:jc w:val="center"/>
      <w:outlineLvl w:val="9"/>
    </w:pPr>
    <w:rPr>
      <w:caps/>
    </w:rPr>
  </w:style>
  <w:style w:type="paragraph" w:customStyle="1" w:styleId="Version">
    <w:name w:val="Version"/>
    <w:rsid w:val="00CF00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0087"/>
    <w:pPr>
      <w:numPr>
        <w:numId w:val="12"/>
      </w:numPr>
      <w:tabs>
        <w:tab w:val="clear" w:pos="680"/>
      </w:tabs>
    </w:pPr>
  </w:style>
  <w:style w:type="paragraph" w:styleId="Index1">
    <w:name w:val="index 1"/>
    <w:basedOn w:val="Normal"/>
    <w:next w:val="Normal"/>
    <w:semiHidden/>
    <w:rsid w:val="00CF0087"/>
    <w:pPr>
      <w:keepNext w:val="0"/>
      <w:tabs>
        <w:tab w:val="right" w:pos="4176"/>
      </w:tabs>
      <w:ind w:left="198" w:hanging="198"/>
    </w:pPr>
    <w:rPr>
      <w:rFonts w:ascii="Garamond" w:hAnsi="Garamond"/>
    </w:rPr>
  </w:style>
  <w:style w:type="paragraph" w:styleId="IndexHeading">
    <w:name w:val="index heading"/>
    <w:basedOn w:val="Normal"/>
    <w:next w:val="Index1"/>
    <w:semiHidden/>
    <w:rsid w:val="00CF0087"/>
    <w:pPr>
      <w:spacing w:before="120" w:after="120"/>
    </w:pPr>
    <w:rPr>
      <w:rFonts w:ascii="Arial" w:hAnsi="Arial"/>
      <w:b/>
      <w:color w:val="918585"/>
      <w:sz w:val="24"/>
    </w:rPr>
  </w:style>
  <w:style w:type="paragraph" w:customStyle="1" w:styleId="Chapter">
    <w:name w:val="Chapter"/>
    <w:basedOn w:val="Normal"/>
    <w:rsid w:val="00CF0087"/>
    <w:pPr>
      <w:spacing w:before="240"/>
    </w:pPr>
    <w:rPr>
      <w:rFonts w:ascii="Times New Roman" w:hAnsi="Times New Roman"/>
      <w:smallCaps/>
      <w:spacing w:val="80"/>
      <w:sz w:val="28"/>
    </w:rPr>
  </w:style>
  <w:style w:type="paragraph" w:customStyle="1" w:styleId="InChapter">
    <w:name w:val="InChapter"/>
    <w:basedOn w:val="Heading3"/>
    <w:rsid w:val="00CF0087"/>
    <w:pPr>
      <w:spacing w:after="240"/>
      <w:outlineLvl w:val="9"/>
    </w:pPr>
    <w:rPr>
      <w:noProof/>
    </w:rPr>
  </w:style>
  <w:style w:type="paragraph" w:styleId="Index2">
    <w:name w:val="index 2"/>
    <w:basedOn w:val="Normal"/>
    <w:next w:val="Normal"/>
    <w:semiHidden/>
    <w:rsid w:val="00CF0087"/>
    <w:pPr>
      <w:tabs>
        <w:tab w:val="right" w:pos="4176"/>
      </w:tabs>
      <w:ind w:left="568" w:hanging="284"/>
    </w:pPr>
    <w:rPr>
      <w:rFonts w:ascii="Garamond" w:hAnsi="Garamond"/>
    </w:rPr>
  </w:style>
  <w:style w:type="paragraph" w:customStyle="1" w:styleId="Byline">
    <w:name w:val="Byline"/>
    <w:rsid w:val="00CF0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087"/>
    <w:pPr>
      <w:tabs>
        <w:tab w:val="clear" w:pos="3600"/>
        <w:tab w:val="clear" w:pos="3958"/>
      </w:tabs>
      <w:jc w:val="right"/>
    </w:pPr>
  </w:style>
  <w:style w:type="character" w:styleId="Emphasis">
    <w:name w:val="Emphasis"/>
    <w:qFormat/>
    <w:rsid w:val="00CF0087"/>
    <w:rPr>
      <w:i/>
    </w:rPr>
  </w:style>
  <w:style w:type="paragraph" w:styleId="Caption">
    <w:name w:val="caption"/>
    <w:basedOn w:val="BodyText"/>
    <w:next w:val="Normal"/>
    <w:qFormat/>
    <w:rsid w:val="00CF0087"/>
    <w:pPr>
      <w:framePr w:w="2268" w:hSpace="181" w:vSpace="181" w:wrap="around" w:vAnchor="text" w:hAnchor="page" w:x="1135" w:y="285" w:anchorLock="1"/>
    </w:pPr>
    <w:rPr>
      <w:i/>
    </w:rPr>
  </w:style>
  <w:style w:type="paragraph" w:customStyle="1" w:styleId="MiniTOCTitle">
    <w:name w:val="MiniTOCTitle"/>
    <w:basedOn w:val="Heading4"/>
    <w:rsid w:val="00CF0087"/>
    <w:pPr>
      <w:spacing w:before="240"/>
      <w:outlineLvl w:val="9"/>
    </w:pPr>
    <w:rPr>
      <w:noProof/>
      <w:sz w:val="24"/>
    </w:rPr>
  </w:style>
  <w:style w:type="paragraph" w:customStyle="1" w:styleId="MiniTOCItem">
    <w:name w:val="MiniTOCItem"/>
    <w:basedOn w:val="ListBullet"/>
    <w:rsid w:val="00CF0087"/>
    <w:pPr>
      <w:numPr>
        <w:numId w:val="0"/>
      </w:numPr>
      <w:tabs>
        <w:tab w:val="right" w:leader="dot" w:pos="6521"/>
      </w:tabs>
      <w:spacing w:before="0" w:after="0"/>
    </w:pPr>
  </w:style>
  <w:style w:type="paragraph" w:customStyle="1" w:styleId="TOFTitle">
    <w:name w:val="TOFTitle"/>
    <w:basedOn w:val="TOCTitle"/>
    <w:rsid w:val="00CF0087"/>
  </w:style>
  <w:style w:type="paragraph" w:styleId="TableofFigures">
    <w:name w:val="table of figures"/>
    <w:basedOn w:val="Normal"/>
    <w:next w:val="Normal"/>
    <w:semiHidden/>
    <w:rsid w:val="00CF0087"/>
    <w:pPr>
      <w:tabs>
        <w:tab w:val="right" w:leader="dot" w:pos="9072"/>
      </w:tabs>
      <w:ind w:left="970" w:hanging="403"/>
    </w:pPr>
    <w:rPr>
      <w:rFonts w:ascii="Times New Roman" w:hAnsi="Times New Roman"/>
      <w:b/>
    </w:rPr>
  </w:style>
  <w:style w:type="paragraph" w:styleId="ListNumber">
    <w:name w:val="List Number"/>
    <w:basedOn w:val="List"/>
    <w:rsid w:val="00CF0087"/>
    <w:pPr>
      <w:numPr>
        <w:numId w:val="9"/>
      </w:numPr>
    </w:pPr>
  </w:style>
  <w:style w:type="character" w:customStyle="1" w:styleId="WingdingSymbols">
    <w:name w:val="Wingding Symbols"/>
    <w:rsid w:val="00CF0087"/>
    <w:rPr>
      <w:rFonts w:ascii="Wingdings" w:hAnsi="Wingdings"/>
    </w:rPr>
  </w:style>
  <w:style w:type="paragraph" w:customStyle="1" w:styleId="TableHeading">
    <w:name w:val="Table Heading"/>
    <w:basedOn w:val="HeadingBase"/>
    <w:rsid w:val="00CF0087"/>
    <w:pPr>
      <w:keepLines/>
      <w:pBdr>
        <w:bottom w:val="single" w:sz="6" w:space="1" w:color="918585"/>
      </w:pBdr>
      <w:spacing w:before="240"/>
    </w:pPr>
  </w:style>
  <w:style w:type="character" w:customStyle="1" w:styleId="HotSpot">
    <w:name w:val="HotSpot"/>
    <w:rsid w:val="00CF0087"/>
    <w:rPr>
      <w:color w:val="0033CC"/>
      <w:u w:val="none"/>
    </w:rPr>
  </w:style>
  <w:style w:type="paragraph" w:customStyle="1" w:styleId="BodyTextRight">
    <w:name w:val="Body Text Right"/>
    <w:basedOn w:val="BodyText"/>
    <w:rsid w:val="00CF0087"/>
    <w:pPr>
      <w:spacing w:before="0" w:after="0"/>
      <w:jc w:val="right"/>
    </w:pPr>
  </w:style>
  <w:style w:type="paragraph" w:styleId="Index3">
    <w:name w:val="index 3"/>
    <w:basedOn w:val="ListNumber2"/>
    <w:next w:val="Normal"/>
    <w:semiHidden/>
    <w:rsid w:val="00CF0087"/>
    <w:pPr>
      <w:numPr>
        <w:numId w:val="0"/>
      </w:numPr>
      <w:tabs>
        <w:tab w:val="right" w:leader="dot" w:pos="4176"/>
      </w:tabs>
    </w:pPr>
  </w:style>
  <w:style w:type="paragraph" w:styleId="ListNumber2">
    <w:name w:val="List Number 2"/>
    <w:basedOn w:val="List2"/>
    <w:rsid w:val="00CF0087"/>
    <w:pPr>
      <w:numPr>
        <w:numId w:val="8"/>
      </w:numPr>
      <w:tabs>
        <w:tab w:val="clear" w:pos="1060"/>
      </w:tabs>
    </w:pPr>
  </w:style>
  <w:style w:type="paragraph" w:customStyle="1" w:styleId="MarginNote">
    <w:name w:val="Margin Note"/>
    <w:basedOn w:val="BodyText"/>
    <w:rsid w:val="00CF0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F0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0087"/>
    <w:rPr>
      <w:sz w:val="32"/>
    </w:rPr>
  </w:style>
  <w:style w:type="paragraph" w:customStyle="1" w:styleId="HeadingProcedure">
    <w:name w:val="Heading Procedure"/>
    <w:basedOn w:val="HeadingBase"/>
    <w:next w:val="Normal"/>
    <w:rsid w:val="00CF0087"/>
    <w:pPr>
      <w:tabs>
        <w:tab w:val="left" w:pos="0"/>
      </w:tabs>
      <w:spacing w:before="120" w:after="60"/>
    </w:pPr>
    <w:rPr>
      <w:i/>
      <w:color w:val="918585"/>
      <w:sz w:val="22"/>
    </w:rPr>
  </w:style>
  <w:style w:type="paragraph" w:customStyle="1" w:styleId="TableBodyText">
    <w:name w:val="Table Body Text"/>
    <w:basedOn w:val="BodyText"/>
    <w:rsid w:val="00CF0087"/>
    <w:pPr>
      <w:spacing w:before="60" w:after="60"/>
    </w:pPr>
  </w:style>
  <w:style w:type="paragraph" w:styleId="ListContinue">
    <w:name w:val="List Continue"/>
    <w:basedOn w:val="List"/>
    <w:rsid w:val="00CF0087"/>
    <w:pPr>
      <w:ind w:firstLine="0"/>
    </w:pPr>
  </w:style>
  <w:style w:type="paragraph" w:customStyle="1" w:styleId="ListNote">
    <w:name w:val="List Note"/>
    <w:basedOn w:val="List"/>
    <w:rsid w:val="00CF0087"/>
    <w:pPr>
      <w:pBdr>
        <w:top w:val="single" w:sz="6" w:space="2" w:color="918585"/>
        <w:bottom w:val="single" w:sz="6" w:space="2" w:color="918585"/>
      </w:pBdr>
      <w:tabs>
        <w:tab w:val="left" w:pos="1021"/>
      </w:tabs>
      <w:ind w:firstLine="0"/>
    </w:pPr>
  </w:style>
  <w:style w:type="paragraph" w:customStyle="1" w:styleId="Warning">
    <w:name w:val="Warning"/>
    <w:basedOn w:val="BodyText"/>
    <w:rsid w:val="00CF0087"/>
    <w:pPr>
      <w:shd w:val="clear" w:color="auto" w:fill="D9D9D9"/>
      <w:tabs>
        <w:tab w:val="left" w:pos="992"/>
      </w:tabs>
      <w:ind w:left="119" w:right="119"/>
    </w:pPr>
    <w:rPr>
      <w:sz w:val="20"/>
    </w:rPr>
  </w:style>
  <w:style w:type="paragraph" w:customStyle="1" w:styleId="MarginIcons">
    <w:name w:val="Margin Icons"/>
    <w:basedOn w:val="BodyText"/>
    <w:rsid w:val="00CF00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F0087"/>
    <w:rPr>
      <w:rFonts w:ascii="Courier New" w:hAnsi="Courier New"/>
    </w:rPr>
  </w:style>
  <w:style w:type="paragraph" w:customStyle="1" w:styleId="NoteBullet">
    <w:name w:val="Note Bullet"/>
    <w:basedOn w:val="Note"/>
    <w:rsid w:val="00CF0087"/>
    <w:pPr>
      <w:tabs>
        <w:tab w:val="clear" w:pos="680"/>
      </w:tabs>
      <w:spacing w:before="60" w:after="60"/>
    </w:pPr>
  </w:style>
  <w:style w:type="paragraph" w:customStyle="1" w:styleId="SubHeading2">
    <w:name w:val="SubHeading2"/>
    <w:basedOn w:val="HeadingBase"/>
    <w:rsid w:val="00CF0087"/>
    <w:pPr>
      <w:spacing w:before="240" w:after="60"/>
    </w:pPr>
    <w:rPr>
      <w:sz w:val="20"/>
    </w:rPr>
  </w:style>
  <w:style w:type="paragraph" w:customStyle="1" w:styleId="SubHeading1">
    <w:name w:val="SubHeading1"/>
    <w:basedOn w:val="HeadingBase"/>
    <w:rsid w:val="00CF0087"/>
    <w:pPr>
      <w:spacing w:before="240" w:after="60"/>
    </w:pPr>
    <w:rPr>
      <w:color w:val="918585"/>
      <w:sz w:val="22"/>
    </w:rPr>
  </w:style>
  <w:style w:type="paragraph" w:customStyle="1" w:styleId="SideHeading">
    <w:name w:val="Side Heading"/>
    <w:basedOn w:val="HeadingBase"/>
    <w:rsid w:val="00CF0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087"/>
    <w:pPr>
      <w:numPr>
        <w:numId w:val="10"/>
      </w:numPr>
    </w:pPr>
  </w:style>
  <w:style w:type="paragraph" w:styleId="PlainText">
    <w:name w:val="Plain Text"/>
    <w:basedOn w:val="Normal"/>
    <w:link w:val="PlainTextChar"/>
    <w:rsid w:val="00CF0087"/>
    <w:rPr>
      <w:sz w:val="20"/>
    </w:rPr>
  </w:style>
  <w:style w:type="character" w:customStyle="1" w:styleId="PlainTextChar">
    <w:name w:val="Plain Text Char"/>
    <w:basedOn w:val="DefaultParagraphFont"/>
    <w:link w:val="PlainText"/>
    <w:rsid w:val="00CF0087"/>
    <w:rPr>
      <w:rFonts w:ascii="Courier New" w:eastAsia="Times New Roman" w:hAnsi="Courier New" w:cs="Times New Roman"/>
      <w:sz w:val="20"/>
      <w:szCs w:val="20"/>
      <w:lang w:val="en-US" w:eastAsia="en-US"/>
    </w:rPr>
  </w:style>
  <w:style w:type="character" w:customStyle="1" w:styleId="MenuOption">
    <w:name w:val="Menu Option"/>
    <w:rsid w:val="00CF0087"/>
    <w:rPr>
      <w:b/>
      <w:smallCaps/>
    </w:rPr>
  </w:style>
  <w:style w:type="paragraph" w:customStyle="1" w:styleId="TableListNumber">
    <w:name w:val="Table List Number"/>
    <w:basedOn w:val="ListNumber"/>
    <w:rsid w:val="00CF0087"/>
    <w:pPr>
      <w:numPr>
        <w:numId w:val="0"/>
      </w:numPr>
    </w:pPr>
  </w:style>
  <w:style w:type="paragraph" w:styleId="TOC4">
    <w:name w:val="toc 4"/>
    <w:basedOn w:val="TOCBase"/>
    <w:next w:val="Normal"/>
    <w:semiHidden/>
    <w:rsid w:val="00CF0087"/>
    <w:pPr>
      <w:tabs>
        <w:tab w:val="right" w:leader="dot" w:pos="9071"/>
      </w:tabs>
      <w:ind w:left="1701"/>
    </w:pPr>
  </w:style>
  <w:style w:type="paragraph" w:customStyle="1" w:styleId="ListAlpha">
    <w:name w:val="List Alpha"/>
    <w:basedOn w:val="List"/>
    <w:rsid w:val="00CF0087"/>
    <w:pPr>
      <w:numPr>
        <w:numId w:val="7"/>
      </w:numPr>
    </w:pPr>
  </w:style>
  <w:style w:type="paragraph" w:customStyle="1" w:styleId="ListAlpha2">
    <w:name w:val="List Alpha 2"/>
    <w:basedOn w:val="List2"/>
    <w:rsid w:val="00CF0087"/>
    <w:pPr>
      <w:numPr>
        <w:numId w:val="6"/>
      </w:numPr>
    </w:pPr>
  </w:style>
  <w:style w:type="paragraph" w:styleId="List2">
    <w:name w:val="List 2"/>
    <w:basedOn w:val="BodyText"/>
    <w:rsid w:val="00CF0087"/>
    <w:pPr>
      <w:tabs>
        <w:tab w:val="left" w:pos="680"/>
      </w:tabs>
      <w:spacing w:before="60" w:after="60"/>
      <w:ind w:left="680" w:hanging="340"/>
    </w:pPr>
  </w:style>
  <w:style w:type="paragraph" w:styleId="List3">
    <w:name w:val="List 3"/>
    <w:basedOn w:val="BodyText"/>
    <w:rsid w:val="00CF0087"/>
    <w:pPr>
      <w:tabs>
        <w:tab w:val="left" w:pos="1021"/>
      </w:tabs>
      <w:spacing w:before="60" w:after="60"/>
      <w:ind w:left="1020" w:hanging="340"/>
    </w:pPr>
  </w:style>
  <w:style w:type="paragraph" w:styleId="List4">
    <w:name w:val="List 4"/>
    <w:basedOn w:val="BodyText"/>
    <w:rsid w:val="00CF0087"/>
    <w:pPr>
      <w:tabs>
        <w:tab w:val="left" w:pos="1361"/>
      </w:tabs>
      <w:spacing w:before="60" w:after="60"/>
      <w:ind w:left="1361" w:hanging="340"/>
    </w:pPr>
  </w:style>
  <w:style w:type="paragraph" w:styleId="List5">
    <w:name w:val="List 5"/>
    <w:basedOn w:val="BodyText"/>
    <w:rsid w:val="00CF0087"/>
    <w:pPr>
      <w:tabs>
        <w:tab w:val="left" w:pos="1701"/>
      </w:tabs>
      <w:spacing w:before="60" w:after="60"/>
      <w:ind w:left="1701" w:hanging="340"/>
    </w:pPr>
  </w:style>
  <w:style w:type="paragraph" w:styleId="ListBullet3">
    <w:name w:val="List Bullet 3"/>
    <w:basedOn w:val="List3"/>
    <w:rsid w:val="00CF0087"/>
    <w:pPr>
      <w:numPr>
        <w:numId w:val="13"/>
      </w:numPr>
      <w:tabs>
        <w:tab w:val="clear" w:pos="1021"/>
      </w:tabs>
      <w:ind w:left="1037" w:hanging="357"/>
    </w:pPr>
  </w:style>
  <w:style w:type="paragraph" w:styleId="ListBullet4">
    <w:name w:val="List Bullet 4"/>
    <w:basedOn w:val="List4"/>
    <w:rsid w:val="00CF0087"/>
    <w:pPr>
      <w:numPr>
        <w:numId w:val="1"/>
      </w:numPr>
    </w:pPr>
  </w:style>
  <w:style w:type="paragraph" w:styleId="ListBullet5">
    <w:name w:val="List Bullet 5"/>
    <w:basedOn w:val="List5"/>
    <w:rsid w:val="00CF0087"/>
    <w:pPr>
      <w:numPr>
        <w:numId w:val="2"/>
      </w:numPr>
    </w:pPr>
  </w:style>
  <w:style w:type="paragraph" w:styleId="ListContinue2">
    <w:name w:val="List Continue 2"/>
    <w:basedOn w:val="List2"/>
    <w:rsid w:val="00CF0087"/>
    <w:pPr>
      <w:ind w:firstLine="0"/>
    </w:pPr>
  </w:style>
  <w:style w:type="paragraph" w:styleId="ListContinue3">
    <w:name w:val="List Continue 3"/>
    <w:basedOn w:val="List3"/>
    <w:rsid w:val="00CF0087"/>
    <w:pPr>
      <w:ind w:left="1021" w:firstLine="0"/>
    </w:pPr>
  </w:style>
  <w:style w:type="paragraph" w:styleId="ListContinue4">
    <w:name w:val="List Continue 4"/>
    <w:basedOn w:val="List4"/>
    <w:rsid w:val="00CF0087"/>
    <w:pPr>
      <w:ind w:firstLine="0"/>
    </w:pPr>
  </w:style>
  <w:style w:type="paragraph" w:styleId="ListContinue5">
    <w:name w:val="List Continue 5"/>
    <w:basedOn w:val="List5"/>
    <w:rsid w:val="00CF0087"/>
    <w:pPr>
      <w:ind w:firstLine="0"/>
    </w:pPr>
  </w:style>
  <w:style w:type="paragraph" w:styleId="ListNumber3">
    <w:name w:val="List Number 3"/>
    <w:basedOn w:val="List3"/>
    <w:rsid w:val="00CF0087"/>
    <w:pPr>
      <w:numPr>
        <w:numId w:val="3"/>
      </w:numPr>
    </w:pPr>
  </w:style>
  <w:style w:type="paragraph" w:styleId="ListNumber4">
    <w:name w:val="List Number 4"/>
    <w:basedOn w:val="List4"/>
    <w:rsid w:val="00CF0087"/>
    <w:pPr>
      <w:numPr>
        <w:numId w:val="4"/>
      </w:numPr>
    </w:pPr>
  </w:style>
  <w:style w:type="paragraph" w:styleId="ListNumber5">
    <w:name w:val="List Number 5"/>
    <w:basedOn w:val="List5"/>
    <w:rsid w:val="00CF0087"/>
    <w:pPr>
      <w:numPr>
        <w:numId w:val="5"/>
      </w:numPr>
    </w:pPr>
  </w:style>
  <w:style w:type="paragraph" w:styleId="BlockText">
    <w:name w:val="Block Text"/>
    <w:basedOn w:val="Normal"/>
    <w:rsid w:val="00CF0087"/>
    <w:pPr>
      <w:spacing w:after="120"/>
      <w:ind w:left="1440" w:right="1440"/>
    </w:pPr>
  </w:style>
  <w:style w:type="character" w:customStyle="1" w:styleId="Subscript">
    <w:name w:val="Subscript"/>
    <w:rsid w:val="00CF0087"/>
    <w:rPr>
      <w:sz w:val="16"/>
      <w:vertAlign w:val="subscript"/>
    </w:rPr>
  </w:style>
  <w:style w:type="character" w:customStyle="1" w:styleId="Superscript">
    <w:name w:val="Superscript"/>
    <w:rsid w:val="00CF0087"/>
    <w:rPr>
      <w:sz w:val="16"/>
      <w:vertAlign w:val="superscript"/>
    </w:rPr>
  </w:style>
  <w:style w:type="character" w:customStyle="1" w:styleId="Symbols">
    <w:name w:val="Symbols"/>
    <w:rsid w:val="00CF0087"/>
    <w:rPr>
      <w:rFonts w:ascii="Symbol" w:hAnsi="Symbol"/>
    </w:rPr>
  </w:style>
  <w:style w:type="character" w:customStyle="1" w:styleId="MenuOptions">
    <w:name w:val="Menu Options"/>
    <w:rsid w:val="00CF0087"/>
    <w:rPr>
      <w:rFonts w:ascii="Arial Narrow" w:hAnsi="Arial Narrow"/>
      <w:smallCaps/>
    </w:rPr>
  </w:style>
  <w:style w:type="character" w:customStyle="1" w:styleId="Buttons">
    <w:name w:val="Buttons"/>
    <w:rsid w:val="00CF0087"/>
    <w:rPr>
      <w:b/>
    </w:rPr>
  </w:style>
  <w:style w:type="character" w:customStyle="1" w:styleId="Underlined">
    <w:name w:val="Underlined"/>
    <w:rsid w:val="00CF0087"/>
    <w:rPr>
      <w:u w:val="single"/>
    </w:rPr>
  </w:style>
  <w:style w:type="paragraph" w:customStyle="1" w:styleId="TableBodyTextRight">
    <w:name w:val="Table Body Text Right"/>
    <w:basedOn w:val="TableBodyText"/>
    <w:rsid w:val="00CF0087"/>
    <w:pPr>
      <w:widowControl w:val="0"/>
      <w:autoSpaceDE w:val="0"/>
      <w:autoSpaceDN w:val="0"/>
      <w:adjustRightInd w:val="0"/>
      <w:jc w:val="right"/>
    </w:pPr>
    <w:rPr>
      <w:rFonts w:cs="Arial"/>
      <w:szCs w:val="18"/>
    </w:rPr>
  </w:style>
  <w:style w:type="paragraph" w:customStyle="1" w:styleId="CopyrightText">
    <w:name w:val="Copyright Text"/>
    <w:basedOn w:val="BodyText"/>
    <w:rsid w:val="00CF0087"/>
    <w:rPr>
      <w:sz w:val="18"/>
    </w:rPr>
  </w:style>
  <w:style w:type="paragraph" w:customStyle="1" w:styleId="BodySmallRight">
    <w:name w:val="Body Small Right"/>
    <w:basedOn w:val="BodyTextRight"/>
    <w:rsid w:val="00CF0087"/>
    <w:rPr>
      <w:sz w:val="18"/>
      <w:szCs w:val="18"/>
    </w:rPr>
  </w:style>
  <w:style w:type="paragraph" w:customStyle="1" w:styleId="MarginEdition">
    <w:name w:val="Margin Edition"/>
    <w:basedOn w:val="MarginNote"/>
    <w:rsid w:val="00CF0087"/>
    <w:pPr>
      <w:spacing w:before="0" w:after="0"/>
    </w:pPr>
    <w:rPr>
      <w:rFonts w:ascii="Times New Roman" w:hAnsi="Times New Roman"/>
      <w:color w:val="999999"/>
    </w:rPr>
  </w:style>
  <w:style w:type="paragraph" w:customStyle="1" w:styleId="Spacer">
    <w:name w:val="Spacer"/>
    <w:basedOn w:val="Normal"/>
    <w:rsid w:val="00CF0087"/>
    <w:rPr>
      <w:sz w:val="2"/>
      <w:szCs w:val="2"/>
    </w:rPr>
  </w:style>
  <w:style w:type="character" w:customStyle="1" w:styleId="Small">
    <w:name w:val="Small"/>
    <w:rsid w:val="00CF0087"/>
    <w:rPr>
      <w:sz w:val="16"/>
    </w:rPr>
  </w:style>
  <w:style w:type="paragraph" w:customStyle="1" w:styleId="WideTable">
    <w:name w:val="Wide Table"/>
    <w:basedOn w:val="Normal"/>
    <w:rsid w:val="00CF0087"/>
    <w:pPr>
      <w:ind w:left="-1418"/>
    </w:pPr>
    <w:rPr>
      <w:sz w:val="2"/>
      <w:szCs w:val="2"/>
    </w:rPr>
  </w:style>
  <w:style w:type="character" w:styleId="PageNumber">
    <w:name w:val="page number"/>
    <w:rsid w:val="00CF0087"/>
  </w:style>
  <w:style w:type="paragraph" w:styleId="Quote">
    <w:name w:val="Quote"/>
    <w:basedOn w:val="Heading1"/>
    <w:link w:val="QuoteChar"/>
    <w:qFormat/>
    <w:rsid w:val="00CF0087"/>
    <w:rPr>
      <w:b w:val="0"/>
      <w:sz w:val="72"/>
      <w:szCs w:val="72"/>
      <w:lang w:val="en-NZ"/>
    </w:rPr>
  </w:style>
  <w:style w:type="character" w:customStyle="1" w:styleId="QuoteChar">
    <w:name w:val="Quote Char"/>
    <w:link w:val="Quote"/>
    <w:rsid w:val="00CF0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087"/>
    <w:pPr>
      <w:pageBreakBefore/>
    </w:pPr>
  </w:style>
  <w:style w:type="paragraph" w:customStyle="1" w:styleId="Border">
    <w:name w:val="Border"/>
    <w:basedOn w:val="Normal"/>
    <w:qFormat/>
    <w:rsid w:val="00CF0087"/>
    <w:pPr>
      <w:pBdr>
        <w:top w:val="single" w:sz="18" w:space="1" w:color="auto"/>
      </w:pBdr>
    </w:pPr>
    <w:rPr>
      <w:rFonts w:ascii="Times New Roman" w:hAnsi="Times New Roman"/>
      <w:color w:val="FFFFFF"/>
      <w:sz w:val="2"/>
    </w:rPr>
  </w:style>
  <w:style w:type="character" w:styleId="IntenseEmphasis">
    <w:name w:val="Intense Emphasis"/>
    <w:uiPriority w:val="21"/>
    <w:qFormat/>
    <w:rsid w:val="00CF0087"/>
    <w:rPr>
      <w:b/>
      <w:bCs/>
      <w:i/>
      <w:iCs/>
      <w:color w:val="auto"/>
    </w:rPr>
  </w:style>
  <w:style w:type="paragraph" w:styleId="IntenseQuote">
    <w:name w:val="Intense Quote"/>
    <w:basedOn w:val="Normal"/>
    <w:next w:val="Normal"/>
    <w:link w:val="IntenseQuoteChar"/>
    <w:uiPriority w:val="30"/>
    <w:qFormat/>
    <w:rsid w:val="00CF00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F0087"/>
    <w:rPr>
      <w:rFonts w:ascii="Courier New" w:eastAsia="Times New Roman" w:hAnsi="Courier New" w:cs="Times New Roman"/>
      <w:b/>
      <w:bCs/>
      <w:i/>
      <w:iCs/>
      <w:szCs w:val="20"/>
      <w:lang w:val="en-US" w:eastAsia="en-US"/>
    </w:rPr>
  </w:style>
  <w:style w:type="character" w:styleId="SubtleReference">
    <w:name w:val="Subtle Reference"/>
    <w:uiPriority w:val="31"/>
    <w:qFormat/>
    <w:rsid w:val="00CF0087"/>
    <w:rPr>
      <w:smallCaps/>
      <w:color w:val="auto"/>
      <w:u w:val="single"/>
    </w:rPr>
  </w:style>
  <w:style w:type="character" w:styleId="IntenseReference">
    <w:name w:val="Intense Reference"/>
    <w:uiPriority w:val="32"/>
    <w:qFormat/>
    <w:rsid w:val="00CF0087"/>
    <w:rPr>
      <w:b/>
      <w:bCs/>
      <w:smallCaps/>
      <w:color w:val="auto"/>
      <w:spacing w:val="5"/>
      <w:u w:val="single"/>
    </w:rPr>
  </w:style>
  <w:style w:type="paragraph" w:customStyle="1" w:styleId="2ColumnHeading">
    <w:name w:val="2Column Heading"/>
    <w:basedOn w:val="BodyText"/>
    <w:qFormat/>
    <w:rsid w:val="00CF0087"/>
    <w:pPr>
      <w:spacing w:after="60"/>
      <w:ind w:left="-2268"/>
    </w:pPr>
    <w:rPr>
      <w:b/>
    </w:rPr>
  </w:style>
  <w:style w:type="paragraph" w:customStyle="1" w:styleId="Heading1TOC">
    <w:name w:val="Heading1 TOC"/>
    <w:basedOn w:val="Normal"/>
    <w:qFormat/>
    <w:rsid w:val="00CF0087"/>
    <w:pPr>
      <w:spacing w:before="240" w:after="120"/>
    </w:pPr>
    <w:rPr>
      <w:rFonts w:ascii="Times New Roman" w:hAnsi="Times New Roman"/>
      <w:b/>
      <w:sz w:val="32"/>
    </w:rPr>
  </w:style>
  <w:style w:type="paragraph" w:customStyle="1" w:styleId="Heading2TOC">
    <w:name w:val="Heading2 TOC"/>
    <w:basedOn w:val="Normal"/>
    <w:qFormat/>
    <w:rsid w:val="00CF0087"/>
    <w:pPr>
      <w:spacing w:before="240" w:after="60"/>
    </w:pPr>
    <w:rPr>
      <w:rFonts w:ascii="Times New Roman" w:hAnsi="Times New Roman"/>
      <w:b/>
      <w:sz w:val="28"/>
    </w:rPr>
  </w:style>
  <w:style w:type="character" w:customStyle="1" w:styleId="Underline">
    <w:name w:val="Underline"/>
    <w:qFormat/>
    <w:rsid w:val="00CF0087"/>
    <w:rPr>
      <w:u w:val="single"/>
    </w:rPr>
  </w:style>
  <w:style w:type="character" w:customStyle="1" w:styleId="BoldandItalics">
    <w:name w:val="Bold and Italics"/>
    <w:qFormat/>
    <w:rsid w:val="00CF0087"/>
    <w:rPr>
      <w:b/>
      <w:i/>
      <w:u w:val="none"/>
    </w:rPr>
  </w:style>
  <w:style w:type="paragraph" w:styleId="BalloonText">
    <w:name w:val="Balloon Text"/>
    <w:basedOn w:val="Normal"/>
    <w:link w:val="BalloonTextChar"/>
    <w:rsid w:val="00CF0087"/>
    <w:rPr>
      <w:rFonts w:ascii="Tahoma" w:hAnsi="Tahoma" w:cs="Tahoma"/>
      <w:sz w:val="16"/>
      <w:szCs w:val="16"/>
    </w:rPr>
  </w:style>
  <w:style w:type="character" w:customStyle="1" w:styleId="BalloonTextChar">
    <w:name w:val="Balloon Text Char"/>
    <w:link w:val="BalloonText"/>
    <w:rsid w:val="00CF0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00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F00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7120</Characters>
  <Application>Microsoft Office Word</Application>
  <DocSecurity>0</DocSecurity>
  <Lines>287</Lines>
  <Paragraphs>122</Paragraphs>
  <ScaleCrop>false</ScaleCrop>
  <Company>Author-it Software Corporation Ltd.</Company>
  <LinksUpToDate>false</LinksUpToDate>
  <CharactersWithSpaces>8188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MEM05010B Apply fabrication, forming and shaping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