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1613" w:rsidP="00321613">
      <w:pPr>
        <w:pStyle w:val="Title"/>
      </w:pPr>
      <w:r>
        <w:fldChar w:fldCharType="begin"/>
      </w:r>
      <w:r>
        <w:instrText xml:space="preserve"> TITLE   \* MERGEFORMAT </w:instrText>
      </w:r>
      <w:r>
        <w:fldChar w:fldCharType="separate"/>
      </w:r>
      <w:r>
        <w:t>MEM04005B Produce moulds and cores by hand (jobbing)</w:t>
      </w:r>
      <w:r>
        <w:fldChar w:fldCharType="end"/>
      </w:r>
    </w:p>
    <w:p w:rsidR="00321613" w:rsidP="00321613">
      <w:pPr>
        <w:pStyle w:val="Version"/>
        <w:sectPr w:rsidSect="00A756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56FA" w:rsidP="00A756FA">
      <w:pPr>
        <w:pStyle w:val="SuperHeading"/>
      </w:pPr>
      <w:r w:rsidRPr="00A756FA">
        <w:t>MEM04005B Produce moulds and cores by hand (jobbing)</w:t>
      </w:r>
    </w:p>
    <w:p w:rsidR="00000000" w:rsidRPr="00A756FA" w:rsidP="00A756FA">
      <w:pPr>
        <w:pStyle w:val="Heading1"/>
      </w:pPr>
      <w:bookmarkStart w:id="1" w:name="O_311576"/>
      <w:bookmarkEnd w:id="1"/>
      <w:r w:rsidRPr="00A756FA">
        <w:t>Modification History</w:t>
      </w:r>
    </w:p>
    <w:p w:rsidR="00000000" w:rsidRPr="00A756FA" w:rsidP="00A756FA">
      <w:pPr>
        <w:pStyle w:val="BodyText"/>
      </w:pPr>
      <w:r w:rsidRPr="00A756FA">
        <w:t>There are no notes for this unit</w:t>
      </w:r>
    </w:p>
    <w:p w:rsidR="00000000" w:rsidRPr="00A756FA" w:rsidP="00A756FA">
      <w:pPr>
        <w:pStyle w:val="AllowPageBreak"/>
      </w:pPr>
    </w:p>
    <w:p w:rsidR="00000000" w:rsidRPr="00A756FA" w:rsidP="00A756FA">
      <w:pPr>
        <w:pStyle w:val="Heading1"/>
      </w:pPr>
      <w:bookmarkStart w:id="2" w:name="O_311577"/>
      <w:bookmarkEnd w:id="2"/>
      <w:r w:rsidRPr="00A756FA">
        <w:t>Unit Descriptor</w:t>
      </w:r>
    </w:p>
    <w:p w:rsidR="00000000" w:rsidRPr="00A756FA" w:rsidP="00A756FA">
      <w:pPr>
        <w:pStyle w:val="BodyText"/>
      </w:pPr>
      <w:r w:rsidRPr="00A756FA">
        <w:t>This unit covers hand making of sand moulds and cores for metal casting.</w:t>
      </w:r>
    </w:p>
    <w:p w:rsidR="00000000" w:rsidRPr="00A756FA" w:rsidP="00A756FA">
      <w:pPr>
        <w:pStyle w:val="AllowPageBreak"/>
      </w:pPr>
    </w:p>
    <w:p w:rsidR="00000000" w:rsidRPr="00A756FA" w:rsidP="00A756FA">
      <w:pPr>
        <w:pStyle w:val="Heading1"/>
      </w:pPr>
      <w:bookmarkStart w:id="3" w:name="O_311578"/>
      <w:bookmarkEnd w:id="3"/>
      <w:r w:rsidRPr="00A756FA">
        <w:t>Applic</w:t>
      </w:r>
      <w:r w:rsidRPr="00A756FA">
        <w:t>ation of the Unit</w:t>
      </w:r>
    </w:p>
    <w:p w:rsidR="00000000" w:rsidRPr="00A756FA" w:rsidP="00A756FA">
      <w:pPr>
        <w:pStyle w:val="BodyText"/>
      </w:pPr>
      <w:r w:rsidRPr="00A756FA">
        <w:t xml:space="preserve">This unit applies to the production of sand moulds and cores by manual (jobbing) methods to produce metal castings. A range of materials and types of patterns may be used. Knowledge of the metal casting process is also required. </w:t>
      </w:r>
    </w:p>
    <w:p w:rsidR="00000000" w:rsidRPr="00A756FA" w:rsidP="00A756FA">
      <w:pPr>
        <w:pStyle w:val="AllowPageBreak"/>
      </w:pPr>
    </w:p>
    <w:p w:rsidR="00000000" w:rsidRPr="00A756FA" w:rsidP="00A756FA">
      <w:pPr>
        <w:pStyle w:val="Heading1"/>
      </w:pPr>
      <w:bookmarkStart w:id="4" w:name="O_311579"/>
      <w:bookmarkEnd w:id="4"/>
      <w:r w:rsidRPr="00A756FA">
        <w:t>Licensing/Regulatory Information</w:t>
      </w:r>
    </w:p>
    <w:p w:rsidR="00000000" w:rsidRPr="00A756FA" w:rsidP="00A756FA">
      <w:pPr>
        <w:pStyle w:val="Heading1"/>
      </w:pPr>
      <w:bookmarkStart w:id="5" w:name="O_311580"/>
      <w:bookmarkEnd w:id="5"/>
      <w:r w:rsidRPr="00A756FA">
        <w:t>Pre-Requisites</w:t>
      </w:r>
    </w:p>
    <w:tbl>
      <w:tblPr>
        <w:tblW w:w="0" w:type="auto"/>
        <w:tblLayout w:type="fixed"/>
        <w:tblCellMar>
          <w:left w:w="62" w:type="dxa"/>
          <w:right w:w="62" w:type="dxa"/>
        </w:tblCellMar>
        <w:tblLook w:val="0000"/>
      </w:tblPr>
      <w:tblGrid>
        <w:gridCol w:w="4500"/>
        <w:gridCol w:w="4500"/>
      </w:tblGrid>
      <w:tr w:rsidTr="003216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p>
        </w:tc>
      </w:tr>
      <w:tr w:rsidTr="003216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Path 1  </w:t>
            </w:r>
          </w:p>
        </w:tc>
        <w:tc>
          <w:tcPr>
            <w:tcW w:w="4500" w:type="dxa"/>
            <w:tcBorders>
              <w:top w:val="nil"/>
              <w:left w:val="nil"/>
              <w:bottom w:val="nil"/>
              <w:right w:val="nil"/>
            </w:tcBorders>
            <w:tcMar>
              <w:top w:w="0" w:type="dxa"/>
              <w:left w:w="62" w:type="dxa"/>
              <w:bottom w:w="0" w:type="dxa"/>
              <w:right w:w="62" w:type="dxa"/>
            </w:tcMar>
          </w:tcPr>
          <w:p w:rsidR="00000000" w:rsidRPr="00A756FA" w:rsidP="00A756FA">
            <w:pPr>
              <w:pStyle w:val="BodyText"/>
            </w:pPr>
            <w:r w:rsidRPr="00A756FA">
              <w:t>MEM09002B Interpret technical drawing</w:t>
            </w:r>
          </w:p>
          <w:p w:rsidR="00000000" w:rsidRPr="00A756FA" w:rsidP="00A756FA">
            <w:pPr>
              <w:pStyle w:val="BodyText"/>
            </w:pPr>
            <w:r w:rsidRPr="00A756FA">
              <w:t>MEM18001C Use hand tools</w:t>
            </w:r>
          </w:p>
        </w:tc>
      </w:tr>
    </w:tbl>
    <w:p w:rsidR="00000000" w:rsidRPr="00A756FA" w:rsidP="00A756FA">
      <w:pPr>
        <w:pStyle w:val="BodyText"/>
      </w:pPr>
    </w:p>
    <w:p w:rsidR="00000000" w:rsidRPr="00A756FA" w:rsidP="00A756FA">
      <w:pPr>
        <w:pStyle w:val="AllowPageBreak"/>
      </w:pPr>
    </w:p>
    <w:p w:rsidR="00000000" w:rsidRPr="00A756FA" w:rsidP="00A756FA">
      <w:pPr>
        <w:pStyle w:val="Heading1"/>
      </w:pPr>
      <w:bookmarkStart w:id="6" w:name="O_311581"/>
      <w:bookmarkEnd w:id="6"/>
      <w:r w:rsidRPr="00A756FA">
        <w:t>Employability Skills Information</w:t>
      </w:r>
    </w:p>
    <w:p w:rsidR="00000000" w:rsidRPr="00A756FA" w:rsidP="00A756FA">
      <w:pPr>
        <w:pStyle w:val="Heading1"/>
      </w:pPr>
      <w:bookmarkStart w:id="7" w:name="O_311582"/>
      <w:bookmarkEnd w:id="7"/>
      <w:r w:rsidRPr="00A756FA">
        <w:t>Elements and Performance Criteria Pre-Content</w:t>
      </w:r>
    </w:p>
    <w:p w:rsidR="00000000" w:rsidRPr="00A756FA" w:rsidP="00A756FA">
      <w:pPr>
        <w:pStyle w:val="BodyText"/>
      </w:pPr>
      <w:r w:rsidRPr="00A756FA">
        <w:t>Elements are the essential outcomes of the unit of competency.</w:t>
      </w:r>
    </w:p>
    <w:p w:rsidR="00000000" w:rsidRPr="00A756FA" w:rsidP="00A756FA">
      <w:pPr>
        <w:pStyle w:val="BodyText"/>
      </w:pPr>
      <w:r w:rsidRPr="00A756FA">
        <w:t>Together, performance criteria specify the requirements for competent performance. Text in italics is explained in the range statement following.</w:t>
      </w:r>
    </w:p>
    <w:p w:rsidR="00000000" w:rsidRPr="00A756FA" w:rsidP="00A756FA">
      <w:pPr>
        <w:pStyle w:val="AllowPageBreak"/>
      </w:pPr>
    </w:p>
    <w:p w:rsidR="00000000" w:rsidRPr="00A756FA" w:rsidP="00A756FA">
      <w:pPr>
        <w:pStyle w:val="Heading1"/>
      </w:pPr>
      <w:bookmarkStart w:id="8" w:name="O_311583"/>
      <w:bookmarkEnd w:id="8"/>
      <w:r w:rsidRPr="00A756F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2161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rPr>
                <w:rStyle w:val="SpecialBold"/>
              </w:rPr>
              <w:t>Elements and Performance Criteria</w:t>
            </w:r>
          </w:p>
        </w:tc>
      </w:tr>
      <w:tr w:rsidTr="0032161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756FA" w:rsidP="00A756FA">
            <w:pPr>
              <w:pStyle w:val="BodyText"/>
            </w:pPr>
            <w:r w:rsidRPr="00A756F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rPr>
                <w:rStyle w:val="SpecialBold"/>
              </w:rPr>
              <w:t>Performance Criteria</w:t>
            </w:r>
          </w:p>
        </w:tc>
      </w:tr>
      <w:tr w:rsidTr="0032161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1</w:t>
            </w:r>
          </w:p>
        </w:tc>
        <w:tc>
          <w:tcPr>
            <w:tcW w:w="3000" w:type="dxa"/>
            <w:vMerge w:val="restart"/>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Identify job requirements</w:t>
            </w:r>
          </w:p>
        </w:tc>
        <w:tc>
          <w:tcPr>
            <w:tcW w:w="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1.1</w:t>
            </w:r>
          </w:p>
        </w:tc>
        <w:tc>
          <w:tcPr>
            <w:tcW w:w="51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Job requirements are correctly identified from drawings, instructions and specifications.</w:t>
            </w:r>
          </w:p>
        </w:tc>
      </w:tr>
      <w:tr w:rsidTr="003216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756FA" w:rsidP="00A756FA">
            <w:pPr>
              <w:pStyle w:val="BodyText"/>
            </w:pPr>
            <w:r w:rsidRPr="00A756FA">
              <w:t>1.2</w:t>
            </w:r>
          </w:p>
        </w:tc>
        <w:tc>
          <w:tcPr>
            <w:tcW w:w="51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rPr>
                <w:rStyle w:val="SpecialBold"/>
              </w:rPr>
              <w:t xml:space="preserve">Material </w:t>
            </w:r>
            <w:r w:rsidRPr="00A756FA">
              <w:t>is selected appropriate to job requirements.</w:t>
            </w:r>
          </w:p>
        </w:tc>
      </w:tr>
      <w:tr w:rsidTr="00321613">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2</w:t>
            </w:r>
          </w:p>
        </w:tc>
        <w:tc>
          <w:tcPr>
            <w:tcW w:w="30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Determine sequence of operation</w:t>
            </w:r>
          </w:p>
        </w:tc>
        <w:tc>
          <w:tcPr>
            <w:tcW w:w="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2.1</w:t>
            </w:r>
          </w:p>
        </w:tc>
        <w:tc>
          <w:tcPr>
            <w:tcW w:w="51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Sequence of operation including job set-up is determined for maximum efficiency and to meet job specifications.</w:t>
            </w:r>
          </w:p>
        </w:tc>
      </w:tr>
      <w:tr w:rsidTr="0032161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3</w:t>
            </w:r>
          </w:p>
        </w:tc>
        <w:tc>
          <w:tcPr>
            <w:tcW w:w="3000" w:type="dxa"/>
            <w:vMerge w:val="restart"/>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Select inspect and prepare pattern equipment</w:t>
            </w:r>
          </w:p>
        </w:tc>
        <w:tc>
          <w:tcPr>
            <w:tcW w:w="500" w:type="dxa"/>
            <w:tcBorders>
              <w:top w:val="nil"/>
              <w:left w:val="nil"/>
              <w:bottom w:val="nil"/>
              <w:right w:val="nil"/>
            </w:tcBorders>
            <w:tcMar>
              <w:top w:w="0" w:type="dxa"/>
              <w:left w:w="62" w:type="dxa"/>
              <w:bottom w:w="0" w:type="dxa"/>
              <w:right w:w="62" w:type="dxa"/>
            </w:tcMar>
          </w:tcPr>
          <w:p w:rsidR="00000000" w:rsidRPr="00A756FA" w:rsidP="00A756FA">
            <w:pPr>
              <w:pStyle w:val="BodyText"/>
            </w:pPr>
            <w:r w:rsidRPr="00A756FA">
              <w:t>3.1</w:t>
            </w:r>
          </w:p>
        </w:tc>
        <w:tc>
          <w:tcPr>
            <w:tcW w:w="51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rPr>
                <w:rStyle w:val="SpecialBold"/>
              </w:rPr>
              <w:t xml:space="preserve">Pattern </w:t>
            </w:r>
            <w:r w:rsidRPr="00A756FA">
              <w:t>equipment is correctly identified from specifications to standard operating procedures.</w:t>
            </w:r>
          </w:p>
        </w:tc>
      </w:tr>
      <w:tr w:rsidTr="003216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3.2</w:t>
            </w:r>
          </w:p>
        </w:tc>
        <w:tc>
          <w:tcPr>
            <w:tcW w:w="51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Pattern equipment is inspected to specifications, and damaged patterns are identified for repair or replacement to standard operating procedures.</w:t>
            </w:r>
          </w:p>
        </w:tc>
      </w:tr>
      <w:tr w:rsidTr="003216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3.3</w:t>
            </w:r>
          </w:p>
        </w:tc>
        <w:tc>
          <w:tcPr>
            <w:tcW w:w="51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Pattern is assembled to specification.</w:t>
            </w:r>
          </w:p>
        </w:tc>
      </w:tr>
      <w:tr w:rsidTr="003216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3.4</w:t>
            </w:r>
          </w:p>
        </w:tc>
        <w:tc>
          <w:tcPr>
            <w:tcW w:w="51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Pattern equipment is set up to specification according to standard operating procedures.</w:t>
            </w:r>
          </w:p>
        </w:tc>
      </w:tr>
      <w:tr w:rsidTr="0032161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4</w:t>
            </w:r>
          </w:p>
        </w:tc>
        <w:tc>
          <w:tcPr>
            <w:tcW w:w="3000" w:type="dxa"/>
            <w:vMerge w:val="restart"/>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Make </w:t>
            </w:r>
            <w:r w:rsidRPr="00A756FA">
              <w:rPr>
                <w:rStyle w:val="SpecialBold"/>
              </w:rPr>
              <w:t xml:space="preserve">mould </w:t>
            </w:r>
            <w:r w:rsidRPr="00A756FA">
              <w:t>and core</w:t>
            </w:r>
          </w:p>
        </w:tc>
        <w:tc>
          <w:tcPr>
            <w:tcW w:w="500" w:type="dxa"/>
            <w:tcBorders>
              <w:top w:val="nil"/>
              <w:left w:val="nil"/>
              <w:bottom w:val="nil"/>
              <w:right w:val="nil"/>
            </w:tcBorders>
            <w:tcMar>
              <w:top w:w="0" w:type="dxa"/>
              <w:left w:w="62" w:type="dxa"/>
              <w:bottom w:w="0" w:type="dxa"/>
              <w:right w:w="62" w:type="dxa"/>
            </w:tcMar>
          </w:tcPr>
          <w:p w:rsidR="00000000" w:rsidRPr="00A756FA" w:rsidP="00A756FA">
            <w:pPr>
              <w:pStyle w:val="BodyText"/>
            </w:pPr>
            <w:r w:rsidRPr="00A756FA">
              <w:t>4.1</w:t>
            </w:r>
          </w:p>
        </w:tc>
        <w:tc>
          <w:tcPr>
            <w:tcW w:w="51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rPr>
                <w:rStyle w:val="SpecialBold"/>
              </w:rPr>
              <w:t xml:space="preserve">Core </w:t>
            </w:r>
            <w:r w:rsidRPr="00A756FA">
              <w:t>is positioned in prints utilising chaplets and chills as required and vented to specific</w:t>
            </w:r>
            <w:r w:rsidRPr="00A756FA">
              <w:t>ation according to standard operating procedures.</w:t>
            </w:r>
          </w:p>
        </w:tc>
      </w:tr>
      <w:tr w:rsidTr="003216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4.2</w:t>
            </w:r>
          </w:p>
        </w:tc>
        <w:tc>
          <w:tcPr>
            <w:tcW w:w="51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Mould is closed and checked for compliance to component specification in accordance with standard operating procedures.</w:t>
            </w:r>
          </w:p>
        </w:tc>
      </w:tr>
      <w:tr w:rsidTr="003216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4.3</w:t>
            </w:r>
          </w:p>
        </w:tc>
        <w:tc>
          <w:tcPr>
            <w:tcW w:w="51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Appropriate moulding/core making equipment is selected and positioned according to standard operating procedures.</w:t>
            </w:r>
          </w:p>
        </w:tc>
      </w:tr>
      <w:tr w:rsidTr="003216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4.4</w:t>
            </w:r>
          </w:p>
        </w:tc>
        <w:tc>
          <w:tcPr>
            <w:tcW w:w="51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Appropriate moulding media is selected to produce mould and core to specification.</w:t>
            </w:r>
          </w:p>
        </w:tc>
      </w:tr>
      <w:tr w:rsidTr="003216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4.5</w:t>
            </w:r>
          </w:p>
        </w:tc>
        <w:tc>
          <w:tcPr>
            <w:tcW w:w="51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Mould is </w:t>
            </w:r>
            <w:r w:rsidRPr="00A756FA">
              <w:rPr>
                <w:rStyle w:val="SpecialBold"/>
              </w:rPr>
              <w:t xml:space="preserve">secured </w:t>
            </w:r>
            <w:r w:rsidRPr="00A756FA">
              <w:t>according to standard operating procedures.</w:t>
            </w:r>
          </w:p>
        </w:tc>
      </w:tr>
      <w:tr w:rsidTr="003216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756FA" w:rsidP="00A756FA">
            <w:pPr>
              <w:pStyle w:val="BodyText"/>
            </w:pPr>
            <w:r w:rsidRPr="00A756FA">
              <w:t>4.6</w:t>
            </w:r>
          </w:p>
        </w:tc>
        <w:tc>
          <w:tcPr>
            <w:tcW w:w="51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rPr>
                <w:rStyle w:val="SpecialBold"/>
              </w:rPr>
              <w:t xml:space="preserve">Moulding media </w:t>
            </w:r>
            <w:r w:rsidRPr="00A756FA">
              <w:t>is used to produce mould and core according to standard operating procedures.</w:t>
            </w:r>
          </w:p>
        </w:tc>
      </w:tr>
      <w:tr w:rsidTr="003216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756FA" w:rsidP="00A756FA">
            <w:pPr>
              <w:pStyle w:val="BodyText"/>
            </w:pPr>
            <w:r w:rsidRPr="00A756FA">
              <w:t>4.7</w:t>
            </w:r>
          </w:p>
        </w:tc>
        <w:tc>
          <w:tcPr>
            <w:tcW w:w="51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rPr>
                <w:rStyle w:val="SpecialBold"/>
              </w:rPr>
              <w:t xml:space="preserve">Pouring basin </w:t>
            </w:r>
            <w:r w:rsidRPr="00A756FA">
              <w:t xml:space="preserve">is selected or manufactured to </w:t>
            </w:r>
            <w:r w:rsidRPr="00A756FA">
              <w:t>specification and positioned in accordance with standard ope</w:t>
            </w:r>
            <w:r w:rsidRPr="00A756FA">
              <w:t>rating procedures.</w:t>
            </w:r>
          </w:p>
        </w:tc>
      </w:tr>
      <w:tr w:rsidTr="003216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4.8</w:t>
            </w:r>
          </w:p>
        </w:tc>
        <w:tc>
          <w:tcPr>
            <w:tcW w:w="51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Mould and cores are rammed up with joints and drawbacks as required to standard operating procedures.</w:t>
            </w:r>
          </w:p>
        </w:tc>
      </w:tr>
      <w:tr w:rsidTr="003216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756FA" w:rsidP="00A756FA">
            <w:pPr>
              <w:pStyle w:val="BodyText"/>
            </w:pPr>
            <w:r w:rsidRPr="00A756FA">
              <w:t>4.9</w:t>
            </w:r>
          </w:p>
        </w:tc>
        <w:tc>
          <w:tcPr>
            <w:tcW w:w="51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rPr>
                <w:rStyle w:val="SpecialBold"/>
              </w:rPr>
              <w:t xml:space="preserve">Parting and stripping systems </w:t>
            </w:r>
            <w:r w:rsidRPr="00A756FA">
              <w:t>are utilised in accordance with standard operating procedures.</w:t>
            </w:r>
          </w:p>
        </w:tc>
      </w:tr>
      <w:tr w:rsidTr="003216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4.10</w:t>
            </w:r>
          </w:p>
        </w:tc>
        <w:tc>
          <w:tcPr>
            <w:tcW w:w="51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Loose pieces, vents,</w:t>
            </w:r>
            <w:r w:rsidRPr="00A756FA">
              <w:t xml:space="preserve"> risers and </w:t>
            </w:r>
            <w:r w:rsidRPr="00A756FA">
              <w:rPr>
                <w:rStyle w:val="SpecialBold"/>
              </w:rPr>
              <w:t xml:space="preserve">runners </w:t>
            </w:r>
            <w:r w:rsidRPr="00A756FA">
              <w:t>are positioned and secured as required to standard operating procedures.</w:t>
            </w:r>
          </w:p>
        </w:tc>
      </w:tr>
      <w:tr w:rsidTr="003216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4.11</w:t>
            </w:r>
          </w:p>
        </w:tc>
        <w:tc>
          <w:tcPr>
            <w:tcW w:w="51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Pattern and loose pieces are removed from mould and core box in a safe manner least likely to cause damage to the pattern and in accordance with standard o</w:t>
            </w:r>
            <w:r w:rsidRPr="00A756FA">
              <w:t>perating procedures.</w:t>
            </w:r>
          </w:p>
        </w:tc>
      </w:tr>
      <w:tr w:rsidTr="003216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4.12</w:t>
            </w:r>
          </w:p>
        </w:tc>
        <w:tc>
          <w:tcPr>
            <w:tcW w:w="51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Mould is inspected and repaired as required.</w:t>
            </w:r>
          </w:p>
        </w:tc>
      </w:tr>
      <w:tr w:rsidTr="003216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4.13</w:t>
            </w:r>
          </w:p>
        </w:tc>
        <w:tc>
          <w:tcPr>
            <w:tcW w:w="51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Mould and core is cleaned and painted according to specification using standard operating procedures.</w:t>
            </w:r>
          </w:p>
        </w:tc>
      </w:tr>
      <w:tr w:rsidTr="0032161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5</w:t>
            </w:r>
          </w:p>
        </w:tc>
        <w:tc>
          <w:tcPr>
            <w:tcW w:w="3000" w:type="dxa"/>
            <w:vMerge w:val="restart"/>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Clean and restore work area </w:t>
            </w:r>
          </w:p>
        </w:tc>
        <w:tc>
          <w:tcPr>
            <w:tcW w:w="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5.1</w:t>
            </w:r>
          </w:p>
        </w:tc>
        <w:tc>
          <w:tcPr>
            <w:tcW w:w="51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All materials/debris is cleared and work site cleaned and left in a safe state.</w:t>
            </w:r>
          </w:p>
        </w:tc>
      </w:tr>
      <w:tr w:rsidTr="003216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5.2</w:t>
            </w:r>
          </w:p>
        </w:tc>
        <w:tc>
          <w:tcPr>
            <w:tcW w:w="5100" w:type="dxa"/>
            <w:tcBorders>
              <w:top w:val="nil"/>
              <w:left w:val="nil"/>
              <w:bottom w:val="nil"/>
              <w:right w:val="nil"/>
            </w:tcBorders>
            <w:tcMar>
              <w:top w:w="0" w:type="dxa"/>
              <w:left w:w="62" w:type="dxa"/>
              <w:bottom w:w="0" w:type="dxa"/>
              <w:right w:w="62" w:type="dxa"/>
            </w:tcMar>
          </w:tcPr>
          <w:p w:rsidR="00000000" w:rsidRPr="00A756FA" w:rsidP="00A756FA">
            <w:pPr>
              <w:pStyle w:val="BodyText"/>
            </w:pPr>
            <w:r w:rsidRPr="00A756FA">
              <w:t>Unwanted treated sand is disposed of according to standard operating procedures and legislative and statutory requirements.</w:t>
            </w:r>
          </w:p>
        </w:tc>
      </w:tr>
    </w:tbl>
    <w:p w:rsidR="00000000" w:rsidRPr="00A756FA" w:rsidP="00A756FA">
      <w:pPr>
        <w:pStyle w:val="BodyText"/>
      </w:pPr>
    </w:p>
    <w:p w:rsidR="00000000" w:rsidRPr="00A756FA" w:rsidP="00A756FA">
      <w:pPr>
        <w:pStyle w:val="AllowPageBreak"/>
      </w:pPr>
    </w:p>
    <w:p w:rsidR="00000000" w:rsidRPr="00A756FA" w:rsidP="00A756FA">
      <w:pPr>
        <w:pStyle w:val="Heading1"/>
      </w:pPr>
      <w:bookmarkStart w:id="9" w:name="O_311574"/>
      <w:bookmarkEnd w:id="9"/>
      <w:r w:rsidRPr="00A756FA">
        <w:t>Required Skills and Knowledge</w:t>
      </w:r>
    </w:p>
    <w:p w:rsidR="00000000" w:rsidRPr="00A756FA" w:rsidP="00A756FA">
      <w:pPr>
        <w:pStyle w:val="Heading1"/>
      </w:pPr>
      <w:bookmarkStart w:id="10" w:name="O_311568"/>
      <w:bookmarkEnd w:id="10"/>
      <w:r w:rsidRPr="00A756FA">
        <w:t>Evidence Guide</w:t>
      </w:r>
    </w:p>
    <w:tbl>
      <w:tblPr>
        <w:tblW w:w="0" w:type="auto"/>
        <w:tblLayout w:type="fixed"/>
        <w:tblCellMar>
          <w:left w:w="62" w:type="dxa"/>
          <w:right w:w="62" w:type="dxa"/>
        </w:tblCellMar>
        <w:tblLook w:val="0000"/>
      </w:tblPr>
      <w:tblGrid>
        <w:gridCol w:w="4500"/>
        <w:gridCol w:w="4500"/>
      </w:tblGrid>
      <w:tr w:rsidTr="0032161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The evidence guide specifies the evidence required to demonstrate achievement in the unit of competency as a whole. It must be read in conjunction with the unit descriptor, performance criteria, </w:t>
            </w:r>
            <w:r w:rsidRPr="00A756FA">
              <w:t>range statement and the assessment guidelines for the Metal and Engineering Training Package</w:t>
            </w:r>
          </w:p>
        </w:tc>
      </w:tr>
      <w:tr w:rsidTr="003216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rPr>
                <w:rStyle w:val="SpecialBold"/>
              </w:rPr>
              <w:t>Overview of assessment requirements</w:t>
            </w: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A person who demonstrates competency in this unit must be able to produce jobbing moulds and cores by hand. Competency in thi</w:t>
            </w:r>
            <w:r w:rsidRPr="00A756FA">
              <w:t xml:space="preserve">s unit cannot be claimed until all prerequisites have been satisfied. </w:t>
            </w:r>
          </w:p>
        </w:tc>
      </w:tr>
      <w:tr w:rsidTr="003216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rPr>
                <w:rStyle w:val="SpecialBold"/>
              </w:rPr>
              <w:t>Context of assessment</w:t>
            </w: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This unit may be assessed on the job, off the job or a combination of both on and off the job. Where assessment occurs off the job, that is </w:t>
            </w:r>
            <w:r w:rsidRPr="00A756FA">
              <w:t>the candidate is not in productive work, then an appropriate simulation must be used where the range of conditions reflects realistic workplace situations. The competencies covered by this unit would be demonstrated by an individual working alone or as par</w:t>
            </w:r>
            <w:r w:rsidRPr="00A756FA">
              <w:t xml:space="preserve">t of a team. The assessment environment should not disadvantage the candidate. </w:t>
            </w:r>
          </w:p>
        </w:tc>
      </w:tr>
      <w:tr w:rsidTr="003216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rPr>
                <w:rStyle w:val="SpecialBold"/>
              </w:rPr>
              <w:t>Interdependent assessment</w:t>
            </w: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This unit could be assessed in conjunction with any other units addressing the safety, quality, communication, materials handling, recording and repo</w:t>
            </w:r>
            <w:r w:rsidRPr="00A756FA">
              <w:t xml:space="preserve">rting associated with producing jobbing moulds and cores by hand or other units requiring the exercise of the skills and knowledge covered by this unit.  </w:t>
            </w:r>
          </w:p>
        </w:tc>
      </w:tr>
      <w:tr w:rsidTr="003216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Assessors should gather a range of evidence that is valid, sufficient, current </w:t>
            </w:r>
            <w:r w:rsidRPr="00A756FA">
              <w:t>and authentic. Evidence can be gathered through a variety of ways including direct observation, supervisor's reports, project work, samples and questioning. Questioning techniques should not require language, literacy and numeracy skills beyond those requi</w:t>
            </w:r>
            <w:r w:rsidRPr="00A756FA">
              <w:t>red in this unit of competency. The candidate must have access to all tools, equipment, materials and documentation required. The candidate must be permitted to refer to any relevant workplace procedures, product and manufacturing specifications, codes, st</w:t>
            </w:r>
            <w:r w:rsidRPr="00A756FA">
              <w:t xml:space="preserve">andards, manuals and reference materials. </w:t>
            </w:r>
          </w:p>
        </w:tc>
      </w:tr>
      <w:tr w:rsidTr="003216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rPr>
                <w:rStyle w:val="SpecialBold"/>
              </w:rPr>
              <w:t>Consistency of performance</w:t>
            </w: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Assessors must be satisfied that the candidate can competently and consistently perform all elements of the unit as specified by the criteria, including required knowledge, and be capab</w:t>
            </w:r>
            <w:r w:rsidRPr="00A756FA">
              <w:t xml:space="preserve">le of applying the competency in new and different situations and contexts. </w:t>
            </w:r>
          </w:p>
        </w:tc>
      </w:tr>
      <w:tr w:rsidTr="00321613">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rPr>
                <w:rStyle w:val="SpecialBold"/>
              </w:rPr>
              <w:t>Required skills</w:t>
            </w: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Look for evidence that confirms skills in: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interpreting written instruction sketches and drawings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assembling and positioning pattern in the moulding box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positioning ancillary methoding components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preparing moulding media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filling and compacting the mould assembly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stripping the pattern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inspecting the mould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finishing the mould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positioning cores in prints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closing moulds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placing pouring basin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securing mould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following oral instruction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entering routine and familiar information onto proforma and standard workplace forms </w:t>
            </w:r>
          </w:p>
        </w:tc>
      </w:tr>
      <w:tr w:rsidTr="00321613">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rPr>
                <w:rStyle w:val="SpecialBold"/>
              </w:rPr>
              <w:t>Required knowledge</w:t>
            </w: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Look for evidence that confirms knowledge of: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metal casting process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variety of pattern types and their application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pattern assembly techniques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selection of moulding box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how to select ancillary components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sand types and their bonding systems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compaction processes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parting and stripping systems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mould requirements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finishing and closing techniques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core placement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pouring requirements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securing systems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pattern care and storage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environmental requirements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use and application of personal protective equipment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safe work practices and procedures </w:t>
            </w:r>
          </w:p>
        </w:tc>
      </w:tr>
      <w:tr w:rsidTr="0032161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756FA" w:rsidP="00A756FA">
            <w:pPr>
              <w:pStyle w:val="BodyText"/>
            </w:pPr>
            <w:r w:rsidRPr="00A756FA">
              <w:t xml:space="preserve">hazards and control measures associated with  producing moulds and cores by hand (jobbing) </w:t>
            </w:r>
          </w:p>
        </w:tc>
      </w:tr>
    </w:tbl>
    <w:p w:rsidR="00000000" w:rsidRPr="00A756FA" w:rsidP="00A756FA">
      <w:pPr>
        <w:pStyle w:val="BodyText"/>
      </w:pPr>
    </w:p>
    <w:p w:rsidR="00000000" w:rsidRPr="00A756FA" w:rsidP="00A756FA">
      <w:pPr>
        <w:pStyle w:val="AllowPageBreak"/>
      </w:pPr>
    </w:p>
    <w:p w:rsidR="00000000" w:rsidRPr="00A756FA" w:rsidP="00A756FA">
      <w:pPr>
        <w:pStyle w:val="Heading1"/>
      </w:pPr>
      <w:bookmarkStart w:id="11" w:name="O_311569"/>
      <w:bookmarkEnd w:id="11"/>
      <w:r w:rsidRPr="00A756FA">
        <w:t>Range Statement</w:t>
      </w:r>
    </w:p>
    <w:tbl>
      <w:tblPr>
        <w:tblW w:w="0" w:type="auto"/>
        <w:tblLayout w:type="fixed"/>
        <w:tblCellMar>
          <w:left w:w="62" w:type="dxa"/>
          <w:right w:w="62" w:type="dxa"/>
        </w:tblCellMar>
        <w:tblLook w:val="0000"/>
      </w:tblPr>
      <w:tblGrid>
        <w:gridCol w:w="4500"/>
        <w:gridCol w:w="4500"/>
      </w:tblGrid>
      <w:tr w:rsidTr="0032161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756FA" w:rsidP="00A756FA">
            <w:pPr>
              <w:pStyle w:val="BodyText"/>
            </w:pPr>
            <w:r w:rsidRPr="00A756FA">
              <w:t xml:space="preserve">The range statement provides information about the context in which the unit of competency </w:t>
            </w:r>
            <w:r w:rsidRPr="00A756FA">
              <w:t>is carried out. The variables and scope cater for different work requirements, work practices and knowledge between States, Territories and the Commonwealth, and between organisations and workplaces. The range statement relates to the unit as a whole and p</w:t>
            </w:r>
            <w:r w:rsidRPr="00A756FA">
              <w:t xml:space="preserve">rovides a focus for assessment. Text in </w:t>
            </w:r>
            <w:r w:rsidRPr="00A756FA">
              <w:rPr>
                <w:rStyle w:val="SpecialBold"/>
              </w:rPr>
              <w:t>italics</w:t>
            </w:r>
            <w:r w:rsidRPr="00A756FA">
              <w:t xml:space="preserve"> in the performance criteria is explained here.</w:t>
            </w:r>
          </w:p>
          <w:p w:rsidR="00000000" w:rsidP="00A756FA">
            <w:pPr>
              <w:pStyle w:val="BodyText"/>
              <w:rPr>
                <w:lang w:val="en-NZ"/>
              </w:rPr>
            </w:pPr>
            <w:r w:rsidRPr="00A756FA">
              <w:t>The following variables may be present and may include, but are not limited to, the examples listed under the scope. All work is undertaken to relevant legislati</w:t>
            </w:r>
            <w:r w:rsidRPr="00A756FA">
              <w:t>ve requirements, where applicable</w:t>
            </w:r>
          </w:p>
        </w:tc>
      </w:tr>
      <w:tr w:rsidTr="003216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A756FA" w:rsidP="00A756FA">
            <w:pPr>
              <w:pStyle w:val="BodyText"/>
            </w:pPr>
            <w:r w:rsidRPr="00A756FA">
              <w:rPr>
                <w:rStyle w:val="SpecialBold"/>
              </w:rPr>
              <w:t>Variable</w:t>
            </w: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rPr>
                <w:rStyle w:val="SpecialBold"/>
              </w:rPr>
              <w:t>Scope</w:t>
            </w:r>
          </w:p>
        </w:tc>
      </w:tr>
      <w:tr w:rsidTr="003216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rPr>
                <w:rStyle w:val="SpecialBold"/>
              </w:rPr>
              <w:t>Materials</w:t>
            </w: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Binders, hardeners, sand additives, mould coatings </w:t>
            </w:r>
          </w:p>
        </w:tc>
      </w:tr>
      <w:tr w:rsidTr="003216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rPr>
                <w:rStyle w:val="SpecialBold"/>
              </w:rPr>
              <w:t>Patterns</w:t>
            </w: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Flatback, uneven, plated patterns , multi-joint,  consumable, s</w:t>
            </w:r>
            <w:r w:rsidRPr="00A756FA">
              <w:t xml:space="preserve">plit patterns, loose piece patterns, patterns requiring odd sides, cored moulds, drag and cope mould etc. </w:t>
            </w:r>
          </w:p>
        </w:tc>
      </w:tr>
      <w:tr w:rsidTr="003216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rPr>
                <w:rStyle w:val="SpecialBold"/>
              </w:rPr>
              <w:t>Moulds</w:t>
            </w: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Flatback, uneven jointed, multi-part moulds </w:t>
            </w:r>
          </w:p>
        </w:tc>
      </w:tr>
      <w:tr w:rsidTr="003216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rPr>
                <w:rStyle w:val="SpecialBold"/>
              </w:rPr>
              <w:t>Core</w:t>
            </w: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Full, half and segment cores </w:t>
            </w:r>
          </w:p>
        </w:tc>
      </w:tr>
      <w:tr w:rsidTr="003216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rPr>
                <w:rStyle w:val="SpecialBold"/>
              </w:rPr>
              <w:t>Secured</w:t>
            </w: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Weights, clamps, bolting </w:t>
            </w:r>
          </w:p>
        </w:tc>
      </w:tr>
      <w:tr w:rsidTr="003216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rPr>
                <w:rStyle w:val="SpecialBold"/>
              </w:rPr>
              <w:t>Moulding media</w:t>
            </w: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Green sand, shell sand, chemically bonded media etc. may be used </w:t>
            </w:r>
          </w:p>
        </w:tc>
      </w:tr>
      <w:tr w:rsidTr="003216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rPr>
                <w:rStyle w:val="SpecialBold"/>
              </w:rPr>
              <w:t>Pouring basin</w:t>
            </w: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Hand and pattern formed </w:t>
            </w:r>
          </w:p>
        </w:tc>
      </w:tr>
      <w:tr w:rsidTr="003216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rPr>
                <w:rStyle w:val="SpecialBold"/>
              </w:rPr>
              <w:t>Parting and stripping systems</w:t>
            </w:r>
          </w:p>
        </w:tc>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t xml:space="preserve">Dry and wet </w:t>
            </w:r>
          </w:p>
        </w:tc>
      </w:tr>
      <w:tr w:rsidTr="003216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756FA">
            <w:pPr>
              <w:pStyle w:val="BodyText"/>
              <w:rPr>
                <w:lang w:val="en-NZ"/>
              </w:rPr>
            </w:pPr>
            <w:r w:rsidRPr="00A756FA">
              <w:rPr>
                <w:rStyle w:val="SpecialBold"/>
              </w:rPr>
              <w:t>Runners</w:t>
            </w:r>
          </w:p>
        </w:tc>
        <w:tc>
          <w:tcPr>
            <w:tcW w:w="4500" w:type="dxa"/>
            <w:tcBorders>
              <w:top w:val="nil"/>
              <w:left w:val="nil"/>
              <w:bottom w:val="nil"/>
              <w:right w:val="nil"/>
            </w:tcBorders>
            <w:tcMar>
              <w:top w:w="0" w:type="dxa"/>
              <w:left w:w="62" w:type="dxa"/>
              <w:bottom w:w="0" w:type="dxa"/>
              <w:right w:w="62" w:type="dxa"/>
            </w:tcMar>
          </w:tcPr>
          <w:p w:rsidR="00000000" w:rsidRPr="00A756FA" w:rsidP="00A756FA">
            <w:pPr>
              <w:pStyle w:val="BodyText"/>
            </w:pPr>
            <w:r w:rsidRPr="00A756FA">
              <w:t xml:space="preserve">Hand and pattern formed </w:t>
            </w:r>
          </w:p>
        </w:tc>
      </w:tr>
    </w:tbl>
    <w:p w:rsidR="00000000" w:rsidRPr="00A756FA" w:rsidP="00A756FA">
      <w:pPr>
        <w:pStyle w:val="BodyText"/>
      </w:pPr>
    </w:p>
    <w:p w:rsidR="00000000" w:rsidRPr="00A756FA" w:rsidP="00A756FA">
      <w:pPr>
        <w:pStyle w:val="AllowPageBreak"/>
      </w:pPr>
    </w:p>
    <w:p w:rsidR="00000000" w:rsidRPr="00A756FA" w:rsidP="00A756FA">
      <w:pPr>
        <w:pStyle w:val="Heading1"/>
      </w:pPr>
      <w:bookmarkStart w:id="12" w:name="O_311570"/>
      <w:bookmarkEnd w:id="12"/>
      <w:r w:rsidRPr="00A756FA">
        <w:t>Unit Sector(s)</w:t>
      </w:r>
    </w:p>
    <w:p w:rsidR="00000000" w:rsidRPr="00A756FA" w:rsidP="00A756FA">
      <w:pPr>
        <w:pStyle w:val="Heading1"/>
      </w:pPr>
      <w:bookmarkStart w:id="13" w:name="O_311571"/>
      <w:bookmarkEnd w:id="13"/>
      <w:r w:rsidRPr="00A756FA">
        <w:t>Related units</w:t>
      </w:r>
    </w:p>
    <w:p w:rsidR="00000000" w:rsidRPr="00A756FA" w:rsidP="00A756FA">
      <w:pPr>
        <w:pStyle w:val="BodyText"/>
      </w:pPr>
      <w:r w:rsidRPr="00A756FA">
        <w:t xml:space="preserve">Where lifting and moving moulds and cores requires the use of mobile load shifting equipment or overhead cranes, appropriate manual handling units should also be selected. </w:t>
      </w:r>
    </w:p>
    <w:p w:rsidR="00000000" w:rsidRPr="00A756FA" w:rsidP="00A756FA">
      <w:pPr>
        <w:pStyle w:val="BodyText"/>
      </w:pPr>
      <w:r w:rsidRPr="00A756FA">
        <w:t>Where the securing of moulds requires welding skills, see unit MEM05012C (Perform r</w:t>
      </w:r>
      <w:r w:rsidRPr="00A756FA">
        <w:t>outine manual metal arc welding) and Unit MEM05050B (Perform routine gas metal arc welding) as appropriate.</w:t>
      </w:r>
    </w:p>
    <w:p w:rsidR="00000000" w:rsidRPr="00A756FA" w:rsidP="00A756FA">
      <w:pPr>
        <w:pStyle w:val="AllowPageBreak"/>
      </w:pPr>
    </w:p>
    <w:p w:rsidR="00000000" w:rsidRPr="00A756FA" w:rsidP="00A756FA">
      <w:pPr>
        <w:pStyle w:val="Heading1"/>
      </w:pPr>
      <w:bookmarkStart w:id="14" w:name="O_311572"/>
      <w:bookmarkEnd w:id="14"/>
      <w:r w:rsidRPr="00A756FA">
        <w:t>Band</w:t>
      </w:r>
    </w:p>
    <w:p w:rsidR="00000000" w:rsidRPr="00A756FA" w:rsidP="00A756FA">
      <w:pPr>
        <w:pStyle w:val="BodyText"/>
      </w:pPr>
      <w:r w:rsidRPr="00A756FA">
        <w:t>A</w:t>
      </w:r>
    </w:p>
    <w:p w:rsidR="00000000" w:rsidRPr="00A756FA" w:rsidP="00A756FA">
      <w:pPr>
        <w:pStyle w:val="AllowPageBreak"/>
      </w:pPr>
    </w:p>
    <w:p w:rsidR="00000000" w:rsidRPr="00A756FA" w:rsidP="00A756FA">
      <w:pPr>
        <w:pStyle w:val="Heading1"/>
      </w:pPr>
      <w:bookmarkStart w:id="15" w:name="O_311573"/>
      <w:bookmarkEnd w:id="15"/>
      <w:r w:rsidRPr="00A756FA">
        <w:t>Unit Weight</w:t>
      </w:r>
    </w:p>
    <w:p w:rsidR="00000000" w:rsidRPr="00A756FA" w:rsidP="00A756FA">
      <w:pPr>
        <w:pStyle w:val="BodyText"/>
      </w:pPr>
      <w:r w:rsidRPr="00A756FA">
        <w:t>16</w:t>
      </w:r>
    </w:p>
    <w:p w:rsidR="00000000" w:rsidRPr="00A756FA" w:rsidP="00A756FA">
      <w:pPr>
        <w:pStyle w:val="AllowPageBreak"/>
      </w:pPr>
    </w:p>
    <w:p w:rsidR="00000000" w:rsidRPr="00A756FA" w:rsidP="00A756FA">
      <w:pPr>
        <w:pStyle w:val="Heading1"/>
      </w:pPr>
      <w:bookmarkStart w:id="16" w:name="O_311575"/>
      <w:bookmarkEnd w:id="16"/>
      <w:r w:rsidRPr="00A756FA">
        <w:t>Competency field</w:t>
      </w:r>
    </w:p>
    <w:p w:rsidR="00000000" w:rsidRPr="00A756FA" w:rsidP="00A756FA">
      <w:pPr>
        <w:pStyle w:val="BodyText"/>
      </w:pPr>
      <w:r w:rsidRPr="00A756FA">
        <w:t>Casting&amp;moulding</w:t>
      </w:r>
    </w:p>
    <w:p w:rsidR="00000000" w:rsidRPr="00A756FA" w:rsidP="00A756FA"/>
    <w:sectPr w:rsidSect="00A756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6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1613" w:rsidP="003216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6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613" w:rsidP="00A756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21613" w:rsidP="00A756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21613" w:rsidP="00A756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6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1613" w:rsidP="003216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6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613" w:rsidP="00A756FA">
    <w:pPr>
      <w:pStyle w:val="Header"/>
      <w:framePr w:wrap="around"/>
    </w:pPr>
    <w:r>
      <w:fldChar w:fldCharType="begin"/>
    </w:r>
    <w:r>
      <w:instrText xml:space="preserve"> TITLE   \* MERGEFORMAT </w:instrText>
    </w:r>
    <w:r>
      <w:fldChar w:fldCharType="separate"/>
    </w:r>
    <w:r>
      <w:t>MEM04005B Produce moulds and cores by hand (jobbing)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1613" w:rsidP="00A756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6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56FA"/>
    <w:pPr>
      <w:spacing w:before="360" w:after="60"/>
      <w:outlineLvl w:val="0"/>
    </w:pPr>
    <w:rPr>
      <w:sz w:val="32"/>
    </w:rPr>
  </w:style>
  <w:style w:type="paragraph" w:styleId="Heading2">
    <w:name w:val="heading 2"/>
    <w:basedOn w:val="HeadingBase"/>
    <w:next w:val="BodyText"/>
    <w:link w:val="Heading2Char"/>
    <w:qFormat/>
    <w:rsid w:val="00A756FA"/>
    <w:pPr>
      <w:keepLines/>
      <w:spacing w:before="240" w:after="120"/>
      <w:outlineLvl w:val="1"/>
    </w:pPr>
    <w:rPr>
      <w:sz w:val="28"/>
      <w:szCs w:val="40"/>
    </w:rPr>
  </w:style>
  <w:style w:type="paragraph" w:styleId="Heading3">
    <w:name w:val="heading 3"/>
    <w:basedOn w:val="HeadingBase"/>
    <w:next w:val="BodyText"/>
    <w:link w:val="Heading3Char"/>
    <w:qFormat/>
    <w:rsid w:val="00A756FA"/>
    <w:pPr>
      <w:spacing w:before="180" w:after="120"/>
      <w:outlineLvl w:val="2"/>
    </w:pPr>
    <w:rPr>
      <w:spacing w:val="-10"/>
      <w:kern w:val="32"/>
    </w:rPr>
  </w:style>
  <w:style w:type="paragraph" w:styleId="Heading4">
    <w:name w:val="heading 4"/>
    <w:basedOn w:val="HeadingBase"/>
    <w:next w:val="BodyText"/>
    <w:link w:val="Heading4Char"/>
    <w:qFormat/>
    <w:rsid w:val="00A756FA"/>
    <w:pPr>
      <w:spacing w:before="160" w:after="120"/>
      <w:outlineLvl w:val="3"/>
    </w:pPr>
    <w:rPr>
      <w:sz w:val="22"/>
    </w:rPr>
  </w:style>
  <w:style w:type="paragraph" w:styleId="Heading5">
    <w:name w:val="heading 5"/>
    <w:basedOn w:val="HeadingBase"/>
    <w:next w:val="Normal"/>
    <w:link w:val="Heading5Char"/>
    <w:qFormat/>
    <w:rsid w:val="00A756FA"/>
    <w:pPr>
      <w:spacing w:before="80"/>
      <w:outlineLvl w:val="4"/>
    </w:pPr>
    <w:rPr>
      <w:color w:val="918585"/>
      <w:sz w:val="20"/>
    </w:rPr>
  </w:style>
  <w:style w:type="paragraph" w:styleId="Heading6">
    <w:name w:val="heading 6"/>
    <w:basedOn w:val="HeadingBase"/>
    <w:next w:val="Normal"/>
    <w:link w:val="Heading6Char"/>
    <w:qFormat/>
    <w:rsid w:val="00A756FA"/>
    <w:pPr>
      <w:spacing w:before="60"/>
      <w:outlineLvl w:val="5"/>
    </w:pPr>
    <w:rPr>
      <w:color w:val="918585"/>
      <w:sz w:val="20"/>
    </w:rPr>
  </w:style>
  <w:style w:type="paragraph" w:styleId="Heading7">
    <w:name w:val="heading 7"/>
    <w:basedOn w:val="Normal"/>
    <w:next w:val="Normal"/>
    <w:link w:val="Heading7Char"/>
    <w:qFormat/>
    <w:rsid w:val="00A756FA"/>
    <w:pPr>
      <w:ind w:left="720"/>
      <w:outlineLvl w:val="6"/>
    </w:pPr>
    <w:rPr>
      <w:i/>
    </w:rPr>
  </w:style>
  <w:style w:type="paragraph" w:styleId="Heading8">
    <w:name w:val="heading 8"/>
    <w:basedOn w:val="Normal"/>
    <w:next w:val="Normal"/>
    <w:link w:val="Heading8Char"/>
    <w:qFormat/>
    <w:rsid w:val="00A756FA"/>
    <w:pPr>
      <w:ind w:left="720"/>
      <w:outlineLvl w:val="7"/>
    </w:pPr>
    <w:rPr>
      <w:i/>
    </w:rPr>
  </w:style>
  <w:style w:type="paragraph" w:styleId="Heading9">
    <w:name w:val="heading 9"/>
    <w:basedOn w:val="Normal"/>
    <w:next w:val="Normal"/>
    <w:link w:val="Heading9Char"/>
    <w:qFormat/>
    <w:rsid w:val="00A756FA"/>
    <w:pPr>
      <w:ind w:left="720"/>
      <w:outlineLvl w:val="8"/>
    </w:pPr>
    <w:rPr>
      <w:i/>
    </w:rPr>
  </w:style>
  <w:style w:type="character" w:default="1" w:styleId="DefaultParagraphFont">
    <w:name w:val="Default Paragraph Font"/>
    <w:uiPriority w:val="1"/>
    <w:unhideWhenUsed/>
    <w:rsid w:val="00A756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56FA"/>
  </w:style>
  <w:style w:type="character" w:customStyle="1" w:styleId="Heading1Char">
    <w:name w:val="Heading 1 Char"/>
    <w:basedOn w:val="DefaultParagraphFont"/>
    <w:link w:val="Heading1"/>
    <w:rsid w:val="00A756FA"/>
    <w:rPr>
      <w:rFonts w:ascii="Times New Roman" w:eastAsia="Times New Roman" w:hAnsi="Times New Roman" w:cs="Times New Roman"/>
      <w:b/>
      <w:sz w:val="32"/>
      <w:szCs w:val="20"/>
      <w:lang w:eastAsia="en-US"/>
    </w:rPr>
  </w:style>
  <w:style w:type="paragraph" w:styleId="BodyText">
    <w:name w:val="Body Text"/>
    <w:basedOn w:val="Normal"/>
    <w:link w:val="BodyTextChar"/>
    <w:rsid w:val="00A756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56FA"/>
    <w:rPr>
      <w:rFonts w:ascii="Times New Roman" w:eastAsia="Times New Roman" w:hAnsi="Times New Roman" w:cs="Times New Roman"/>
      <w:sz w:val="24"/>
      <w:lang w:val="en-US" w:eastAsia="en-US"/>
    </w:rPr>
  </w:style>
  <w:style w:type="paragraph" w:styleId="Footer">
    <w:name w:val="footer"/>
    <w:basedOn w:val="Normal"/>
    <w:link w:val="FooterChar"/>
    <w:rsid w:val="00A756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56F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756FA"/>
    <w:rPr>
      <w:b/>
      <w:spacing w:val="0"/>
    </w:rPr>
  </w:style>
  <w:style w:type="paragraph" w:styleId="Header">
    <w:name w:val="header"/>
    <w:basedOn w:val="Normal"/>
    <w:link w:val="HeaderChar"/>
    <w:rsid w:val="00A756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56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56FA"/>
    <w:pPr>
      <w:spacing w:before="240" w:after="120"/>
      <w:outlineLvl w:val="0"/>
    </w:pPr>
    <w:rPr>
      <w:rFonts w:ascii="Times New Roman" w:hAnsi="Times New Roman"/>
      <w:b/>
      <w:sz w:val="28"/>
    </w:rPr>
  </w:style>
  <w:style w:type="paragraph" w:customStyle="1" w:styleId="AllowPageBreak">
    <w:name w:val="AllowPageBreak"/>
    <w:rsid w:val="00A756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56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56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56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56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56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56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56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56FA"/>
    <w:rPr>
      <w:rFonts w:ascii="Courier New" w:eastAsia="Times New Roman" w:hAnsi="Courier New" w:cs="Times New Roman"/>
      <w:i/>
      <w:szCs w:val="20"/>
      <w:lang w:val="en-US" w:eastAsia="en-US"/>
    </w:rPr>
  </w:style>
  <w:style w:type="paragraph" w:customStyle="1" w:styleId="HeadingBase">
    <w:name w:val="Heading Base"/>
    <w:rsid w:val="00A756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56FA"/>
    <w:pPr>
      <w:tabs>
        <w:tab w:val="right" w:leader="dot" w:pos="9072"/>
      </w:tabs>
      <w:ind w:left="567"/>
    </w:pPr>
    <w:rPr>
      <w:szCs w:val="22"/>
    </w:rPr>
  </w:style>
  <w:style w:type="paragraph" w:customStyle="1" w:styleId="TOCBase">
    <w:name w:val="TOC Base"/>
    <w:rsid w:val="00A756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56FA"/>
    <w:pPr>
      <w:tabs>
        <w:tab w:val="right" w:leader="dot" w:pos="9072"/>
      </w:tabs>
      <w:spacing w:before="40" w:after="40"/>
      <w:ind w:left="284"/>
    </w:pPr>
    <w:rPr>
      <w:rFonts w:ascii="Times New Roman" w:hAnsi="Times New Roman"/>
    </w:rPr>
  </w:style>
  <w:style w:type="paragraph" w:styleId="TOC1">
    <w:name w:val="toc 1"/>
    <w:basedOn w:val="TOCBase"/>
    <w:next w:val="Normal"/>
    <w:rsid w:val="00A756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56FA"/>
    <w:pPr>
      <w:spacing w:before="5040"/>
      <w:jc w:val="center"/>
    </w:pPr>
    <w:rPr>
      <w:sz w:val="48"/>
      <w:szCs w:val="72"/>
      <w:lang w:val="en-US"/>
    </w:rPr>
  </w:style>
  <w:style w:type="character" w:customStyle="1" w:styleId="TitleChar">
    <w:name w:val="Title Char"/>
    <w:basedOn w:val="DefaultParagraphFont"/>
    <w:link w:val="Title"/>
    <w:rsid w:val="00A756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56FA"/>
    <w:pPr>
      <w:tabs>
        <w:tab w:val="left" w:pos="3600"/>
        <w:tab w:val="left" w:pos="3958"/>
      </w:tabs>
    </w:pPr>
  </w:style>
  <w:style w:type="paragraph" w:styleId="List">
    <w:name w:val="List"/>
    <w:basedOn w:val="BodyText"/>
    <w:next w:val="BodyText"/>
    <w:rsid w:val="00A756FA"/>
    <w:pPr>
      <w:tabs>
        <w:tab w:val="left" w:pos="340"/>
      </w:tabs>
      <w:spacing w:before="60" w:after="60"/>
      <w:ind w:left="340" w:hanging="340"/>
    </w:pPr>
  </w:style>
  <w:style w:type="paragraph" w:styleId="ListBullet">
    <w:name w:val="List Bullet"/>
    <w:basedOn w:val="List"/>
    <w:rsid w:val="00A756FA"/>
    <w:pPr>
      <w:numPr>
        <w:numId w:val="11"/>
      </w:numPr>
      <w:tabs>
        <w:tab w:val="clear" w:pos="340"/>
      </w:tabs>
      <w:spacing w:before="40" w:after="40"/>
    </w:pPr>
  </w:style>
  <w:style w:type="paragraph" w:customStyle="1" w:styleId="Note">
    <w:name w:val="Note"/>
    <w:basedOn w:val="BodyText"/>
    <w:rsid w:val="00A756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56FA"/>
    <w:pPr>
      <w:framePr w:wrap="auto" w:hAnchor="text" w:y="6049"/>
    </w:pPr>
    <w:rPr>
      <w:color w:val="000000"/>
      <w:sz w:val="40"/>
    </w:rPr>
  </w:style>
  <w:style w:type="paragraph" w:customStyle="1" w:styleId="TOCTitle">
    <w:name w:val="TOCTitle"/>
    <w:basedOn w:val="Heading1"/>
    <w:rsid w:val="00A756FA"/>
    <w:pPr>
      <w:spacing w:after="240"/>
      <w:jc w:val="center"/>
      <w:outlineLvl w:val="9"/>
    </w:pPr>
    <w:rPr>
      <w:caps/>
    </w:rPr>
  </w:style>
  <w:style w:type="paragraph" w:customStyle="1" w:styleId="Version">
    <w:name w:val="Version"/>
    <w:rsid w:val="00A756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56FA"/>
    <w:pPr>
      <w:numPr>
        <w:numId w:val="12"/>
      </w:numPr>
      <w:tabs>
        <w:tab w:val="clear" w:pos="680"/>
      </w:tabs>
    </w:pPr>
  </w:style>
  <w:style w:type="paragraph" w:styleId="Index1">
    <w:name w:val="index 1"/>
    <w:basedOn w:val="Normal"/>
    <w:next w:val="Normal"/>
    <w:semiHidden/>
    <w:rsid w:val="00A756FA"/>
    <w:pPr>
      <w:keepNext w:val="0"/>
      <w:tabs>
        <w:tab w:val="right" w:pos="4176"/>
      </w:tabs>
      <w:ind w:left="198" w:hanging="198"/>
    </w:pPr>
    <w:rPr>
      <w:rFonts w:ascii="Garamond" w:hAnsi="Garamond"/>
    </w:rPr>
  </w:style>
  <w:style w:type="paragraph" w:styleId="IndexHeading">
    <w:name w:val="index heading"/>
    <w:basedOn w:val="Normal"/>
    <w:next w:val="Index1"/>
    <w:semiHidden/>
    <w:rsid w:val="00A756FA"/>
    <w:pPr>
      <w:spacing w:before="120" w:after="120"/>
    </w:pPr>
    <w:rPr>
      <w:rFonts w:ascii="Arial" w:hAnsi="Arial"/>
      <w:b/>
      <w:color w:val="918585"/>
      <w:sz w:val="24"/>
    </w:rPr>
  </w:style>
  <w:style w:type="paragraph" w:customStyle="1" w:styleId="Chapter">
    <w:name w:val="Chapter"/>
    <w:basedOn w:val="Normal"/>
    <w:rsid w:val="00A756FA"/>
    <w:pPr>
      <w:spacing w:before="240"/>
    </w:pPr>
    <w:rPr>
      <w:rFonts w:ascii="Times New Roman" w:hAnsi="Times New Roman"/>
      <w:smallCaps/>
      <w:spacing w:val="80"/>
      <w:sz w:val="28"/>
    </w:rPr>
  </w:style>
  <w:style w:type="paragraph" w:customStyle="1" w:styleId="InChapter">
    <w:name w:val="InChapter"/>
    <w:basedOn w:val="Heading3"/>
    <w:rsid w:val="00A756FA"/>
    <w:pPr>
      <w:spacing w:after="240"/>
      <w:outlineLvl w:val="9"/>
    </w:pPr>
    <w:rPr>
      <w:noProof/>
    </w:rPr>
  </w:style>
  <w:style w:type="paragraph" w:styleId="Index2">
    <w:name w:val="index 2"/>
    <w:basedOn w:val="Normal"/>
    <w:next w:val="Normal"/>
    <w:semiHidden/>
    <w:rsid w:val="00A756FA"/>
    <w:pPr>
      <w:tabs>
        <w:tab w:val="right" w:pos="4176"/>
      </w:tabs>
      <w:ind w:left="568" w:hanging="284"/>
    </w:pPr>
    <w:rPr>
      <w:rFonts w:ascii="Garamond" w:hAnsi="Garamond"/>
    </w:rPr>
  </w:style>
  <w:style w:type="paragraph" w:customStyle="1" w:styleId="Byline">
    <w:name w:val="Byline"/>
    <w:rsid w:val="00A756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56FA"/>
    <w:pPr>
      <w:tabs>
        <w:tab w:val="clear" w:pos="3600"/>
        <w:tab w:val="clear" w:pos="3958"/>
      </w:tabs>
      <w:jc w:val="right"/>
    </w:pPr>
  </w:style>
  <w:style w:type="character" w:styleId="Emphasis">
    <w:name w:val="Emphasis"/>
    <w:basedOn w:val="DefaultParagraphFont"/>
    <w:qFormat/>
    <w:rsid w:val="00A756FA"/>
    <w:rPr>
      <w:i/>
    </w:rPr>
  </w:style>
  <w:style w:type="paragraph" w:styleId="Caption">
    <w:name w:val="caption"/>
    <w:basedOn w:val="BodyText"/>
    <w:next w:val="Normal"/>
    <w:qFormat/>
    <w:rsid w:val="00A756FA"/>
    <w:pPr>
      <w:framePr w:w="2268" w:hSpace="181" w:vSpace="181" w:wrap="around" w:vAnchor="text" w:hAnchor="page" w:x="1135" w:y="285" w:anchorLock="1"/>
    </w:pPr>
    <w:rPr>
      <w:i/>
    </w:rPr>
  </w:style>
  <w:style w:type="paragraph" w:customStyle="1" w:styleId="MiniTOCTitle">
    <w:name w:val="MiniTOCTitle"/>
    <w:basedOn w:val="Heading4"/>
    <w:rsid w:val="00A756FA"/>
    <w:pPr>
      <w:spacing w:before="240"/>
      <w:outlineLvl w:val="9"/>
    </w:pPr>
    <w:rPr>
      <w:noProof/>
      <w:sz w:val="24"/>
    </w:rPr>
  </w:style>
  <w:style w:type="paragraph" w:customStyle="1" w:styleId="MiniTOCItem">
    <w:name w:val="MiniTOCItem"/>
    <w:basedOn w:val="ListBullet"/>
    <w:rsid w:val="00A756FA"/>
    <w:pPr>
      <w:numPr>
        <w:numId w:val="0"/>
      </w:numPr>
      <w:tabs>
        <w:tab w:val="right" w:leader="dot" w:pos="6521"/>
      </w:tabs>
      <w:spacing w:before="0" w:after="0"/>
    </w:pPr>
  </w:style>
  <w:style w:type="paragraph" w:customStyle="1" w:styleId="TOFTitle">
    <w:name w:val="TOFTitle"/>
    <w:basedOn w:val="TOCTitle"/>
    <w:rsid w:val="00A756FA"/>
  </w:style>
  <w:style w:type="paragraph" w:styleId="TableofFigures">
    <w:name w:val="table of figures"/>
    <w:basedOn w:val="Normal"/>
    <w:next w:val="Normal"/>
    <w:semiHidden/>
    <w:rsid w:val="00A756FA"/>
    <w:pPr>
      <w:tabs>
        <w:tab w:val="right" w:leader="dot" w:pos="9072"/>
      </w:tabs>
      <w:ind w:left="970" w:hanging="403"/>
    </w:pPr>
    <w:rPr>
      <w:rFonts w:ascii="Times New Roman" w:hAnsi="Times New Roman"/>
      <w:b/>
    </w:rPr>
  </w:style>
  <w:style w:type="paragraph" w:styleId="ListNumber">
    <w:name w:val="List Number"/>
    <w:basedOn w:val="List"/>
    <w:rsid w:val="00A756FA"/>
    <w:pPr>
      <w:numPr>
        <w:numId w:val="9"/>
      </w:numPr>
    </w:pPr>
  </w:style>
  <w:style w:type="character" w:customStyle="1" w:styleId="WingdingSymbols">
    <w:name w:val="Wingding Symbols"/>
    <w:rsid w:val="00A756FA"/>
    <w:rPr>
      <w:rFonts w:ascii="Wingdings" w:hAnsi="Wingdings"/>
    </w:rPr>
  </w:style>
  <w:style w:type="paragraph" w:customStyle="1" w:styleId="TableHeading">
    <w:name w:val="Table Heading"/>
    <w:basedOn w:val="HeadingBase"/>
    <w:rsid w:val="00A756FA"/>
    <w:pPr>
      <w:keepLines/>
      <w:pBdr>
        <w:bottom w:val="single" w:sz="6" w:space="1" w:color="918585"/>
      </w:pBdr>
      <w:spacing w:before="240"/>
    </w:pPr>
  </w:style>
  <w:style w:type="character" w:customStyle="1" w:styleId="HotSpot">
    <w:name w:val="HotSpot"/>
    <w:rsid w:val="00A756FA"/>
    <w:rPr>
      <w:color w:val="0033CC"/>
      <w:u w:val="none"/>
    </w:rPr>
  </w:style>
  <w:style w:type="paragraph" w:customStyle="1" w:styleId="BodyTextRight">
    <w:name w:val="Body Text Right"/>
    <w:basedOn w:val="BodyText"/>
    <w:rsid w:val="00A756FA"/>
    <w:pPr>
      <w:spacing w:before="0" w:after="0"/>
      <w:jc w:val="right"/>
    </w:pPr>
  </w:style>
  <w:style w:type="paragraph" w:styleId="Index3">
    <w:name w:val="index 3"/>
    <w:basedOn w:val="ListNumber2"/>
    <w:next w:val="Normal"/>
    <w:semiHidden/>
    <w:rsid w:val="00A756FA"/>
    <w:pPr>
      <w:numPr>
        <w:numId w:val="0"/>
      </w:numPr>
      <w:tabs>
        <w:tab w:val="right" w:leader="dot" w:pos="4176"/>
      </w:tabs>
    </w:pPr>
  </w:style>
  <w:style w:type="paragraph" w:styleId="ListNumber2">
    <w:name w:val="List Number 2"/>
    <w:basedOn w:val="List2"/>
    <w:rsid w:val="00A756FA"/>
    <w:pPr>
      <w:numPr>
        <w:numId w:val="8"/>
      </w:numPr>
      <w:tabs>
        <w:tab w:val="clear" w:pos="1060"/>
      </w:tabs>
    </w:pPr>
  </w:style>
  <w:style w:type="paragraph" w:customStyle="1" w:styleId="MarginNote">
    <w:name w:val="Margin Note"/>
    <w:basedOn w:val="BodyText"/>
    <w:rsid w:val="00A756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56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56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56FA"/>
    <w:rPr>
      <w:sz w:val="32"/>
    </w:rPr>
  </w:style>
  <w:style w:type="paragraph" w:customStyle="1" w:styleId="HeadingProcedure">
    <w:name w:val="Heading Procedure"/>
    <w:basedOn w:val="HeadingBase"/>
    <w:next w:val="Normal"/>
    <w:rsid w:val="00A756FA"/>
    <w:pPr>
      <w:tabs>
        <w:tab w:val="left" w:pos="0"/>
      </w:tabs>
      <w:spacing w:before="120" w:after="60"/>
    </w:pPr>
    <w:rPr>
      <w:i/>
      <w:color w:val="918585"/>
      <w:sz w:val="22"/>
    </w:rPr>
  </w:style>
  <w:style w:type="paragraph" w:customStyle="1" w:styleId="TableBodyText">
    <w:name w:val="Table Body Text"/>
    <w:basedOn w:val="BodyText"/>
    <w:rsid w:val="00A756FA"/>
    <w:pPr>
      <w:spacing w:before="60" w:after="60"/>
    </w:pPr>
  </w:style>
  <w:style w:type="paragraph" w:styleId="ListContinue">
    <w:name w:val="List Continue"/>
    <w:basedOn w:val="List"/>
    <w:rsid w:val="00A756FA"/>
    <w:pPr>
      <w:ind w:firstLine="0"/>
    </w:pPr>
  </w:style>
  <w:style w:type="paragraph" w:customStyle="1" w:styleId="ListNote">
    <w:name w:val="List Note"/>
    <w:basedOn w:val="List"/>
    <w:rsid w:val="00A756FA"/>
    <w:pPr>
      <w:pBdr>
        <w:top w:val="single" w:sz="6" w:space="2" w:color="918585"/>
        <w:bottom w:val="single" w:sz="6" w:space="2" w:color="918585"/>
      </w:pBdr>
      <w:tabs>
        <w:tab w:val="left" w:pos="1021"/>
      </w:tabs>
      <w:ind w:firstLine="0"/>
    </w:pPr>
  </w:style>
  <w:style w:type="paragraph" w:customStyle="1" w:styleId="Warning">
    <w:name w:val="Warning"/>
    <w:basedOn w:val="BodyText"/>
    <w:rsid w:val="00A756FA"/>
    <w:pPr>
      <w:shd w:val="clear" w:color="auto" w:fill="D9D9D9"/>
      <w:tabs>
        <w:tab w:val="left" w:pos="992"/>
      </w:tabs>
      <w:ind w:left="119" w:right="119"/>
    </w:pPr>
    <w:rPr>
      <w:sz w:val="20"/>
    </w:rPr>
  </w:style>
  <w:style w:type="paragraph" w:customStyle="1" w:styleId="MarginIcons">
    <w:name w:val="Margin Icons"/>
    <w:basedOn w:val="BodyText"/>
    <w:rsid w:val="00A756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56FA"/>
    <w:rPr>
      <w:rFonts w:ascii="Courier New" w:hAnsi="Courier New"/>
    </w:rPr>
  </w:style>
  <w:style w:type="paragraph" w:customStyle="1" w:styleId="NoteBullet">
    <w:name w:val="Note Bullet"/>
    <w:basedOn w:val="Note"/>
    <w:rsid w:val="00A756FA"/>
    <w:pPr>
      <w:tabs>
        <w:tab w:val="clear" w:pos="680"/>
      </w:tabs>
      <w:spacing w:before="60" w:after="60"/>
    </w:pPr>
  </w:style>
  <w:style w:type="paragraph" w:customStyle="1" w:styleId="SubHeading2">
    <w:name w:val="SubHeading2"/>
    <w:basedOn w:val="HeadingBase"/>
    <w:rsid w:val="00A756FA"/>
    <w:pPr>
      <w:spacing w:before="240" w:after="60"/>
    </w:pPr>
    <w:rPr>
      <w:sz w:val="20"/>
    </w:rPr>
  </w:style>
  <w:style w:type="paragraph" w:customStyle="1" w:styleId="SubHeading1">
    <w:name w:val="SubHeading1"/>
    <w:basedOn w:val="HeadingBase"/>
    <w:rsid w:val="00A756FA"/>
    <w:pPr>
      <w:spacing w:before="240" w:after="60"/>
    </w:pPr>
    <w:rPr>
      <w:color w:val="918585"/>
      <w:sz w:val="22"/>
    </w:rPr>
  </w:style>
  <w:style w:type="paragraph" w:customStyle="1" w:styleId="SideHeading">
    <w:name w:val="Side Heading"/>
    <w:basedOn w:val="HeadingBase"/>
    <w:rsid w:val="00A756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56FA"/>
    <w:pPr>
      <w:numPr>
        <w:numId w:val="10"/>
      </w:numPr>
    </w:pPr>
  </w:style>
  <w:style w:type="paragraph" w:styleId="PlainText">
    <w:name w:val="Plain Text"/>
    <w:basedOn w:val="Normal"/>
    <w:link w:val="PlainTextChar"/>
    <w:rsid w:val="00A756FA"/>
    <w:rPr>
      <w:sz w:val="20"/>
    </w:rPr>
  </w:style>
  <w:style w:type="character" w:customStyle="1" w:styleId="PlainTextChar">
    <w:name w:val="Plain Text Char"/>
    <w:basedOn w:val="DefaultParagraphFont"/>
    <w:link w:val="PlainText"/>
    <w:rsid w:val="00A756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56FA"/>
    <w:rPr>
      <w:b/>
      <w:smallCaps/>
    </w:rPr>
  </w:style>
  <w:style w:type="paragraph" w:customStyle="1" w:styleId="TableListNumber">
    <w:name w:val="Table List Number"/>
    <w:basedOn w:val="ListNumber"/>
    <w:rsid w:val="00A756FA"/>
    <w:pPr>
      <w:numPr>
        <w:numId w:val="0"/>
      </w:numPr>
    </w:pPr>
  </w:style>
  <w:style w:type="paragraph" w:styleId="TOC4">
    <w:name w:val="toc 4"/>
    <w:basedOn w:val="TOCBase"/>
    <w:next w:val="Normal"/>
    <w:semiHidden/>
    <w:rsid w:val="00A756FA"/>
    <w:pPr>
      <w:tabs>
        <w:tab w:val="right" w:leader="dot" w:pos="9071"/>
      </w:tabs>
      <w:ind w:left="1701"/>
    </w:pPr>
  </w:style>
  <w:style w:type="paragraph" w:customStyle="1" w:styleId="ListAlpha">
    <w:name w:val="List Alpha"/>
    <w:basedOn w:val="List"/>
    <w:rsid w:val="00A756FA"/>
    <w:pPr>
      <w:numPr>
        <w:numId w:val="7"/>
      </w:numPr>
    </w:pPr>
  </w:style>
  <w:style w:type="paragraph" w:customStyle="1" w:styleId="ListAlpha2">
    <w:name w:val="List Alpha 2"/>
    <w:basedOn w:val="List2"/>
    <w:rsid w:val="00A756FA"/>
    <w:pPr>
      <w:numPr>
        <w:numId w:val="6"/>
      </w:numPr>
    </w:pPr>
  </w:style>
  <w:style w:type="paragraph" w:styleId="List2">
    <w:name w:val="List 2"/>
    <w:basedOn w:val="BodyText"/>
    <w:rsid w:val="00A756FA"/>
    <w:pPr>
      <w:tabs>
        <w:tab w:val="left" w:pos="680"/>
      </w:tabs>
      <w:spacing w:before="60" w:after="60"/>
      <w:ind w:left="680" w:hanging="340"/>
    </w:pPr>
  </w:style>
  <w:style w:type="paragraph" w:styleId="List3">
    <w:name w:val="List 3"/>
    <w:basedOn w:val="BodyText"/>
    <w:rsid w:val="00A756FA"/>
    <w:pPr>
      <w:tabs>
        <w:tab w:val="left" w:pos="1021"/>
      </w:tabs>
      <w:spacing w:before="60" w:after="60"/>
      <w:ind w:left="1020" w:hanging="340"/>
    </w:pPr>
  </w:style>
  <w:style w:type="paragraph" w:styleId="List4">
    <w:name w:val="List 4"/>
    <w:basedOn w:val="BodyText"/>
    <w:rsid w:val="00A756FA"/>
    <w:pPr>
      <w:tabs>
        <w:tab w:val="left" w:pos="1361"/>
      </w:tabs>
      <w:spacing w:before="60" w:after="60"/>
      <w:ind w:left="1361" w:hanging="340"/>
    </w:pPr>
  </w:style>
  <w:style w:type="paragraph" w:styleId="List5">
    <w:name w:val="List 5"/>
    <w:basedOn w:val="BodyText"/>
    <w:rsid w:val="00A756FA"/>
    <w:pPr>
      <w:tabs>
        <w:tab w:val="left" w:pos="1701"/>
      </w:tabs>
      <w:spacing w:before="60" w:after="60"/>
      <w:ind w:left="1701" w:hanging="340"/>
    </w:pPr>
  </w:style>
  <w:style w:type="paragraph" w:styleId="ListBullet3">
    <w:name w:val="List Bullet 3"/>
    <w:basedOn w:val="List3"/>
    <w:rsid w:val="00A756FA"/>
    <w:pPr>
      <w:numPr>
        <w:numId w:val="13"/>
      </w:numPr>
      <w:tabs>
        <w:tab w:val="clear" w:pos="1021"/>
      </w:tabs>
      <w:ind w:left="1037" w:hanging="357"/>
    </w:pPr>
  </w:style>
  <w:style w:type="paragraph" w:styleId="ListBullet4">
    <w:name w:val="List Bullet 4"/>
    <w:basedOn w:val="List4"/>
    <w:rsid w:val="00A756FA"/>
    <w:pPr>
      <w:numPr>
        <w:numId w:val="1"/>
      </w:numPr>
    </w:pPr>
  </w:style>
  <w:style w:type="paragraph" w:styleId="ListBullet5">
    <w:name w:val="List Bullet 5"/>
    <w:basedOn w:val="List5"/>
    <w:rsid w:val="00A756FA"/>
    <w:pPr>
      <w:numPr>
        <w:numId w:val="2"/>
      </w:numPr>
    </w:pPr>
  </w:style>
  <w:style w:type="paragraph" w:styleId="ListContinue2">
    <w:name w:val="List Continue 2"/>
    <w:basedOn w:val="List2"/>
    <w:rsid w:val="00A756FA"/>
    <w:pPr>
      <w:ind w:firstLine="0"/>
    </w:pPr>
  </w:style>
  <w:style w:type="paragraph" w:styleId="ListContinue3">
    <w:name w:val="List Continue 3"/>
    <w:basedOn w:val="List3"/>
    <w:rsid w:val="00A756FA"/>
    <w:pPr>
      <w:ind w:left="1021" w:firstLine="0"/>
    </w:pPr>
  </w:style>
  <w:style w:type="paragraph" w:styleId="ListContinue4">
    <w:name w:val="List Continue 4"/>
    <w:basedOn w:val="List4"/>
    <w:rsid w:val="00A756FA"/>
    <w:pPr>
      <w:ind w:firstLine="0"/>
    </w:pPr>
  </w:style>
  <w:style w:type="paragraph" w:styleId="ListContinue5">
    <w:name w:val="List Continue 5"/>
    <w:basedOn w:val="List5"/>
    <w:rsid w:val="00A756FA"/>
    <w:pPr>
      <w:ind w:firstLine="0"/>
    </w:pPr>
  </w:style>
  <w:style w:type="paragraph" w:styleId="ListNumber3">
    <w:name w:val="List Number 3"/>
    <w:basedOn w:val="List3"/>
    <w:rsid w:val="00A756FA"/>
    <w:pPr>
      <w:numPr>
        <w:numId w:val="3"/>
      </w:numPr>
    </w:pPr>
  </w:style>
  <w:style w:type="paragraph" w:styleId="ListNumber4">
    <w:name w:val="List Number 4"/>
    <w:basedOn w:val="List4"/>
    <w:rsid w:val="00A756FA"/>
    <w:pPr>
      <w:numPr>
        <w:numId w:val="4"/>
      </w:numPr>
    </w:pPr>
  </w:style>
  <w:style w:type="paragraph" w:styleId="ListNumber5">
    <w:name w:val="List Number 5"/>
    <w:basedOn w:val="List5"/>
    <w:rsid w:val="00A756FA"/>
    <w:pPr>
      <w:numPr>
        <w:numId w:val="5"/>
      </w:numPr>
    </w:pPr>
  </w:style>
  <w:style w:type="paragraph" w:styleId="BlockText">
    <w:name w:val="Block Text"/>
    <w:basedOn w:val="Normal"/>
    <w:rsid w:val="00A756FA"/>
    <w:pPr>
      <w:spacing w:after="120"/>
      <w:ind w:left="1440" w:right="1440"/>
    </w:pPr>
  </w:style>
  <w:style w:type="character" w:customStyle="1" w:styleId="Subscript">
    <w:name w:val="Subscript"/>
    <w:basedOn w:val="DefaultParagraphFont"/>
    <w:rsid w:val="00A756FA"/>
    <w:rPr>
      <w:sz w:val="16"/>
      <w:vertAlign w:val="subscript"/>
    </w:rPr>
  </w:style>
  <w:style w:type="character" w:customStyle="1" w:styleId="Superscript">
    <w:name w:val="Superscript"/>
    <w:basedOn w:val="DefaultParagraphFont"/>
    <w:rsid w:val="00A756FA"/>
    <w:rPr>
      <w:sz w:val="16"/>
      <w:vertAlign w:val="superscript"/>
    </w:rPr>
  </w:style>
  <w:style w:type="character" w:customStyle="1" w:styleId="Symbols">
    <w:name w:val="Symbols"/>
    <w:basedOn w:val="DefaultParagraphFont"/>
    <w:rsid w:val="00A756FA"/>
    <w:rPr>
      <w:rFonts w:ascii="Symbol" w:hAnsi="Symbol"/>
    </w:rPr>
  </w:style>
  <w:style w:type="character" w:customStyle="1" w:styleId="MenuOptions">
    <w:name w:val="Menu Options"/>
    <w:basedOn w:val="DefaultParagraphFont"/>
    <w:rsid w:val="00A756FA"/>
    <w:rPr>
      <w:rFonts w:ascii="Arial Narrow" w:hAnsi="Arial Narrow"/>
      <w:smallCaps/>
    </w:rPr>
  </w:style>
  <w:style w:type="character" w:customStyle="1" w:styleId="Buttons">
    <w:name w:val="Buttons"/>
    <w:basedOn w:val="DefaultParagraphFont"/>
    <w:rsid w:val="00A756FA"/>
    <w:rPr>
      <w:b/>
    </w:rPr>
  </w:style>
  <w:style w:type="character" w:customStyle="1" w:styleId="Underlined">
    <w:name w:val="Underlined"/>
    <w:basedOn w:val="DefaultParagraphFont"/>
    <w:rsid w:val="00A756FA"/>
    <w:rPr>
      <w:u w:val="single"/>
    </w:rPr>
  </w:style>
  <w:style w:type="paragraph" w:customStyle="1" w:styleId="TableBodyTextRight">
    <w:name w:val="Table Body Text Right"/>
    <w:basedOn w:val="TableBodyText"/>
    <w:rsid w:val="00A756FA"/>
    <w:pPr>
      <w:widowControl w:val="0"/>
      <w:autoSpaceDE w:val="0"/>
      <w:autoSpaceDN w:val="0"/>
      <w:adjustRightInd w:val="0"/>
      <w:jc w:val="right"/>
    </w:pPr>
    <w:rPr>
      <w:rFonts w:cs="Arial"/>
      <w:szCs w:val="18"/>
    </w:rPr>
  </w:style>
  <w:style w:type="paragraph" w:customStyle="1" w:styleId="CopyrightText">
    <w:name w:val="Copyright Text"/>
    <w:basedOn w:val="BodyText"/>
    <w:rsid w:val="00A756FA"/>
    <w:rPr>
      <w:sz w:val="18"/>
    </w:rPr>
  </w:style>
  <w:style w:type="paragraph" w:customStyle="1" w:styleId="BodySmallRight">
    <w:name w:val="Body Small Right"/>
    <w:basedOn w:val="BodyTextRight"/>
    <w:rsid w:val="00A756FA"/>
    <w:rPr>
      <w:sz w:val="18"/>
      <w:szCs w:val="18"/>
    </w:rPr>
  </w:style>
  <w:style w:type="paragraph" w:customStyle="1" w:styleId="MarginEdition">
    <w:name w:val="Margin Edition"/>
    <w:basedOn w:val="MarginNote"/>
    <w:rsid w:val="00A756FA"/>
    <w:pPr>
      <w:spacing w:before="0" w:after="0"/>
    </w:pPr>
    <w:rPr>
      <w:rFonts w:ascii="Times New Roman" w:hAnsi="Times New Roman"/>
      <w:color w:val="999999"/>
    </w:rPr>
  </w:style>
  <w:style w:type="paragraph" w:customStyle="1" w:styleId="Spacer">
    <w:name w:val="Spacer"/>
    <w:basedOn w:val="Normal"/>
    <w:rsid w:val="00A756FA"/>
    <w:rPr>
      <w:sz w:val="2"/>
      <w:szCs w:val="2"/>
    </w:rPr>
  </w:style>
  <w:style w:type="character" w:customStyle="1" w:styleId="Small">
    <w:name w:val="Small"/>
    <w:basedOn w:val="DefaultParagraphFont"/>
    <w:rsid w:val="00A756FA"/>
    <w:rPr>
      <w:sz w:val="16"/>
    </w:rPr>
  </w:style>
  <w:style w:type="paragraph" w:customStyle="1" w:styleId="WideTable">
    <w:name w:val="Wide Table"/>
    <w:basedOn w:val="Normal"/>
    <w:rsid w:val="00A756FA"/>
    <w:pPr>
      <w:ind w:left="-1418"/>
    </w:pPr>
    <w:rPr>
      <w:sz w:val="2"/>
      <w:szCs w:val="2"/>
    </w:rPr>
  </w:style>
  <w:style w:type="character" w:styleId="PageNumber">
    <w:name w:val="page number"/>
    <w:basedOn w:val="DefaultParagraphFont"/>
    <w:rsid w:val="00A756FA"/>
  </w:style>
  <w:style w:type="paragraph" w:styleId="Quote">
    <w:name w:val="Quote"/>
    <w:basedOn w:val="Heading1"/>
    <w:link w:val="QuoteChar"/>
    <w:qFormat/>
    <w:rsid w:val="00A756FA"/>
    <w:rPr>
      <w:b w:val="0"/>
      <w:sz w:val="72"/>
      <w:szCs w:val="72"/>
      <w:lang w:val="en-NZ"/>
    </w:rPr>
  </w:style>
  <w:style w:type="character" w:customStyle="1" w:styleId="QuoteChar">
    <w:name w:val="Quote Char"/>
    <w:basedOn w:val="DefaultParagraphFont"/>
    <w:link w:val="Quote"/>
    <w:rsid w:val="00A756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56FA"/>
    <w:pPr>
      <w:pageBreakBefore/>
    </w:pPr>
  </w:style>
  <w:style w:type="paragraph" w:customStyle="1" w:styleId="Border">
    <w:name w:val="Border"/>
    <w:basedOn w:val="Normal"/>
    <w:qFormat/>
    <w:rsid w:val="00A756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56FA"/>
    <w:rPr>
      <w:b/>
      <w:bCs/>
      <w:i/>
      <w:iCs/>
      <w:color w:val="auto"/>
    </w:rPr>
  </w:style>
  <w:style w:type="paragraph" w:styleId="IntenseQuote">
    <w:name w:val="Intense Quote"/>
    <w:basedOn w:val="Normal"/>
    <w:next w:val="Normal"/>
    <w:link w:val="IntenseQuoteChar"/>
    <w:uiPriority w:val="30"/>
    <w:qFormat/>
    <w:rsid w:val="00A756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56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56FA"/>
    <w:rPr>
      <w:smallCaps/>
      <w:color w:val="auto"/>
      <w:u w:val="single"/>
    </w:rPr>
  </w:style>
  <w:style w:type="character" w:styleId="IntenseReference">
    <w:name w:val="Intense Reference"/>
    <w:basedOn w:val="DefaultParagraphFont"/>
    <w:uiPriority w:val="32"/>
    <w:qFormat/>
    <w:rsid w:val="00A756FA"/>
    <w:rPr>
      <w:b/>
      <w:bCs/>
      <w:smallCaps/>
      <w:color w:val="auto"/>
      <w:spacing w:val="5"/>
      <w:u w:val="single"/>
    </w:rPr>
  </w:style>
  <w:style w:type="paragraph" w:customStyle="1" w:styleId="2ColumnHeading">
    <w:name w:val="2Column Heading"/>
    <w:basedOn w:val="BodyText"/>
    <w:qFormat/>
    <w:rsid w:val="00A756FA"/>
    <w:pPr>
      <w:spacing w:after="60"/>
      <w:ind w:left="-2268"/>
    </w:pPr>
    <w:rPr>
      <w:b/>
    </w:rPr>
  </w:style>
  <w:style w:type="paragraph" w:customStyle="1" w:styleId="Heading1TOC">
    <w:name w:val="Heading1 TOC"/>
    <w:basedOn w:val="Normal"/>
    <w:qFormat/>
    <w:rsid w:val="00A756FA"/>
    <w:pPr>
      <w:spacing w:before="240" w:after="120"/>
    </w:pPr>
    <w:rPr>
      <w:rFonts w:ascii="Times New Roman" w:hAnsi="Times New Roman"/>
      <w:b/>
      <w:sz w:val="32"/>
    </w:rPr>
  </w:style>
  <w:style w:type="paragraph" w:customStyle="1" w:styleId="Heading2TOC">
    <w:name w:val="Heading2 TOC"/>
    <w:basedOn w:val="Normal"/>
    <w:qFormat/>
    <w:rsid w:val="00A756FA"/>
    <w:pPr>
      <w:spacing w:before="240" w:after="60"/>
    </w:pPr>
    <w:rPr>
      <w:rFonts w:ascii="Times New Roman" w:hAnsi="Times New Roman"/>
      <w:b/>
      <w:sz w:val="28"/>
    </w:rPr>
  </w:style>
  <w:style w:type="character" w:customStyle="1" w:styleId="Underline">
    <w:name w:val="Underline"/>
    <w:basedOn w:val="DefaultParagraphFont"/>
    <w:qFormat/>
    <w:rsid w:val="00A756FA"/>
    <w:rPr>
      <w:u w:val="single"/>
    </w:rPr>
  </w:style>
  <w:style w:type="character" w:customStyle="1" w:styleId="BoldandItalics">
    <w:name w:val="Bold and Italics"/>
    <w:qFormat/>
    <w:rsid w:val="00A756FA"/>
    <w:rPr>
      <w:b/>
      <w:i/>
      <w:u w:val="none"/>
    </w:rPr>
  </w:style>
  <w:style w:type="paragraph" w:styleId="BalloonText">
    <w:name w:val="Balloon Text"/>
    <w:basedOn w:val="Normal"/>
    <w:link w:val="BalloonTextChar"/>
    <w:rsid w:val="00A756FA"/>
    <w:rPr>
      <w:rFonts w:ascii="Tahoma" w:hAnsi="Tahoma" w:cs="Tahoma"/>
      <w:sz w:val="16"/>
      <w:szCs w:val="16"/>
    </w:rPr>
  </w:style>
  <w:style w:type="character" w:customStyle="1" w:styleId="BalloonTextChar">
    <w:name w:val="Balloon Text Char"/>
    <w:basedOn w:val="DefaultParagraphFont"/>
    <w:link w:val="BalloonText"/>
    <w:rsid w:val="00A756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56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56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1246</Words>
  <Characters>7397</Characters>
  <Application>Microsoft Office Word</Application>
  <DocSecurity>0</DocSecurity>
  <Lines>349</Lines>
  <Paragraphs>158</Paragraphs>
  <ScaleCrop>false</ScaleCrop>
  <Company>Author-it Software Corporation Ltd.</Company>
  <LinksUpToDate>false</LinksUpToDate>
  <CharactersWithSpaces>8546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MEM04005B Produce moulds and cores by hand (jobbing)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2012-05-27T01:26:00Z</dcterms:created>
  <dcterms:modified xsi:type="dcterms:W3CDTF">2012-05-27T01:26:00Z</dcterms:modified>
</cp:coreProperties>
</file>