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6F0" w:rsidP="001F56F0">
      <w:pPr>
        <w:pStyle w:val="Title"/>
      </w:pPr>
      <w:r>
        <w:fldChar w:fldCharType="begin"/>
      </w:r>
      <w:r>
        <w:instrText xml:space="preserve"> TITLE   \* MERGEFORMAT </w:instrText>
      </w:r>
      <w:r>
        <w:fldChar w:fldCharType="separate"/>
      </w:r>
      <w:r>
        <w:t>MEM30018A Undertake basic process planning</w:t>
      </w:r>
      <w:r>
        <w:fldChar w:fldCharType="end"/>
      </w:r>
    </w:p>
    <w:p w:rsidR="001F56F0" w:rsidP="001F56F0">
      <w:pPr>
        <w:pStyle w:val="Version"/>
        <w:sectPr w:rsidSect="001752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2F0" w:rsidP="001752F0">
      <w:pPr>
        <w:pStyle w:val="SuperHeading"/>
      </w:pPr>
      <w:r w:rsidRPr="001752F0">
        <w:t>MEM30018A Undertake basic process planning</w:t>
      </w:r>
    </w:p>
    <w:p w:rsidR="00000000" w:rsidRPr="001752F0" w:rsidP="001752F0">
      <w:pPr>
        <w:pStyle w:val="Heading1"/>
      </w:pPr>
      <w:bookmarkStart w:id="1" w:name="O_272435"/>
      <w:bookmarkEnd w:id="1"/>
      <w:r w:rsidRPr="001752F0">
        <w:t>Modification History</w:t>
      </w:r>
    </w:p>
    <w:p w:rsidR="00000000" w:rsidRPr="001752F0" w:rsidP="001752F0">
      <w:pPr>
        <w:pStyle w:val="BodyText"/>
      </w:pPr>
      <w:r w:rsidRPr="001752F0">
        <w:t>Not Applicable</w:t>
      </w:r>
    </w:p>
    <w:p w:rsidR="00000000" w:rsidRPr="001752F0" w:rsidP="001752F0">
      <w:pPr>
        <w:pStyle w:val="AllowPageBreak"/>
      </w:pPr>
    </w:p>
    <w:p w:rsidR="00000000" w:rsidRPr="001752F0" w:rsidP="001752F0">
      <w:pPr>
        <w:pStyle w:val="Heading1"/>
      </w:pPr>
      <w:bookmarkStart w:id="2" w:name="O_213483"/>
      <w:bookmarkEnd w:id="2"/>
      <w:r w:rsidRPr="001752F0">
        <w:t>Unit Descriptor</w:t>
      </w:r>
    </w:p>
    <w:tbl>
      <w:tblPr>
        <w:tblW w:w="0" w:type="auto"/>
        <w:tblLayout w:type="fixed"/>
        <w:tblCellMar>
          <w:left w:w="62" w:type="dxa"/>
          <w:right w:w="62" w:type="dxa"/>
        </w:tblCellMar>
        <w:tblLook w:val="0000"/>
      </w:tblPr>
      <w:tblGrid>
        <w:gridCol w:w="2667"/>
        <w:gridCol w:w="5855"/>
      </w:tblGrid>
      <w:tr w:rsidTr="001F56F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This unit covers undertaking a basic determination of process specifications and production sequ</w:t>
            </w:r>
            <w:r w:rsidRPr="001752F0">
              <w:t>ence for a manufacturing operation.</w:t>
            </w:r>
          </w:p>
        </w:tc>
      </w:tr>
    </w:tbl>
    <w:p w:rsidR="001F56F0" w:rsidP="001752F0">
      <w:pPr>
        <w:pStyle w:val="BodyText"/>
      </w:pPr>
    </w:p>
    <w:p w:rsidR="001F56F0" w:rsidP="001752F0">
      <w:pPr>
        <w:pStyle w:val="BodyText"/>
      </w:pPr>
    </w:p>
    <w:p w:rsidR="00000000" w:rsidRPr="001752F0" w:rsidP="001752F0">
      <w:pPr>
        <w:pStyle w:val="Heading1"/>
      </w:pPr>
      <w:bookmarkStart w:id="3" w:name="O_213487"/>
      <w:bookmarkEnd w:id="3"/>
      <w:r w:rsidRPr="001752F0">
        <w:t>Application of the Unit</w:t>
      </w:r>
    </w:p>
    <w:tbl>
      <w:tblPr>
        <w:tblW w:w="0" w:type="auto"/>
        <w:tblLayout w:type="fixed"/>
        <w:tblCellMar>
          <w:left w:w="62" w:type="dxa"/>
          <w:right w:w="62" w:type="dxa"/>
        </w:tblCellMar>
        <w:tblLook w:val="0000"/>
      </w:tblPr>
      <w:tblGrid>
        <w:gridCol w:w="2745"/>
        <w:gridCol w:w="5777"/>
      </w:tblGrid>
      <w:tr w:rsidTr="001F56F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 xml:space="preserve">This unit applies to a range of processes in manufacturing and to a stage of the overall production process. It does not apply to interfacing </w:t>
            </w:r>
            <w:r w:rsidRPr="001752F0">
              <w:t xml:space="preserve">between processes. </w:t>
            </w:r>
          </w:p>
          <w:p w:rsidR="00000000" w:rsidRPr="001752F0" w:rsidP="001752F0">
            <w:pPr>
              <w:pStyle w:val="BodyText"/>
            </w:pPr>
            <w:r w:rsidRPr="001752F0">
              <w:t>The process plan is developed over a specified timeframe taking into account resources available and required. The process plan establishes detailed steps required, and milestones against which progress can be checked. The plan is devel</w:t>
            </w:r>
            <w:r w:rsidRPr="001752F0">
              <w:t xml:space="preserve">oped in accordance with accepted organisation practice and procedures. </w:t>
            </w:r>
          </w:p>
          <w:p w:rsidR="00000000" w:rsidRPr="001752F0" w:rsidP="001752F0">
            <w:pPr>
              <w:pStyle w:val="BodyText"/>
            </w:pPr>
            <w:r w:rsidRPr="001752F0">
              <w:t xml:space="preserve">Performance of this unit would normally be conducted in a work environment where the basic process plan is reviewed by supervisors, planners or other internal review procedures before </w:t>
            </w:r>
            <w:r w:rsidRPr="001752F0">
              <w:t>the plan is implemented.</w:t>
            </w:r>
          </w:p>
          <w:p w:rsidR="00000000" w:rsidRPr="001752F0" w:rsidP="001752F0">
            <w:pPr>
              <w:pStyle w:val="BodyText"/>
            </w:pPr>
            <w:r w:rsidRPr="001752F0">
              <w:t>Where interfacing between manufacturing processes is required, Unit MEM30021A (Prepare a simple production schedule) should be selected.</w:t>
            </w:r>
          </w:p>
          <w:p w:rsidR="00000000" w:rsidRPr="001752F0" w:rsidP="001752F0">
            <w:pPr>
              <w:pStyle w:val="BodyText"/>
            </w:pPr>
          </w:p>
          <w:p w:rsidR="00000000" w:rsidRPr="001752F0" w:rsidP="001752F0">
            <w:pPr>
              <w:pStyle w:val="BodyText"/>
            </w:pPr>
            <w:r w:rsidRPr="001752F0">
              <w:rPr>
                <w:rStyle w:val="SpecialBold"/>
              </w:rPr>
              <w:t>Band</w:t>
            </w:r>
            <w:r w:rsidRPr="001752F0">
              <w:t>:</w:t>
            </w:r>
            <w:r w:rsidRPr="001752F0">
              <w:tab/>
            </w:r>
            <w:r w:rsidRPr="001752F0">
              <w:rPr>
                <w:rStyle w:val="SpecialBold"/>
              </w:rPr>
              <w:t>0</w:t>
            </w:r>
          </w:p>
          <w:p w:rsidR="00000000" w:rsidRPr="001752F0" w:rsidP="001752F0">
            <w:pPr>
              <w:pStyle w:val="BodyText"/>
            </w:pPr>
            <w:r w:rsidRPr="001752F0">
              <w:rPr>
                <w:rStyle w:val="SpecialBold"/>
              </w:rPr>
              <w:t>Unit Weight</w:t>
            </w:r>
            <w:r w:rsidRPr="001752F0">
              <w:t>:</w:t>
            </w:r>
            <w:r w:rsidRPr="001752F0">
              <w:tab/>
            </w:r>
            <w:r w:rsidRPr="001752F0">
              <w:rPr>
                <w:rStyle w:val="SpecialBold"/>
              </w:rPr>
              <w:t>0</w:t>
            </w:r>
          </w:p>
        </w:tc>
      </w:tr>
    </w:tbl>
    <w:p w:rsidR="001F56F0" w:rsidP="001752F0">
      <w:pPr>
        <w:pStyle w:val="BodyText"/>
      </w:pPr>
    </w:p>
    <w:p w:rsidR="001F56F0" w:rsidP="001752F0">
      <w:pPr>
        <w:pStyle w:val="BodyText"/>
      </w:pPr>
    </w:p>
    <w:p w:rsidR="00000000" w:rsidRPr="001752F0" w:rsidP="001752F0">
      <w:pPr>
        <w:pStyle w:val="Heading1"/>
      </w:pPr>
      <w:bookmarkStart w:id="4" w:name="O_280695"/>
      <w:bookmarkEnd w:id="4"/>
      <w:r w:rsidRPr="001752F0">
        <w:t>Licensing/Regulatory Information</w:t>
      </w:r>
    </w:p>
    <w:p w:rsidR="00000000" w:rsidRPr="001752F0" w:rsidP="001752F0">
      <w:pPr>
        <w:pStyle w:val="BodyText"/>
      </w:pPr>
      <w:r w:rsidRPr="001752F0">
        <w:t>Not Applicable</w:t>
      </w:r>
    </w:p>
    <w:p w:rsidR="00000000" w:rsidRPr="001752F0" w:rsidP="001752F0">
      <w:pPr>
        <w:pStyle w:val="AllowPageBreak"/>
      </w:pPr>
    </w:p>
    <w:p w:rsidR="00000000" w:rsidRPr="001752F0" w:rsidP="001752F0">
      <w:pPr>
        <w:pStyle w:val="Heading1"/>
      </w:pPr>
      <w:bookmarkStart w:id="5" w:name="O_213485"/>
      <w:bookmarkEnd w:id="5"/>
      <w:r w:rsidRPr="001752F0">
        <w:t>Pre-Requisites</w:t>
      </w:r>
    </w:p>
    <w:tbl>
      <w:tblPr>
        <w:tblW w:w="0" w:type="auto"/>
        <w:tblLayout w:type="fixed"/>
        <w:tblCellMar>
          <w:left w:w="62" w:type="dxa"/>
          <w:right w:w="62" w:type="dxa"/>
        </w:tblCellMar>
        <w:tblLook w:val="0000"/>
      </w:tblPr>
      <w:tblGrid>
        <w:gridCol w:w="2775"/>
        <w:gridCol w:w="1295"/>
        <w:gridCol w:w="4452"/>
      </w:tblGrid>
      <w:tr w:rsidTr="001F56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p>
        </w:tc>
      </w:tr>
      <w:tr w:rsidTr="001F56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p>
        </w:tc>
      </w:tr>
      <w:tr w:rsidTr="001F56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p>
        </w:tc>
      </w:tr>
    </w:tbl>
    <w:p w:rsidR="001F56F0" w:rsidP="001752F0">
      <w:pPr>
        <w:pStyle w:val="BodyText"/>
      </w:pPr>
    </w:p>
    <w:p w:rsidR="001F56F0" w:rsidP="001752F0">
      <w:pPr>
        <w:pStyle w:val="BodyText"/>
      </w:pPr>
    </w:p>
    <w:p w:rsidR="00000000" w:rsidRPr="001752F0" w:rsidP="001752F0">
      <w:pPr>
        <w:pStyle w:val="Heading1"/>
      </w:pPr>
      <w:bookmarkStart w:id="6" w:name="O_213484"/>
      <w:bookmarkEnd w:id="6"/>
      <w:r w:rsidRPr="001752F0">
        <w:t>Employability Skills Information</w:t>
      </w:r>
    </w:p>
    <w:tbl>
      <w:tblPr>
        <w:tblW w:w="0" w:type="auto"/>
        <w:tblLayout w:type="fixed"/>
        <w:tblCellMar>
          <w:left w:w="62" w:type="dxa"/>
          <w:right w:w="62" w:type="dxa"/>
        </w:tblCellMar>
        <w:tblLook w:val="0000"/>
      </w:tblPr>
      <w:tblGrid>
        <w:gridCol w:w="2802"/>
        <w:gridCol w:w="5720"/>
      </w:tblGrid>
      <w:tr w:rsidTr="001F56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This unit contains employability skills.</w:t>
            </w:r>
          </w:p>
        </w:tc>
      </w:tr>
    </w:tbl>
    <w:p w:rsidR="001F56F0" w:rsidP="001752F0">
      <w:pPr>
        <w:pStyle w:val="BodyText"/>
      </w:pPr>
    </w:p>
    <w:p w:rsidR="001F56F0" w:rsidP="001752F0">
      <w:pPr>
        <w:pStyle w:val="BodyText"/>
      </w:pPr>
    </w:p>
    <w:p w:rsidR="00000000" w:rsidRPr="001752F0" w:rsidP="001752F0">
      <w:pPr>
        <w:pStyle w:val="Heading1"/>
      </w:pPr>
      <w:bookmarkStart w:id="7" w:name="O_290481"/>
      <w:bookmarkEnd w:id="7"/>
      <w:r w:rsidRPr="001752F0">
        <w:t>Elements and Performance Criteria Pre-Content</w:t>
      </w:r>
    </w:p>
    <w:tbl>
      <w:tblPr>
        <w:tblW w:w="0" w:type="auto"/>
        <w:tblLayout w:type="fixed"/>
        <w:tblCellMar>
          <w:left w:w="62" w:type="dxa"/>
          <w:right w:w="62" w:type="dxa"/>
        </w:tblCellMar>
        <w:tblLook w:val="0000"/>
      </w:tblPr>
      <w:tblGrid>
        <w:gridCol w:w="2696"/>
        <w:gridCol w:w="5826"/>
      </w:tblGrid>
      <w:tr w:rsidTr="001F56F0">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Elements describe the essential outcomes of a unit of competency.</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 xml:space="preserve">Performance criteria describe the performance needed to demonstrate achievement of the element. Where bold italicised text is used, further </w:t>
            </w:r>
            <w:r w:rsidRPr="001752F0">
              <w:t>information is detailed in the required skills and knowledge section and the range statement. Assessment of performance is to be consistent with the evidence guide.</w:t>
            </w:r>
          </w:p>
        </w:tc>
      </w:tr>
    </w:tbl>
    <w:p w:rsidR="00000000" w:rsidRPr="001752F0" w:rsidP="001752F0">
      <w:pPr>
        <w:pStyle w:val="BodyText"/>
      </w:pPr>
    </w:p>
    <w:p w:rsidR="00000000" w:rsidRPr="001752F0" w:rsidP="001752F0">
      <w:pPr>
        <w:pStyle w:val="AllowPageBreak"/>
      </w:pPr>
    </w:p>
    <w:p w:rsidR="00000000" w:rsidRPr="001752F0" w:rsidP="001752F0">
      <w:pPr>
        <w:pStyle w:val="Heading1"/>
      </w:pPr>
      <w:bookmarkStart w:id="8" w:name="O_237148"/>
      <w:bookmarkEnd w:id="8"/>
      <w:r w:rsidRPr="001752F0">
        <w:t>Elements and Performance Criteria</w:t>
      </w:r>
    </w:p>
    <w:tbl>
      <w:tblPr>
        <w:tblW w:w="0" w:type="auto"/>
        <w:tblLayout w:type="fixed"/>
        <w:tblCellMar>
          <w:left w:w="62" w:type="dxa"/>
          <w:right w:w="62" w:type="dxa"/>
        </w:tblCellMar>
        <w:tblLook w:val="0000"/>
      </w:tblPr>
      <w:tblGrid>
        <w:gridCol w:w="2696"/>
        <w:gridCol w:w="5826"/>
      </w:tblGrid>
      <w:tr w:rsidTr="001F56F0">
        <w:tblPrEx>
          <w:tblW w:w="0" w:type="auto"/>
          <w:tblLayout w:type="fixed"/>
          <w:tblCellMar>
            <w:left w:w="62" w:type="dxa"/>
            <w:right w:w="62" w:type="dxa"/>
          </w:tblCellMar>
          <w:tblLook w:val="0000"/>
        </w:tblPrEx>
        <w:trPr>
          <w:tblHeader/>
        </w:trPr>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rPr>
                <w:rStyle w:val="SpecialBold"/>
              </w:rPr>
              <w:t>ELEMENT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PERFORMANCE CRITERIA</w:t>
            </w:r>
          </w:p>
        </w:tc>
      </w:tr>
      <w:tr w:rsidTr="001F56F0">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List"/>
              <w:rPr>
                <w:lang w:val="en-NZ"/>
              </w:rPr>
            </w:pPr>
            <w:r w:rsidRPr="001752F0">
              <w:t>1.</w:t>
            </w:r>
            <w:r w:rsidRPr="001752F0">
              <w:tab/>
              <w:t>Assis</w:t>
            </w:r>
            <w:r w:rsidRPr="001752F0">
              <w:t xml:space="preserve">t in determination of a process sequence </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List2"/>
            </w:pPr>
            <w:r w:rsidRPr="001752F0">
              <w:t>1.1.</w:t>
            </w:r>
            <w:r w:rsidRPr="001752F0">
              <w:tab/>
              <w:t>A basic analysis of process specifications using relevant job instructions, drawings, cost objectives, and operational procedures is undertaken.</w:t>
            </w:r>
          </w:p>
          <w:p w:rsidR="00000000" w:rsidRPr="001752F0" w:rsidP="001752F0">
            <w:pPr>
              <w:pStyle w:val="List2"/>
            </w:pPr>
            <w:r w:rsidRPr="001752F0">
              <w:t>1.2.</w:t>
            </w:r>
            <w:r w:rsidRPr="001752F0">
              <w:tab/>
              <w:t>An operation or process sheet is prepared based on analysis</w:t>
            </w:r>
            <w:r w:rsidRPr="001752F0">
              <w:t>.</w:t>
            </w:r>
          </w:p>
          <w:p w:rsidR="00000000" w:rsidRPr="001752F0" w:rsidP="001752F0">
            <w:pPr>
              <w:pStyle w:val="List2"/>
            </w:pPr>
            <w:r w:rsidRPr="001752F0">
              <w:t>1.3.</w:t>
            </w:r>
            <w:r w:rsidRPr="001752F0">
              <w:tab/>
              <w:t>The process steps are clearly documented and approved in accordance with standard operating procedures.</w:t>
            </w:r>
          </w:p>
          <w:p w:rsidR="00000000" w:rsidRPr="001752F0" w:rsidP="001752F0">
            <w:pPr>
              <w:pStyle w:val="List2"/>
            </w:pPr>
            <w:r w:rsidRPr="001752F0">
              <w:t>1.4.</w:t>
            </w:r>
            <w:r w:rsidRPr="001752F0">
              <w:tab/>
              <w:t>Flow charts, based on analysis, are produced where required.</w:t>
            </w:r>
          </w:p>
          <w:p w:rsidR="00000000" w:rsidRPr="001752F0" w:rsidP="001752F0">
            <w:pPr>
              <w:pStyle w:val="List2"/>
            </w:pPr>
            <w:r w:rsidRPr="001752F0">
              <w:t>1.5.</w:t>
            </w:r>
            <w:r w:rsidRPr="001752F0">
              <w:tab/>
            </w:r>
            <w:r w:rsidRPr="001752F0">
              <w:t>Material and parts lists are prepared, based on analysis, for the production process in accordance with standard operating procedures.</w:t>
            </w:r>
          </w:p>
          <w:p w:rsidR="00000000" w:rsidRPr="001752F0" w:rsidP="001752F0">
            <w:pPr>
              <w:pStyle w:val="List2"/>
            </w:pPr>
            <w:r w:rsidRPr="001752F0">
              <w:t>1.6.</w:t>
            </w:r>
            <w:r w:rsidRPr="001752F0">
              <w:tab/>
              <w:t>Tooling and/or equipment requirements are determined in conjunction with supervisor and other expert personnel.</w:t>
            </w:r>
          </w:p>
          <w:p w:rsidR="00000000" w:rsidP="001752F0">
            <w:pPr>
              <w:pStyle w:val="List2"/>
              <w:rPr>
                <w:lang w:val="en-NZ"/>
              </w:rPr>
            </w:pPr>
            <w:r w:rsidRPr="001752F0">
              <w:t>1.7.</w:t>
            </w:r>
            <w:r w:rsidRPr="001752F0">
              <w:tab/>
              <w:t>All requirements are documented in accordance with standard operating procedures.</w:t>
            </w:r>
          </w:p>
        </w:tc>
      </w:tr>
      <w:tr w:rsidTr="001F56F0">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List"/>
              <w:rPr>
                <w:lang w:val="en-NZ"/>
              </w:rPr>
            </w:pPr>
            <w:r w:rsidRPr="001752F0">
              <w:t>2.</w:t>
            </w:r>
            <w:r w:rsidRPr="001752F0">
              <w:tab/>
              <w:t>Prepare and submit new/revised operation sheet/flow chart/parts list as required</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List2"/>
            </w:pPr>
            <w:r w:rsidRPr="001752F0">
              <w:t>2.1.</w:t>
            </w:r>
            <w:r w:rsidRPr="001752F0">
              <w:tab/>
              <w:t>New/revised operation sheet/flow chart/parts list is prepared in accordance with st</w:t>
            </w:r>
            <w:r w:rsidRPr="001752F0">
              <w:t>andard operating procedures.</w:t>
            </w:r>
          </w:p>
          <w:p w:rsidR="00000000" w:rsidP="001752F0">
            <w:pPr>
              <w:pStyle w:val="List2"/>
              <w:rPr>
                <w:lang w:val="en-NZ"/>
              </w:rPr>
            </w:pPr>
            <w:r w:rsidRPr="001752F0">
              <w:t>2.2.</w:t>
            </w:r>
            <w:r w:rsidRPr="001752F0">
              <w:tab/>
              <w:t>New/revised operation requirements are submitted in accordance with enterprise approval procedures.</w:t>
            </w:r>
          </w:p>
        </w:tc>
      </w:tr>
      <w:tr w:rsidTr="001F56F0">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List"/>
              <w:rPr>
                <w:lang w:val="en-NZ"/>
              </w:rPr>
            </w:pPr>
            <w:r w:rsidRPr="001752F0">
              <w:t>3.</w:t>
            </w:r>
            <w:r w:rsidRPr="001752F0">
              <w:tab/>
              <w:t>Issue or file approved operation sheet/flow chart/parts list as required</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List2"/>
            </w:pPr>
            <w:r w:rsidRPr="001752F0">
              <w:t>3.1.</w:t>
            </w:r>
            <w:r w:rsidRPr="001752F0">
              <w:tab/>
              <w:t>Approved drawings and or parts lists are</w:t>
            </w:r>
            <w:r w:rsidRPr="001752F0">
              <w:t xml:space="preserve"> stored and catalogued or issued in accordance with standard operating procedures.</w:t>
            </w:r>
          </w:p>
        </w:tc>
      </w:tr>
    </w:tbl>
    <w:p w:rsidR="001F56F0" w:rsidP="001752F0">
      <w:pPr>
        <w:pStyle w:val="BodyText"/>
      </w:pPr>
    </w:p>
    <w:p w:rsidR="001F56F0" w:rsidP="001752F0">
      <w:pPr>
        <w:pStyle w:val="BodyText"/>
      </w:pPr>
    </w:p>
    <w:p w:rsidR="00000000" w:rsidRPr="001752F0" w:rsidP="001752F0">
      <w:pPr>
        <w:pStyle w:val="Heading1"/>
      </w:pPr>
      <w:bookmarkStart w:id="9" w:name="O_261098"/>
      <w:bookmarkEnd w:id="9"/>
      <w:r w:rsidRPr="001752F0">
        <w:t>Required Skills and Knowledge</w:t>
      </w:r>
    </w:p>
    <w:tbl>
      <w:tblPr>
        <w:tblW w:w="0" w:type="auto"/>
        <w:tblLayout w:type="fixed"/>
        <w:tblCellMar>
          <w:left w:w="62" w:type="dxa"/>
          <w:right w:w="62" w:type="dxa"/>
        </w:tblCellMar>
        <w:tblLook w:val="0000"/>
      </w:tblPr>
      <w:tblGrid>
        <w:gridCol w:w="8522"/>
      </w:tblGrid>
      <w:tr w:rsidTr="001F56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REQUIRED SKILLS AND KNOWLEDGE</w:t>
            </w:r>
          </w:p>
        </w:tc>
      </w:tr>
      <w:tr w:rsidTr="001F56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This section describes the skills and knowledge required for this unit.</w:t>
            </w:r>
          </w:p>
        </w:tc>
      </w:tr>
      <w:tr w:rsidTr="001F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Required skills</w:t>
            </w:r>
          </w:p>
        </w:tc>
      </w:tr>
      <w:tr w:rsidTr="001F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Look for evidence that confirms skills in:</w:t>
            </w:r>
          </w:p>
          <w:p w:rsidR="00000000" w:rsidRPr="001752F0" w:rsidP="001752F0">
            <w:pPr>
              <w:pStyle w:val="ListBullet"/>
            </w:pPr>
            <w:r w:rsidRPr="001752F0">
              <w:t>communicating</w:t>
            </w:r>
          </w:p>
          <w:p w:rsidR="00000000" w:rsidRPr="001752F0" w:rsidP="001752F0">
            <w:pPr>
              <w:pStyle w:val="ListBullet"/>
            </w:pPr>
            <w:r w:rsidRPr="001752F0">
              <w:t>prioritising</w:t>
            </w:r>
          </w:p>
          <w:p w:rsidR="00000000" w:rsidRPr="001752F0" w:rsidP="001752F0">
            <w:pPr>
              <w:pStyle w:val="ListBullet"/>
            </w:pPr>
            <w:r w:rsidRPr="001752F0">
              <w:t>planning</w:t>
            </w:r>
          </w:p>
          <w:p w:rsidR="00000000" w:rsidRPr="001752F0" w:rsidP="001752F0">
            <w:pPr>
              <w:pStyle w:val="ListBullet"/>
            </w:pPr>
            <w:r w:rsidRPr="001752F0">
              <w:t>drawing</w:t>
            </w:r>
          </w:p>
          <w:p w:rsidR="00000000" w:rsidRPr="001752F0" w:rsidP="001752F0">
            <w:pPr>
              <w:pStyle w:val="ListBullet"/>
            </w:pPr>
            <w:r w:rsidRPr="001752F0">
              <w:t>evaluating</w:t>
            </w:r>
          </w:p>
          <w:p w:rsidR="00000000" w:rsidRPr="001752F0" w:rsidP="001752F0">
            <w:pPr>
              <w:pStyle w:val="ListBullet"/>
            </w:pPr>
            <w:r w:rsidRPr="001752F0">
              <w:t>analysing</w:t>
            </w:r>
          </w:p>
          <w:p w:rsidR="00000000" w:rsidRPr="001752F0" w:rsidP="001752F0">
            <w:pPr>
              <w:pStyle w:val="ListBullet"/>
            </w:pPr>
            <w:r w:rsidRPr="001752F0">
              <w:t>documenting</w:t>
            </w:r>
          </w:p>
          <w:p w:rsidR="00000000" w:rsidRPr="001752F0" w:rsidP="001752F0">
            <w:pPr>
              <w:pStyle w:val="ListBullet"/>
            </w:pPr>
            <w:r w:rsidRPr="001752F0">
              <w:t>reading, interpreting and following information on written job instructions, specification</w:t>
            </w:r>
            <w:r w:rsidRPr="001752F0">
              <w:t>s, standard operating procedures charts, lists, drawings and other applicable reference documents.</w:t>
            </w:r>
          </w:p>
          <w:p w:rsidR="00000000" w:rsidRPr="001752F0" w:rsidP="001752F0">
            <w:pPr>
              <w:pStyle w:val="ListBullet"/>
            </w:pPr>
            <w:r w:rsidRPr="001752F0">
              <w:t>planning and sequencing operations</w:t>
            </w:r>
          </w:p>
          <w:p w:rsidR="00000000" w:rsidP="001752F0">
            <w:pPr>
              <w:pStyle w:val="ListBullet"/>
              <w:rPr>
                <w:lang w:val="en-NZ"/>
              </w:rPr>
            </w:pPr>
            <w:r w:rsidRPr="001752F0">
              <w:t>checking and clarifying task-related information</w:t>
            </w:r>
          </w:p>
        </w:tc>
      </w:tr>
      <w:tr w:rsidTr="001F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Required knowledge</w:t>
            </w:r>
          </w:p>
        </w:tc>
      </w:tr>
      <w:tr w:rsidTr="001F56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Look for evidence that confirms knowledge of:</w:t>
            </w:r>
          </w:p>
          <w:p w:rsidR="00000000" w:rsidRPr="001752F0" w:rsidP="001752F0">
            <w:pPr>
              <w:pStyle w:val="ListBullet"/>
            </w:pPr>
            <w:r w:rsidRPr="001752F0">
              <w:t>overv</w:t>
            </w:r>
            <w:r w:rsidRPr="001752F0">
              <w:t>iew knowledge of product and process manufacturing principles including:</w:t>
            </w:r>
          </w:p>
          <w:p w:rsidR="00000000" w:rsidRPr="001752F0" w:rsidP="001752F0">
            <w:pPr>
              <w:pStyle w:val="ListBullet2"/>
            </w:pPr>
            <w:r w:rsidRPr="001752F0">
              <w:t>flow</w:t>
            </w:r>
          </w:p>
          <w:p w:rsidR="00000000" w:rsidRPr="001752F0" w:rsidP="001752F0">
            <w:pPr>
              <w:pStyle w:val="ListBullet2"/>
            </w:pPr>
            <w:r w:rsidRPr="001752F0">
              <w:t>elaborate transformation</w:t>
            </w:r>
          </w:p>
          <w:p w:rsidR="00000000" w:rsidRPr="001752F0" w:rsidP="001752F0">
            <w:pPr>
              <w:pStyle w:val="ListBullet2"/>
            </w:pPr>
            <w:r w:rsidRPr="001752F0">
              <w:t>value adding</w:t>
            </w:r>
          </w:p>
          <w:p w:rsidR="00000000" w:rsidRPr="001752F0" w:rsidP="001752F0">
            <w:pPr>
              <w:pStyle w:val="ListBullet2"/>
            </w:pPr>
            <w:r w:rsidRPr="001752F0">
              <w:t>waste</w:t>
            </w:r>
          </w:p>
          <w:p w:rsidR="00000000" w:rsidRPr="001752F0" w:rsidP="001752F0">
            <w:pPr>
              <w:pStyle w:val="ListBullet2"/>
            </w:pPr>
            <w:r w:rsidRPr="001752F0">
              <w:t>hazard identification and reduction</w:t>
            </w:r>
          </w:p>
          <w:p w:rsidR="00000000" w:rsidRPr="001752F0" w:rsidP="001752F0">
            <w:pPr>
              <w:pStyle w:val="ListBullet2"/>
            </w:pPr>
            <w:r w:rsidRPr="001752F0">
              <w:t>safe work practices and procedures</w:t>
            </w:r>
          </w:p>
        </w:tc>
      </w:tr>
    </w:tbl>
    <w:p w:rsidR="001F56F0" w:rsidP="001752F0">
      <w:pPr>
        <w:pStyle w:val="BodyText"/>
      </w:pPr>
    </w:p>
    <w:p w:rsidR="001F56F0" w:rsidP="001752F0">
      <w:pPr>
        <w:pStyle w:val="BodyText"/>
      </w:pPr>
    </w:p>
    <w:p w:rsidR="00000000" w:rsidRPr="001752F0" w:rsidP="001752F0">
      <w:pPr>
        <w:pStyle w:val="AllowPageBreak"/>
      </w:pPr>
    </w:p>
    <w:p w:rsidR="00000000" w:rsidRPr="001752F0" w:rsidP="001752F0">
      <w:pPr>
        <w:pStyle w:val="Heading1"/>
      </w:pPr>
      <w:bookmarkStart w:id="10" w:name="O_245132"/>
      <w:bookmarkEnd w:id="10"/>
      <w:r w:rsidRPr="001752F0">
        <w:t>Evidence Guide</w:t>
      </w:r>
    </w:p>
    <w:tbl>
      <w:tblPr>
        <w:tblW w:w="9570" w:type="dxa"/>
        <w:tblLayout w:type="fixed"/>
        <w:tblCellMar>
          <w:left w:w="62" w:type="dxa"/>
          <w:right w:w="62" w:type="dxa"/>
        </w:tblCellMar>
        <w:tblLook w:val="0000"/>
      </w:tblPr>
      <w:tblGrid>
        <w:gridCol w:w="3908"/>
        <w:gridCol w:w="5662"/>
      </w:tblGrid>
      <w:tr w:rsidTr="001F56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EVIDENCE GUIDE</w:t>
            </w:r>
          </w:p>
        </w:tc>
      </w:tr>
      <w:tr w:rsidTr="001F56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The evidence guide provides advice on assessment and must be read in conjunction with the performance criteria, required skills and knowledge, range statement and the Assessment Guidelines for the Training Package.</w:t>
            </w:r>
          </w:p>
        </w:tc>
      </w:tr>
      <w:tr w:rsidTr="001F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 xml:space="preserve">A person who demonstrates competency in this unit must be able to undertake basic process planning. </w:t>
            </w:r>
          </w:p>
        </w:tc>
      </w:tr>
      <w:tr w:rsidTr="001F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Assessors must be satisfied that the candidate can competent</w:t>
            </w:r>
            <w:r w:rsidRPr="001752F0">
              <w:t>ly and consistently perform all elements of the unit as specified by the criteria, including required knowledge, and be capable of applying the competency in new and different situations and contexts.</w:t>
            </w:r>
          </w:p>
        </w:tc>
      </w:tr>
      <w:tr w:rsidTr="001F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 xml:space="preserve">This </w:t>
            </w:r>
            <w:r w:rsidRPr="001752F0">
              <w:t>unit may be assessed on the job, off the job or a combination of both on and off the job. Where assessment occurs off the job, that is the candidate is not in productive work, then an appropriate simulation must be used where the range of conditions reflec</w:t>
            </w:r>
            <w:r w:rsidRPr="001752F0">
              <w:t>ts realistic workplace situations. The competencies covered by this unit would be demonstrated by an individual working alone or as part of a team. The assessment environment should not disadvantage the candidate.</w:t>
            </w:r>
          </w:p>
          <w:p w:rsidR="00000000" w:rsidP="001752F0">
            <w:pPr>
              <w:pStyle w:val="BodyText"/>
              <w:rPr>
                <w:lang w:val="en-NZ"/>
              </w:rPr>
            </w:pPr>
            <w:r w:rsidRPr="001752F0">
              <w:t>This unit could be assessed in conjunction</w:t>
            </w:r>
            <w:r w:rsidRPr="001752F0">
              <w:t xml:space="preserve"> with any other units addressing the safety, quality, communication, materials handling, recording and reporting associated with undertaking basic process planning, or other units requiring the exercise of the skills and knowledge covered by this unit.</w:t>
            </w:r>
          </w:p>
        </w:tc>
      </w:tr>
      <w:tr w:rsidTr="001F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Me</w:t>
            </w:r>
            <w:r w:rsidRPr="001752F0">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Assessors should gather a range of evidence that is valid, sufficient, current and authentic. Evidence can be gathered through a variety of ways including direct observation, supervisor's reports, project work, samples and questioning. Q</w:t>
            </w:r>
            <w:r w:rsidRPr="001752F0">
              <w:t xml:space="preserve">uestioning techniques should not require language, literacy and numeracy skills beyond those required in this unit of competency. The candidate must have access to all tools, equipment, materials and documentation required. The candidate must be permitted </w:t>
            </w:r>
            <w:r w:rsidRPr="001752F0">
              <w:t>to refer to any relevant workplace procedures, product and manufacturing specifications, codes, standards, manuals and reference materials.</w:t>
            </w:r>
          </w:p>
        </w:tc>
      </w:tr>
      <w:tr w:rsidTr="001F56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p>
        </w:tc>
      </w:tr>
    </w:tbl>
    <w:p w:rsidR="001F56F0" w:rsidP="001752F0">
      <w:pPr>
        <w:pStyle w:val="BodyText"/>
      </w:pPr>
    </w:p>
    <w:p w:rsidR="001F56F0" w:rsidP="001752F0">
      <w:pPr>
        <w:pStyle w:val="BodyText"/>
      </w:pPr>
    </w:p>
    <w:p w:rsidR="00000000" w:rsidRPr="001752F0" w:rsidP="001752F0">
      <w:pPr>
        <w:pStyle w:val="Heading1"/>
      </w:pPr>
      <w:bookmarkStart w:id="11" w:name="O_253115"/>
      <w:bookmarkEnd w:id="11"/>
      <w:r w:rsidRPr="001752F0">
        <w:t>Range Statement</w:t>
      </w:r>
    </w:p>
    <w:tbl>
      <w:tblPr>
        <w:tblW w:w="0" w:type="auto"/>
        <w:tblLayout w:type="fixed"/>
        <w:tblCellMar>
          <w:left w:w="62" w:type="dxa"/>
          <w:right w:w="62" w:type="dxa"/>
        </w:tblCellMar>
        <w:tblLook w:val="0000"/>
      </w:tblPr>
      <w:tblGrid>
        <w:gridCol w:w="3515"/>
        <w:gridCol w:w="5007"/>
      </w:tblGrid>
      <w:tr w:rsidTr="001F56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RANGE STATEMENT</w:t>
            </w:r>
          </w:p>
        </w:tc>
      </w:tr>
      <w:tr w:rsidTr="001F56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t>The range statement relates to the unit of competency as a whole. It allows for different work environments and situations that may affect performance. Bold italicised wording, if used in the performance criteria, is detailed below. Essential operating con</w:t>
            </w:r>
            <w:r w:rsidRPr="001752F0">
              <w:t>ditions that may be present with training and assessment (depending on the work situation, needs of the candidate, accessibility of the item, and local industry and regional contexts) may also be included.</w:t>
            </w:r>
          </w:p>
        </w:tc>
      </w:tr>
      <w:tr w:rsidTr="001F56F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Operation or process sheet</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Includes operation sh</w:t>
            </w:r>
            <w:r w:rsidRPr="001752F0">
              <w:t>eets, sketches, tooling, equipment schedules and gauges etc.</w:t>
            </w:r>
          </w:p>
        </w:tc>
      </w:tr>
    </w:tbl>
    <w:p w:rsidR="001F56F0" w:rsidP="001752F0">
      <w:pPr>
        <w:pStyle w:val="BodyText"/>
      </w:pPr>
    </w:p>
    <w:p w:rsidR="001F56F0" w:rsidP="001752F0">
      <w:pPr>
        <w:pStyle w:val="BodyText"/>
      </w:pPr>
    </w:p>
    <w:p w:rsidR="00000000" w:rsidRPr="001752F0" w:rsidP="001752F0">
      <w:pPr>
        <w:pStyle w:val="Heading1"/>
      </w:pPr>
      <w:bookmarkStart w:id="12" w:name="O_213489"/>
      <w:bookmarkEnd w:id="12"/>
      <w:r w:rsidRPr="001752F0">
        <w:t>Unit Sector(s)</w:t>
      </w:r>
    </w:p>
    <w:tbl>
      <w:tblPr>
        <w:tblW w:w="0" w:type="auto"/>
        <w:tblLayout w:type="fixed"/>
        <w:tblCellMar>
          <w:left w:w="62" w:type="dxa"/>
          <w:right w:w="62" w:type="dxa"/>
        </w:tblCellMar>
        <w:tblLook w:val="0000"/>
      </w:tblPr>
      <w:tblGrid>
        <w:gridCol w:w="2654"/>
        <w:gridCol w:w="5868"/>
      </w:tblGrid>
      <w:tr w:rsidTr="001F56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p>
        </w:tc>
      </w:tr>
    </w:tbl>
    <w:p w:rsidR="001F56F0" w:rsidP="001752F0">
      <w:pPr>
        <w:pStyle w:val="BodyText"/>
      </w:pPr>
    </w:p>
    <w:p w:rsidR="001F56F0" w:rsidP="001752F0">
      <w:pPr>
        <w:pStyle w:val="BodyText"/>
      </w:pPr>
    </w:p>
    <w:p w:rsidR="00000000" w:rsidRPr="001752F0" w:rsidP="001752F0">
      <w:pPr>
        <w:pStyle w:val="Heading1"/>
      </w:pPr>
      <w:bookmarkStart w:id="13" w:name="O_213486"/>
      <w:bookmarkEnd w:id="13"/>
      <w:r w:rsidRPr="001752F0">
        <w:t>Co-requisite units</w:t>
      </w:r>
    </w:p>
    <w:tbl>
      <w:tblPr>
        <w:tblW w:w="0" w:type="auto"/>
        <w:tblLayout w:type="fixed"/>
        <w:tblCellMar>
          <w:left w:w="62" w:type="dxa"/>
          <w:right w:w="62" w:type="dxa"/>
        </w:tblCellMar>
        <w:tblLook w:val="0000"/>
      </w:tblPr>
      <w:tblGrid>
        <w:gridCol w:w="2641"/>
        <w:gridCol w:w="1322"/>
        <w:gridCol w:w="4559"/>
      </w:tblGrid>
      <w:tr w:rsidTr="001F56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p>
        </w:tc>
      </w:tr>
      <w:tr w:rsidTr="001F56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p>
        </w:tc>
      </w:tr>
      <w:tr w:rsidTr="001F56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p>
        </w:tc>
      </w:tr>
    </w:tbl>
    <w:p w:rsidR="001F56F0" w:rsidP="001752F0">
      <w:pPr>
        <w:pStyle w:val="BodyText"/>
      </w:pPr>
    </w:p>
    <w:p w:rsidR="001F56F0" w:rsidP="001752F0">
      <w:pPr>
        <w:pStyle w:val="BodyText"/>
      </w:pPr>
    </w:p>
    <w:p w:rsidR="00000000" w:rsidRPr="001752F0" w:rsidP="001752F0">
      <w:pPr>
        <w:pStyle w:val="Heading1"/>
      </w:pPr>
      <w:bookmarkStart w:id="14" w:name="O_213488"/>
      <w:bookmarkEnd w:id="14"/>
      <w:r w:rsidRPr="001752F0">
        <w:t>Competency field</w:t>
      </w:r>
    </w:p>
    <w:tbl>
      <w:tblPr>
        <w:tblW w:w="0" w:type="auto"/>
        <w:tblLayout w:type="fixed"/>
        <w:tblCellMar>
          <w:left w:w="62" w:type="dxa"/>
          <w:right w:w="62" w:type="dxa"/>
        </w:tblCellMar>
        <w:tblLook w:val="0000"/>
      </w:tblPr>
      <w:tblGrid>
        <w:gridCol w:w="2775"/>
        <w:gridCol w:w="5747"/>
      </w:tblGrid>
      <w:tr w:rsidTr="001F56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2F0">
            <w:pPr>
              <w:pStyle w:val="BodyText"/>
              <w:rPr>
                <w:lang w:val="en-NZ"/>
              </w:rPr>
            </w:pPr>
            <w:r w:rsidRPr="001752F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2F0" w:rsidP="001752F0">
            <w:pPr>
              <w:pStyle w:val="BodyText"/>
            </w:pPr>
            <w:r w:rsidRPr="001752F0">
              <w:t>Engineering technician</w:t>
            </w:r>
          </w:p>
        </w:tc>
      </w:tr>
    </w:tbl>
    <w:p w:rsidR="001F56F0" w:rsidP="001752F0">
      <w:pPr>
        <w:pStyle w:val="BodyText"/>
      </w:pPr>
    </w:p>
    <w:p w:rsidR="001F56F0" w:rsidP="001752F0">
      <w:pPr>
        <w:pStyle w:val="BodyText"/>
      </w:pPr>
    </w:p>
    <w:p w:rsidR="00000000" w:rsidRPr="001752F0" w:rsidP="001752F0"/>
    <w:sectPr w:rsidSect="001752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6F0" w:rsidP="001F5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F0" w:rsidP="00175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56F0" w:rsidP="001752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56F0" w:rsidP="001752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56F0" w:rsidP="001F56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6F0" w:rsidP="001752F0">
    <w:pPr>
      <w:pStyle w:val="Header"/>
      <w:framePr w:wrap="around"/>
    </w:pPr>
    <w:r>
      <w:fldChar w:fldCharType="begin"/>
    </w:r>
    <w:r>
      <w:instrText xml:space="preserve"> TITLE   \* MERGEFORMAT </w:instrText>
    </w:r>
    <w:r>
      <w:fldChar w:fldCharType="separate"/>
    </w:r>
    <w:r>
      <w:t>MEM30018A Undertake basic process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56F0" w:rsidP="001752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01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422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EF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2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52F0"/>
    <w:pPr>
      <w:spacing w:before="360" w:after="60"/>
      <w:outlineLvl w:val="0"/>
    </w:pPr>
    <w:rPr>
      <w:sz w:val="32"/>
    </w:rPr>
  </w:style>
  <w:style w:type="paragraph" w:styleId="Heading2">
    <w:name w:val="heading 2"/>
    <w:basedOn w:val="HeadingBase"/>
    <w:next w:val="BodyText"/>
    <w:link w:val="Heading2Char"/>
    <w:qFormat/>
    <w:rsid w:val="001752F0"/>
    <w:pPr>
      <w:keepLines/>
      <w:spacing w:before="240" w:after="120"/>
      <w:outlineLvl w:val="1"/>
    </w:pPr>
    <w:rPr>
      <w:sz w:val="28"/>
      <w:szCs w:val="40"/>
    </w:rPr>
  </w:style>
  <w:style w:type="paragraph" w:styleId="Heading3">
    <w:name w:val="heading 3"/>
    <w:basedOn w:val="HeadingBase"/>
    <w:next w:val="BodyText"/>
    <w:link w:val="Heading3Char"/>
    <w:qFormat/>
    <w:rsid w:val="001752F0"/>
    <w:pPr>
      <w:spacing w:before="180" w:after="120"/>
      <w:outlineLvl w:val="2"/>
    </w:pPr>
    <w:rPr>
      <w:spacing w:val="-10"/>
      <w:kern w:val="32"/>
    </w:rPr>
  </w:style>
  <w:style w:type="paragraph" w:styleId="Heading4">
    <w:name w:val="heading 4"/>
    <w:basedOn w:val="HeadingBase"/>
    <w:next w:val="BodyText"/>
    <w:link w:val="Heading4Char"/>
    <w:qFormat/>
    <w:rsid w:val="001752F0"/>
    <w:pPr>
      <w:spacing w:before="160" w:after="120"/>
      <w:outlineLvl w:val="3"/>
    </w:pPr>
    <w:rPr>
      <w:sz w:val="22"/>
    </w:rPr>
  </w:style>
  <w:style w:type="paragraph" w:styleId="Heading5">
    <w:name w:val="heading 5"/>
    <w:basedOn w:val="HeadingBase"/>
    <w:next w:val="Normal"/>
    <w:link w:val="Heading5Char"/>
    <w:qFormat/>
    <w:rsid w:val="001752F0"/>
    <w:pPr>
      <w:spacing w:before="80"/>
      <w:outlineLvl w:val="4"/>
    </w:pPr>
    <w:rPr>
      <w:color w:val="918585"/>
      <w:sz w:val="20"/>
    </w:rPr>
  </w:style>
  <w:style w:type="paragraph" w:styleId="Heading6">
    <w:name w:val="heading 6"/>
    <w:basedOn w:val="HeadingBase"/>
    <w:next w:val="Normal"/>
    <w:link w:val="Heading6Char"/>
    <w:qFormat/>
    <w:rsid w:val="001752F0"/>
    <w:pPr>
      <w:spacing w:before="60"/>
      <w:outlineLvl w:val="5"/>
    </w:pPr>
    <w:rPr>
      <w:color w:val="918585"/>
      <w:sz w:val="20"/>
    </w:rPr>
  </w:style>
  <w:style w:type="paragraph" w:styleId="Heading7">
    <w:name w:val="heading 7"/>
    <w:basedOn w:val="Normal"/>
    <w:next w:val="Normal"/>
    <w:link w:val="Heading7Char"/>
    <w:qFormat/>
    <w:rsid w:val="001752F0"/>
    <w:pPr>
      <w:ind w:left="720"/>
      <w:outlineLvl w:val="6"/>
    </w:pPr>
    <w:rPr>
      <w:i/>
    </w:rPr>
  </w:style>
  <w:style w:type="paragraph" w:styleId="Heading8">
    <w:name w:val="heading 8"/>
    <w:basedOn w:val="Normal"/>
    <w:next w:val="Normal"/>
    <w:link w:val="Heading8Char"/>
    <w:qFormat/>
    <w:rsid w:val="001752F0"/>
    <w:pPr>
      <w:ind w:left="720"/>
      <w:outlineLvl w:val="7"/>
    </w:pPr>
    <w:rPr>
      <w:i/>
    </w:rPr>
  </w:style>
  <w:style w:type="paragraph" w:styleId="Heading9">
    <w:name w:val="heading 9"/>
    <w:basedOn w:val="Normal"/>
    <w:next w:val="Normal"/>
    <w:link w:val="Heading9Char"/>
    <w:qFormat/>
    <w:rsid w:val="001752F0"/>
    <w:pPr>
      <w:ind w:left="720"/>
      <w:outlineLvl w:val="8"/>
    </w:pPr>
    <w:rPr>
      <w:i/>
    </w:rPr>
  </w:style>
  <w:style w:type="character" w:default="1" w:styleId="DefaultParagraphFont">
    <w:name w:val="Default Paragraph Font"/>
    <w:uiPriority w:val="1"/>
    <w:unhideWhenUsed/>
    <w:rsid w:val="00175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2F0"/>
  </w:style>
  <w:style w:type="character" w:customStyle="1" w:styleId="Heading1Char">
    <w:name w:val="Heading 1 Char"/>
    <w:basedOn w:val="DefaultParagraphFont"/>
    <w:link w:val="Heading1"/>
    <w:rsid w:val="001752F0"/>
    <w:rPr>
      <w:rFonts w:ascii="Times New Roman" w:eastAsia="Times New Roman" w:hAnsi="Times New Roman" w:cs="Times New Roman"/>
      <w:b/>
      <w:sz w:val="32"/>
      <w:szCs w:val="20"/>
      <w:lang w:eastAsia="en-US"/>
    </w:rPr>
  </w:style>
  <w:style w:type="paragraph" w:styleId="BodyText">
    <w:name w:val="Body Text"/>
    <w:basedOn w:val="Normal"/>
    <w:link w:val="BodyTextChar"/>
    <w:rsid w:val="001752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52F0"/>
    <w:rPr>
      <w:rFonts w:ascii="Times New Roman" w:eastAsia="Times New Roman" w:hAnsi="Times New Roman" w:cs="Times New Roman"/>
      <w:sz w:val="24"/>
      <w:lang w:val="en-US" w:eastAsia="en-US"/>
    </w:rPr>
  </w:style>
  <w:style w:type="paragraph" w:styleId="Footer">
    <w:name w:val="footer"/>
    <w:basedOn w:val="Normal"/>
    <w:link w:val="FooterChar"/>
    <w:rsid w:val="00175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2F0"/>
    <w:rPr>
      <w:rFonts w:ascii="Times New Roman" w:eastAsia="Times New Roman" w:hAnsi="Times New Roman" w:cs="Times New Roman"/>
      <w:sz w:val="16"/>
      <w:lang w:val="en-US" w:eastAsia="en-US"/>
    </w:rPr>
  </w:style>
  <w:style w:type="paragraph" w:styleId="List">
    <w:name w:val="List"/>
    <w:basedOn w:val="BodyText"/>
    <w:next w:val="BodyText"/>
    <w:rsid w:val="001752F0"/>
    <w:pPr>
      <w:tabs>
        <w:tab w:val="left" w:pos="340"/>
      </w:tabs>
      <w:spacing w:before="60" w:after="60"/>
      <w:ind w:left="340" w:hanging="340"/>
    </w:pPr>
  </w:style>
  <w:style w:type="paragraph" w:styleId="ListBullet">
    <w:name w:val="List Bullet"/>
    <w:basedOn w:val="List"/>
    <w:rsid w:val="001752F0"/>
    <w:pPr>
      <w:numPr>
        <w:numId w:val="13"/>
      </w:numPr>
      <w:tabs>
        <w:tab w:val="clear" w:pos="340"/>
      </w:tabs>
      <w:spacing w:before="40" w:after="40"/>
    </w:pPr>
  </w:style>
  <w:style w:type="character" w:customStyle="1" w:styleId="SpecialBold">
    <w:name w:val="Special Bold"/>
    <w:basedOn w:val="DefaultParagraphFont"/>
    <w:rsid w:val="001752F0"/>
    <w:rPr>
      <w:b/>
      <w:spacing w:val="0"/>
    </w:rPr>
  </w:style>
  <w:style w:type="paragraph" w:styleId="ListBullet2">
    <w:name w:val="List Bullet 2"/>
    <w:basedOn w:val="List2"/>
    <w:rsid w:val="001752F0"/>
    <w:pPr>
      <w:numPr>
        <w:numId w:val="14"/>
      </w:numPr>
      <w:tabs>
        <w:tab w:val="clear" w:pos="680"/>
      </w:tabs>
    </w:pPr>
  </w:style>
  <w:style w:type="paragraph" w:styleId="Header">
    <w:name w:val="header"/>
    <w:basedOn w:val="Normal"/>
    <w:link w:val="HeaderChar"/>
    <w:rsid w:val="00175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2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52F0"/>
    <w:pPr>
      <w:spacing w:before="240" w:after="120"/>
      <w:outlineLvl w:val="0"/>
    </w:pPr>
    <w:rPr>
      <w:rFonts w:ascii="Times New Roman" w:hAnsi="Times New Roman"/>
      <w:b/>
      <w:sz w:val="28"/>
    </w:rPr>
  </w:style>
  <w:style w:type="paragraph" w:customStyle="1" w:styleId="AllowPageBreak">
    <w:name w:val="AllowPageBreak"/>
    <w:rsid w:val="001752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52F0"/>
    <w:pPr>
      <w:tabs>
        <w:tab w:val="left" w:pos="680"/>
      </w:tabs>
      <w:spacing w:before="60" w:after="60"/>
      <w:ind w:left="680" w:hanging="340"/>
    </w:pPr>
  </w:style>
  <w:style w:type="character" w:customStyle="1" w:styleId="Heading2Char">
    <w:name w:val="Heading 2 Char"/>
    <w:basedOn w:val="DefaultParagraphFont"/>
    <w:link w:val="Heading2"/>
    <w:rsid w:val="00175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2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52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52F0"/>
    <w:rPr>
      <w:rFonts w:ascii="Courier New" w:eastAsia="Times New Roman" w:hAnsi="Courier New" w:cs="Times New Roman"/>
      <w:i/>
      <w:szCs w:val="20"/>
      <w:lang w:val="en-US" w:eastAsia="en-US"/>
    </w:rPr>
  </w:style>
  <w:style w:type="paragraph" w:customStyle="1" w:styleId="HeadingBase">
    <w:name w:val="Heading Base"/>
    <w:rsid w:val="00175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2F0"/>
    <w:pPr>
      <w:tabs>
        <w:tab w:val="right" w:leader="dot" w:pos="9072"/>
      </w:tabs>
      <w:ind w:left="567"/>
    </w:pPr>
    <w:rPr>
      <w:szCs w:val="22"/>
    </w:rPr>
  </w:style>
  <w:style w:type="paragraph" w:customStyle="1" w:styleId="TOCBase">
    <w:name w:val="TOC Base"/>
    <w:rsid w:val="00175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2F0"/>
    <w:pPr>
      <w:tabs>
        <w:tab w:val="right" w:leader="dot" w:pos="9072"/>
      </w:tabs>
      <w:spacing w:before="40" w:after="40"/>
      <w:ind w:left="284"/>
    </w:pPr>
    <w:rPr>
      <w:rFonts w:ascii="Times New Roman" w:hAnsi="Times New Roman"/>
    </w:rPr>
  </w:style>
  <w:style w:type="paragraph" w:styleId="TOC1">
    <w:name w:val="toc 1"/>
    <w:basedOn w:val="TOCBase"/>
    <w:next w:val="Normal"/>
    <w:rsid w:val="001752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52F0"/>
    <w:pPr>
      <w:spacing w:before="5040"/>
      <w:jc w:val="center"/>
    </w:pPr>
    <w:rPr>
      <w:sz w:val="48"/>
      <w:szCs w:val="72"/>
      <w:lang w:val="en-US"/>
    </w:rPr>
  </w:style>
  <w:style w:type="character" w:customStyle="1" w:styleId="TitleChar">
    <w:name w:val="Title Char"/>
    <w:basedOn w:val="DefaultParagraphFont"/>
    <w:link w:val="Title"/>
    <w:rsid w:val="00175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2F0"/>
    <w:pPr>
      <w:tabs>
        <w:tab w:val="left" w:pos="3600"/>
        <w:tab w:val="left" w:pos="3958"/>
      </w:tabs>
    </w:pPr>
  </w:style>
  <w:style w:type="paragraph" w:customStyle="1" w:styleId="Note">
    <w:name w:val="Note"/>
    <w:basedOn w:val="BodyText"/>
    <w:rsid w:val="001752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2F0"/>
    <w:pPr>
      <w:framePr w:wrap="auto" w:hAnchor="text" w:y="6049"/>
    </w:pPr>
    <w:rPr>
      <w:color w:val="000000"/>
      <w:sz w:val="40"/>
    </w:rPr>
  </w:style>
  <w:style w:type="paragraph" w:customStyle="1" w:styleId="TOCTitle">
    <w:name w:val="TOCTitle"/>
    <w:basedOn w:val="Heading1"/>
    <w:rsid w:val="001752F0"/>
    <w:pPr>
      <w:spacing w:after="240"/>
      <w:jc w:val="center"/>
      <w:outlineLvl w:val="9"/>
    </w:pPr>
    <w:rPr>
      <w:caps/>
    </w:rPr>
  </w:style>
  <w:style w:type="paragraph" w:customStyle="1" w:styleId="Version">
    <w:name w:val="Version"/>
    <w:rsid w:val="00175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2F0"/>
    <w:pPr>
      <w:keepNext w:val="0"/>
      <w:tabs>
        <w:tab w:val="right" w:pos="4176"/>
      </w:tabs>
      <w:ind w:left="198" w:hanging="198"/>
    </w:pPr>
    <w:rPr>
      <w:rFonts w:ascii="Garamond" w:hAnsi="Garamond"/>
    </w:rPr>
  </w:style>
  <w:style w:type="paragraph" w:styleId="IndexHeading">
    <w:name w:val="index heading"/>
    <w:basedOn w:val="Normal"/>
    <w:next w:val="Index1"/>
    <w:semiHidden/>
    <w:rsid w:val="001752F0"/>
    <w:pPr>
      <w:spacing w:before="120" w:after="120"/>
    </w:pPr>
    <w:rPr>
      <w:rFonts w:ascii="Arial" w:hAnsi="Arial"/>
      <w:b/>
      <w:color w:val="918585"/>
      <w:sz w:val="24"/>
    </w:rPr>
  </w:style>
  <w:style w:type="paragraph" w:customStyle="1" w:styleId="Chapter">
    <w:name w:val="Chapter"/>
    <w:basedOn w:val="Normal"/>
    <w:rsid w:val="001752F0"/>
    <w:pPr>
      <w:spacing w:before="240"/>
    </w:pPr>
    <w:rPr>
      <w:rFonts w:ascii="Times New Roman" w:hAnsi="Times New Roman"/>
      <w:smallCaps/>
      <w:spacing w:val="80"/>
      <w:sz w:val="28"/>
    </w:rPr>
  </w:style>
  <w:style w:type="paragraph" w:customStyle="1" w:styleId="InChapter">
    <w:name w:val="InChapter"/>
    <w:basedOn w:val="Heading3"/>
    <w:rsid w:val="001752F0"/>
    <w:pPr>
      <w:spacing w:after="240"/>
      <w:outlineLvl w:val="9"/>
    </w:pPr>
    <w:rPr>
      <w:noProof/>
    </w:rPr>
  </w:style>
  <w:style w:type="paragraph" w:styleId="Index2">
    <w:name w:val="index 2"/>
    <w:basedOn w:val="Normal"/>
    <w:next w:val="Normal"/>
    <w:semiHidden/>
    <w:rsid w:val="001752F0"/>
    <w:pPr>
      <w:tabs>
        <w:tab w:val="right" w:pos="4176"/>
      </w:tabs>
      <w:ind w:left="568" w:hanging="284"/>
    </w:pPr>
    <w:rPr>
      <w:rFonts w:ascii="Garamond" w:hAnsi="Garamond"/>
    </w:rPr>
  </w:style>
  <w:style w:type="paragraph" w:customStyle="1" w:styleId="Byline">
    <w:name w:val="Byline"/>
    <w:rsid w:val="00175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2F0"/>
    <w:pPr>
      <w:tabs>
        <w:tab w:val="clear" w:pos="3600"/>
        <w:tab w:val="clear" w:pos="3958"/>
      </w:tabs>
      <w:jc w:val="right"/>
    </w:pPr>
  </w:style>
  <w:style w:type="character" w:styleId="Emphasis">
    <w:name w:val="Emphasis"/>
    <w:basedOn w:val="DefaultParagraphFont"/>
    <w:qFormat/>
    <w:rsid w:val="001752F0"/>
    <w:rPr>
      <w:i/>
    </w:rPr>
  </w:style>
  <w:style w:type="paragraph" w:styleId="Caption">
    <w:name w:val="caption"/>
    <w:basedOn w:val="BodyText"/>
    <w:next w:val="Normal"/>
    <w:qFormat/>
    <w:rsid w:val="001752F0"/>
    <w:pPr>
      <w:framePr w:w="2268" w:hSpace="181" w:vSpace="181" w:wrap="around" w:vAnchor="text" w:hAnchor="page" w:x="1135" w:y="285" w:anchorLock="1"/>
    </w:pPr>
    <w:rPr>
      <w:i/>
    </w:rPr>
  </w:style>
  <w:style w:type="paragraph" w:customStyle="1" w:styleId="MiniTOCTitle">
    <w:name w:val="MiniTOCTitle"/>
    <w:basedOn w:val="Heading4"/>
    <w:rsid w:val="001752F0"/>
    <w:pPr>
      <w:spacing w:before="240"/>
      <w:outlineLvl w:val="9"/>
    </w:pPr>
    <w:rPr>
      <w:noProof/>
      <w:sz w:val="24"/>
    </w:rPr>
  </w:style>
  <w:style w:type="paragraph" w:customStyle="1" w:styleId="MiniTOCItem">
    <w:name w:val="MiniTOCItem"/>
    <w:basedOn w:val="ListBullet"/>
    <w:rsid w:val="001752F0"/>
    <w:pPr>
      <w:numPr>
        <w:numId w:val="0"/>
      </w:numPr>
      <w:tabs>
        <w:tab w:val="right" w:leader="dot" w:pos="6521"/>
      </w:tabs>
      <w:spacing w:before="0" w:after="0"/>
    </w:pPr>
  </w:style>
  <w:style w:type="paragraph" w:customStyle="1" w:styleId="TOFTitle">
    <w:name w:val="TOFTitle"/>
    <w:basedOn w:val="TOCTitle"/>
    <w:rsid w:val="001752F0"/>
  </w:style>
  <w:style w:type="paragraph" w:styleId="TableofFigures">
    <w:name w:val="table of figures"/>
    <w:basedOn w:val="Normal"/>
    <w:next w:val="Normal"/>
    <w:semiHidden/>
    <w:rsid w:val="001752F0"/>
    <w:pPr>
      <w:tabs>
        <w:tab w:val="right" w:leader="dot" w:pos="9072"/>
      </w:tabs>
      <w:ind w:left="970" w:hanging="403"/>
    </w:pPr>
    <w:rPr>
      <w:rFonts w:ascii="Times New Roman" w:hAnsi="Times New Roman"/>
      <w:b/>
    </w:rPr>
  </w:style>
  <w:style w:type="paragraph" w:styleId="ListNumber">
    <w:name w:val="List Number"/>
    <w:basedOn w:val="List"/>
    <w:rsid w:val="001752F0"/>
    <w:pPr>
      <w:numPr>
        <w:numId w:val="11"/>
      </w:numPr>
    </w:pPr>
  </w:style>
  <w:style w:type="character" w:customStyle="1" w:styleId="WingdingSymbols">
    <w:name w:val="Wingding Symbols"/>
    <w:rsid w:val="001752F0"/>
    <w:rPr>
      <w:rFonts w:ascii="Wingdings" w:hAnsi="Wingdings"/>
    </w:rPr>
  </w:style>
  <w:style w:type="paragraph" w:customStyle="1" w:styleId="TableHeading">
    <w:name w:val="Table Heading"/>
    <w:basedOn w:val="HeadingBase"/>
    <w:rsid w:val="001752F0"/>
    <w:pPr>
      <w:keepLines/>
      <w:pBdr>
        <w:bottom w:val="single" w:sz="6" w:space="1" w:color="918585"/>
      </w:pBdr>
      <w:spacing w:before="240"/>
    </w:pPr>
  </w:style>
  <w:style w:type="character" w:customStyle="1" w:styleId="HotSpot">
    <w:name w:val="HotSpot"/>
    <w:rsid w:val="001752F0"/>
    <w:rPr>
      <w:color w:val="0033CC"/>
      <w:u w:val="none"/>
    </w:rPr>
  </w:style>
  <w:style w:type="paragraph" w:customStyle="1" w:styleId="BodyTextRight">
    <w:name w:val="Body Text Right"/>
    <w:basedOn w:val="BodyText"/>
    <w:rsid w:val="001752F0"/>
    <w:pPr>
      <w:spacing w:before="0" w:after="0"/>
      <w:jc w:val="right"/>
    </w:pPr>
  </w:style>
  <w:style w:type="paragraph" w:styleId="Index3">
    <w:name w:val="index 3"/>
    <w:basedOn w:val="ListNumber2"/>
    <w:next w:val="Normal"/>
    <w:semiHidden/>
    <w:rsid w:val="001752F0"/>
    <w:pPr>
      <w:numPr>
        <w:numId w:val="0"/>
      </w:numPr>
      <w:tabs>
        <w:tab w:val="right" w:leader="dot" w:pos="4176"/>
      </w:tabs>
    </w:pPr>
  </w:style>
  <w:style w:type="paragraph" w:styleId="ListNumber2">
    <w:name w:val="List Number 2"/>
    <w:basedOn w:val="List2"/>
    <w:rsid w:val="001752F0"/>
    <w:pPr>
      <w:numPr>
        <w:numId w:val="10"/>
      </w:numPr>
      <w:tabs>
        <w:tab w:val="clear" w:pos="1060"/>
      </w:tabs>
    </w:pPr>
  </w:style>
  <w:style w:type="paragraph" w:customStyle="1" w:styleId="MarginNote">
    <w:name w:val="Margin Note"/>
    <w:basedOn w:val="BodyText"/>
    <w:rsid w:val="00175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2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52F0"/>
    <w:rPr>
      <w:sz w:val="32"/>
    </w:rPr>
  </w:style>
  <w:style w:type="paragraph" w:customStyle="1" w:styleId="HeadingProcedure">
    <w:name w:val="Heading Procedure"/>
    <w:basedOn w:val="HeadingBase"/>
    <w:next w:val="Normal"/>
    <w:rsid w:val="001752F0"/>
    <w:pPr>
      <w:tabs>
        <w:tab w:val="left" w:pos="0"/>
      </w:tabs>
      <w:spacing w:before="120" w:after="60"/>
    </w:pPr>
    <w:rPr>
      <w:i/>
      <w:color w:val="918585"/>
      <w:sz w:val="22"/>
    </w:rPr>
  </w:style>
  <w:style w:type="paragraph" w:customStyle="1" w:styleId="TableBodyText">
    <w:name w:val="Table Body Text"/>
    <w:basedOn w:val="BodyText"/>
    <w:rsid w:val="001752F0"/>
    <w:pPr>
      <w:spacing w:before="60" w:after="60"/>
    </w:pPr>
  </w:style>
  <w:style w:type="paragraph" w:styleId="ListContinue">
    <w:name w:val="List Continue"/>
    <w:basedOn w:val="List"/>
    <w:rsid w:val="001752F0"/>
    <w:pPr>
      <w:ind w:firstLine="0"/>
    </w:pPr>
  </w:style>
  <w:style w:type="paragraph" w:customStyle="1" w:styleId="ListNote">
    <w:name w:val="List Note"/>
    <w:basedOn w:val="List"/>
    <w:rsid w:val="001752F0"/>
    <w:pPr>
      <w:pBdr>
        <w:top w:val="single" w:sz="6" w:space="2" w:color="918585"/>
        <w:bottom w:val="single" w:sz="6" w:space="2" w:color="918585"/>
      </w:pBdr>
      <w:tabs>
        <w:tab w:val="left" w:pos="1021"/>
      </w:tabs>
      <w:ind w:firstLine="0"/>
    </w:pPr>
  </w:style>
  <w:style w:type="paragraph" w:customStyle="1" w:styleId="Warning">
    <w:name w:val="Warning"/>
    <w:basedOn w:val="BodyText"/>
    <w:rsid w:val="001752F0"/>
    <w:pPr>
      <w:shd w:val="clear" w:color="auto" w:fill="D9D9D9"/>
      <w:tabs>
        <w:tab w:val="left" w:pos="992"/>
      </w:tabs>
      <w:ind w:left="119" w:right="119"/>
    </w:pPr>
    <w:rPr>
      <w:sz w:val="20"/>
    </w:rPr>
  </w:style>
  <w:style w:type="paragraph" w:customStyle="1" w:styleId="MarginIcons">
    <w:name w:val="Margin Icons"/>
    <w:basedOn w:val="BodyText"/>
    <w:rsid w:val="00175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2F0"/>
    <w:rPr>
      <w:rFonts w:ascii="Courier New" w:hAnsi="Courier New"/>
    </w:rPr>
  </w:style>
  <w:style w:type="paragraph" w:customStyle="1" w:styleId="NoteBullet">
    <w:name w:val="Note Bullet"/>
    <w:basedOn w:val="Note"/>
    <w:rsid w:val="001752F0"/>
    <w:pPr>
      <w:tabs>
        <w:tab w:val="clear" w:pos="680"/>
      </w:tabs>
      <w:spacing w:before="60" w:after="60"/>
    </w:pPr>
  </w:style>
  <w:style w:type="paragraph" w:customStyle="1" w:styleId="SubHeading2">
    <w:name w:val="SubHeading2"/>
    <w:basedOn w:val="HeadingBase"/>
    <w:rsid w:val="001752F0"/>
    <w:pPr>
      <w:spacing w:before="240" w:after="60"/>
    </w:pPr>
    <w:rPr>
      <w:sz w:val="20"/>
    </w:rPr>
  </w:style>
  <w:style w:type="paragraph" w:customStyle="1" w:styleId="SubHeading1">
    <w:name w:val="SubHeading1"/>
    <w:basedOn w:val="HeadingBase"/>
    <w:rsid w:val="001752F0"/>
    <w:pPr>
      <w:spacing w:before="240" w:after="60"/>
    </w:pPr>
    <w:rPr>
      <w:color w:val="918585"/>
      <w:sz w:val="22"/>
    </w:rPr>
  </w:style>
  <w:style w:type="paragraph" w:customStyle="1" w:styleId="SideHeading">
    <w:name w:val="Side Heading"/>
    <w:basedOn w:val="HeadingBase"/>
    <w:rsid w:val="00175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2F0"/>
    <w:pPr>
      <w:numPr>
        <w:numId w:val="12"/>
      </w:numPr>
    </w:pPr>
  </w:style>
  <w:style w:type="paragraph" w:styleId="PlainText">
    <w:name w:val="Plain Text"/>
    <w:basedOn w:val="Normal"/>
    <w:link w:val="PlainTextChar"/>
    <w:rsid w:val="001752F0"/>
    <w:rPr>
      <w:sz w:val="20"/>
    </w:rPr>
  </w:style>
  <w:style w:type="character" w:customStyle="1" w:styleId="PlainTextChar">
    <w:name w:val="Plain Text Char"/>
    <w:basedOn w:val="DefaultParagraphFont"/>
    <w:link w:val="PlainText"/>
    <w:rsid w:val="001752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52F0"/>
    <w:rPr>
      <w:b/>
      <w:smallCaps/>
    </w:rPr>
  </w:style>
  <w:style w:type="paragraph" w:customStyle="1" w:styleId="TableListNumber">
    <w:name w:val="Table List Number"/>
    <w:basedOn w:val="ListNumber"/>
    <w:rsid w:val="001752F0"/>
    <w:pPr>
      <w:numPr>
        <w:numId w:val="0"/>
      </w:numPr>
    </w:pPr>
  </w:style>
  <w:style w:type="paragraph" w:styleId="TOC4">
    <w:name w:val="toc 4"/>
    <w:basedOn w:val="TOCBase"/>
    <w:next w:val="Normal"/>
    <w:semiHidden/>
    <w:rsid w:val="001752F0"/>
    <w:pPr>
      <w:tabs>
        <w:tab w:val="right" w:leader="dot" w:pos="9071"/>
      </w:tabs>
      <w:ind w:left="1701"/>
    </w:pPr>
  </w:style>
  <w:style w:type="paragraph" w:customStyle="1" w:styleId="ListAlpha">
    <w:name w:val="List Alpha"/>
    <w:basedOn w:val="List"/>
    <w:rsid w:val="001752F0"/>
    <w:pPr>
      <w:numPr>
        <w:numId w:val="9"/>
      </w:numPr>
    </w:pPr>
  </w:style>
  <w:style w:type="paragraph" w:customStyle="1" w:styleId="ListAlpha2">
    <w:name w:val="List Alpha 2"/>
    <w:basedOn w:val="List2"/>
    <w:rsid w:val="001752F0"/>
    <w:pPr>
      <w:numPr>
        <w:numId w:val="8"/>
      </w:numPr>
    </w:pPr>
  </w:style>
  <w:style w:type="paragraph" w:styleId="List3">
    <w:name w:val="List 3"/>
    <w:basedOn w:val="BodyText"/>
    <w:rsid w:val="001752F0"/>
    <w:pPr>
      <w:tabs>
        <w:tab w:val="left" w:pos="1021"/>
      </w:tabs>
      <w:spacing w:before="60" w:after="60"/>
      <w:ind w:left="1020" w:hanging="340"/>
    </w:pPr>
  </w:style>
  <w:style w:type="paragraph" w:styleId="List4">
    <w:name w:val="List 4"/>
    <w:basedOn w:val="BodyText"/>
    <w:rsid w:val="001752F0"/>
    <w:pPr>
      <w:tabs>
        <w:tab w:val="left" w:pos="1361"/>
      </w:tabs>
      <w:spacing w:before="60" w:after="60"/>
      <w:ind w:left="1361" w:hanging="340"/>
    </w:pPr>
  </w:style>
  <w:style w:type="paragraph" w:styleId="List5">
    <w:name w:val="List 5"/>
    <w:basedOn w:val="BodyText"/>
    <w:rsid w:val="001752F0"/>
    <w:pPr>
      <w:tabs>
        <w:tab w:val="left" w:pos="1701"/>
      </w:tabs>
      <w:spacing w:before="60" w:after="60"/>
      <w:ind w:left="1701" w:hanging="340"/>
    </w:pPr>
  </w:style>
  <w:style w:type="paragraph" w:styleId="ListBullet3">
    <w:name w:val="List Bullet 3"/>
    <w:basedOn w:val="List3"/>
    <w:rsid w:val="001752F0"/>
    <w:pPr>
      <w:numPr>
        <w:numId w:val="15"/>
      </w:numPr>
      <w:tabs>
        <w:tab w:val="clear" w:pos="1021"/>
      </w:tabs>
      <w:ind w:left="1037" w:hanging="357"/>
    </w:pPr>
  </w:style>
  <w:style w:type="paragraph" w:styleId="ListBullet4">
    <w:name w:val="List Bullet 4"/>
    <w:basedOn w:val="List4"/>
    <w:rsid w:val="001752F0"/>
    <w:pPr>
      <w:numPr>
        <w:numId w:val="3"/>
      </w:numPr>
    </w:pPr>
  </w:style>
  <w:style w:type="paragraph" w:styleId="ListBullet5">
    <w:name w:val="List Bullet 5"/>
    <w:basedOn w:val="List5"/>
    <w:rsid w:val="001752F0"/>
    <w:pPr>
      <w:numPr>
        <w:numId w:val="4"/>
      </w:numPr>
    </w:pPr>
  </w:style>
  <w:style w:type="paragraph" w:styleId="ListContinue2">
    <w:name w:val="List Continue 2"/>
    <w:basedOn w:val="List2"/>
    <w:rsid w:val="001752F0"/>
    <w:pPr>
      <w:ind w:firstLine="0"/>
    </w:pPr>
  </w:style>
  <w:style w:type="paragraph" w:styleId="ListContinue3">
    <w:name w:val="List Continue 3"/>
    <w:basedOn w:val="List3"/>
    <w:rsid w:val="001752F0"/>
    <w:pPr>
      <w:ind w:left="1021" w:firstLine="0"/>
    </w:pPr>
  </w:style>
  <w:style w:type="paragraph" w:styleId="ListContinue4">
    <w:name w:val="List Continue 4"/>
    <w:basedOn w:val="List4"/>
    <w:rsid w:val="001752F0"/>
    <w:pPr>
      <w:ind w:firstLine="0"/>
    </w:pPr>
  </w:style>
  <w:style w:type="paragraph" w:styleId="ListContinue5">
    <w:name w:val="List Continue 5"/>
    <w:basedOn w:val="List5"/>
    <w:rsid w:val="001752F0"/>
    <w:pPr>
      <w:ind w:firstLine="0"/>
    </w:pPr>
  </w:style>
  <w:style w:type="paragraph" w:styleId="ListNumber3">
    <w:name w:val="List Number 3"/>
    <w:basedOn w:val="List3"/>
    <w:rsid w:val="001752F0"/>
    <w:pPr>
      <w:numPr>
        <w:numId w:val="5"/>
      </w:numPr>
    </w:pPr>
  </w:style>
  <w:style w:type="paragraph" w:styleId="ListNumber4">
    <w:name w:val="List Number 4"/>
    <w:basedOn w:val="List4"/>
    <w:rsid w:val="001752F0"/>
    <w:pPr>
      <w:numPr>
        <w:numId w:val="6"/>
      </w:numPr>
    </w:pPr>
  </w:style>
  <w:style w:type="paragraph" w:styleId="ListNumber5">
    <w:name w:val="List Number 5"/>
    <w:basedOn w:val="List5"/>
    <w:rsid w:val="001752F0"/>
    <w:pPr>
      <w:numPr>
        <w:numId w:val="7"/>
      </w:numPr>
    </w:pPr>
  </w:style>
  <w:style w:type="paragraph" w:styleId="BlockText">
    <w:name w:val="Block Text"/>
    <w:basedOn w:val="Normal"/>
    <w:rsid w:val="001752F0"/>
    <w:pPr>
      <w:spacing w:after="120"/>
      <w:ind w:left="1440" w:right="1440"/>
    </w:pPr>
  </w:style>
  <w:style w:type="character" w:customStyle="1" w:styleId="Subscript">
    <w:name w:val="Subscript"/>
    <w:basedOn w:val="DefaultParagraphFont"/>
    <w:rsid w:val="001752F0"/>
    <w:rPr>
      <w:sz w:val="16"/>
      <w:vertAlign w:val="subscript"/>
    </w:rPr>
  </w:style>
  <w:style w:type="character" w:customStyle="1" w:styleId="Superscript">
    <w:name w:val="Superscript"/>
    <w:basedOn w:val="DefaultParagraphFont"/>
    <w:rsid w:val="001752F0"/>
    <w:rPr>
      <w:sz w:val="16"/>
      <w:vertAlign w:val="superscript"/>
    </w:rPr>
  </w:style>
  <w:style w:type="character" w:customStyle="1" w:styleId="Symbols">
    <w:name w:val="Symbols"/>
    <w:basedOn w:val="DefaultParagraphFont"/>
    <w:rsid w:val="001752F0"/>
    <w:rPr>
      <w:rFonts w:ascii="Symbol" w:hAnsi="Symbol"/>
    </w:rPr>
  </w:style>
  <w:style w:type="character" w:customStyle="1" w:styleId="MenuOptions">
    <w:name w:val="Menu Options"/>
    <w:basedOn w:val="DefaultParagraphFont"/>
    <w:rsid w:val="001752F0"/>
    <w:rPr>
      <w:rFonts w:ascii="Arial Narrow" w:hAnsi="Arial Narrow"/>
      <w:smallCaps/>
    </w:rPr>
  </w:style>
  <w:style w:type="character" w:customStyle="1" w:styleId="Buttons">
    <w:name w:val="Buttons"/>
    <w:basedOn w:val="DefaultParagraphFont"/>
    <w:rsid w:val="001752F0"/>
    <w:rPr>
      <w:b/>
    </w:rPr>
  </w:style>
  <w:style w:type="character" w:customStyle="1" w:styleId="Underlined">
    <w:name w:val="Underlined"/>
    <w:basedOn w:val="DefaultParagraphFont"/>
    <w:rsid w:val="001752F0"/>
    <w:rPr>
      <w:u w:val="single"/>
    </w:rPr>
  </w:style>
  <w:style w:type="paragraph" w:customStyle="1" w:styleId="TableBodyTextRight">
    <w:name w:val="Table Body Text Right"/>
    <w:basedOn w:val="TableBodyText"/>
    <w:rsid w:val="001752F0"/>
    <w:pPr>
      <w:widowControl w:val="0"/>
      <w:autoSpaceDE w:val="0"/>
      <w:autoSpaceDN w:val="0"/>
      <w:adjustRightInd w:val="0"/>
      <w:jc w:val="right"/>
    </w:pPr>
    <w:rPr>
      <w:rFonts w:cs="Arial"/>
      <w:szCs w:val="18"/>
    </w:rPr>
  </w:style>
  <w:style w:type="paragraph" w:customStyle="1" w:styleId="CopyrightText">
    <w:name w:val="Copyright Text"/>
    <w:basedOn w:val="BodyText"/>
    <w:rsid w:val="001752F0"/>
    <w:rPr>
      <w:sz w:val="18"/>
    </w:rPr>
  </w:style>
  <w:style w:type="paragraph" w:customStyle="1" w:styleId="BodySmallRight">
    <w:name w:val="Body Small Right"/>
    <w:basedOn w:val="BodyTextRight"/>
    <w:rsid w:val="001752F0"/>
    <w:rPr>
      <w:sz w:val="18"/>
      <w:szCs w:val="18"/>
    </w:rPr>
  </w:style>
  <w:style w:type="paragraph" w:customStyle="1" w:styleId="MarginEdition">
    <w:name w:val="Margin Edition"/>
    <w:basedOn w:val="MarginNote"/>
    <w:rsid w:val="001752F0"/>
    <w:pPr>
      <w:spacing w:before="0" w:after="0"/>
    </w:pPr>
    <w:rPr>
      <w:rFonts w:ascii="Times New Roman" w:hAnsi="Times New Roman"/>
      <w:color w:val="999999"/>
    </w:rPr>
  </w:style>
  <w:style w:type="paragraph" w:customStyle="1" w:styleId="Spacer">
    <w:name w:val="Spacer"/>
    <w:basedOn w:val="Normal"/>
    <w:rsid w:val="001752F0"/>
    <w:rPr>
      <w:sz w:val="2"/>
      <w:szCs w:val="2"/>
    </w:rPr>
  </w:style>
  <w:style w:type="character" w:customStyle="1" w:styleId="Small">
    <w:name w:val="Small"/>
    <w:basedOn w:val="DefaultParagraphFont"/>
    <w:rsid w:val="001752F0"/>
    <w:rPr>
      <w:sz w:val="16"/>
    </w:rPr>
  </w:style>
  <w:style w:type="paragraph" w:customStyle="1" w:styleId="WideTable">
    <w:name w:val="Wide Table"/>
    <w:basedOn w:val="Normal"/>
    <w:rsid w:val="001752F0"/>
    <w:pPr>
      <w:ind w:left="-1418"/>
    </w:pPr>
    <w:rPr>
      <w:sz w:val="2"/>
      <w:szCs w:val="2"/>
    </w:rPr>
  </w:style>
  <w:style w:type="character" w:styleId="PageNumber">
    <w:name w:val="page number"/>
    <w:basedOn w:val="DefaultParagraphFont"/>
    <w:rsid w:val="001752F0"/>
  </w:style>
  <w:style w:type="paragraph" w:styleId="Quote">
    <w:name w:val="Quote"/>
    <w:basedOn w:val="Heading1"/>
    <w:link w:val="QuoteChar"/>
    <w:qFormat/>
    <w:rsid w:val="001752F0"/>
    <w:rPr>
      <w:b w:val="0"/>
      <w:sz w:val="72"/>
      <w:szCs w:val="72"/>
      <w:lang w:val="en-NZ"/>
    </w:rPr>
  </w:style>
  <w:style w:type="character" w:customStyle="1" w:styleId="QuoteChar">
    <w:name w:val="Quote Char"/>
    <w:basedOn w:val="DefaultParagraphFont"/>
    <w:link w:val="Quote"/>
    <w:rsid w:val="00175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2F0"/>
    <w:pPr>
      <w:pageBreakBefore/>
    </w:pPr>
  </w:style>
  <w:style w:type="paragraph" w:customStyle="1" w:styleId="Border">
    <w:name w:val="Border"/>
    <w:basedOn w:val="Normal"/>
    <w:qFormat/>
    <w:rsid w:val="00175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2F0"/>
    <w:rPr>
      <w:b/>
      <w:bCs/>
      <w:i/>
      <w:iCs/>
      <w:color w:val="auto"/>
    </w:rPr>
  </w:style>
  <w:style w:type="paragraph" w:styleId="IntenseQuote">
    <w:name w:val="Intense Quote"/>
    <w:basedOn w:val="Normal"/>
    <w:next w:val="Normal"/>
    <w:link w:val="IntenseQuoteChar"/>
    <w:uiPriority w:val="30"/>
    <w:qFormat/>
    <w:rsid w:val="00175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2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52F0"/>
    <w:rPr>
      <w:smallCaps/>
      <w:color w:val="auto"/>
      <w:u w:val="single"/>
    </w:rPr>
  </w:style>
  <w:style w:type="character" w:styleId="IntenseReference">
    <w:name w:val="Intense Reference"/>
    <w:basedOn w:val="DefaultParagraphFont"/>
    <w:uiPriority w:val="32"/>
    <w:qFormat/>
    <w:rsid w:val="001752F0"/>
    <w:rPr>
      <w:b/>
      <w:bCs/>
      <w:smallCaps/>
      <w:color w:val="auto"/>
      <w:spacing w:val="5"/>
      <w:u w:val="single"/>
    </w:rPr>
  </w:style>
  <w:style w:type="paragraph" w:customStyle="1" w:styleId="2ColumnHeading">
    <w:name w:val="2Column Heading"/>
    <w:basedOn w:val="BodyText"/>
    <w:qFormat/>
    <w:rsid w:val="001752F0"/>
    <w:pPr>
      <w:spacing w:after="60"/>
      <w:ind w:left="-2268"/>
    </w:pPr>
    <w:rPr>
      <w:b/>
    </w:rPr>
  </w:style>
  <w:style w:type="paragraph" w:customStyle="1" w:styleId="Heading1TOC">
    <w:name w:val="Heading1 TOC"/>
    <w:basedOn w:val="Normal"/>
    <w:qFormat/>
    <w:rsid w:val="001752F0"/>
    <w:pPr>
      <w:spacing w:before="240" w:after="120"/>
    </w:pPr>
    <w:rPr>
      <w:rFonts w:ascii="Times New Roman" w:hAnsi="Times New Roman"/>
      <w:b/>
      <w:sz w:val="32"/>
    </w:rPr>
  </w:style>
  <w:style w:type="paragraph" w:customStyle="1" w:styleId="Heading2TOC">
    <w:name w:val="Heading2 TOC"/>
    <w:basedOn w:val="Normal"/>
    <w:qFormat/>
    <w:rsid w:val="001752F0"/>
    <w:pPr>
      <w:spacing w:before="240" w:after="60"/>
    </w:pPr>
    <w:rPr>
      <w:rFonts w:ascii="Times New Roman" w:hAnsi="Times New Roman"/>
      <w:b/>
      <w:sz w:val="28"/>
    </w:rPr>
  </w:style>
  <w:style w:type="character" w:customStyle="1" w:styleId="Underline">
    <w:name w:val="Underline"/>
    <w:basedOn w:val="DefaultParagraphFont"/>
    <w:qFormat/>
    <w:rsid w:val="001752F0"/>
    <w:rPr>
      <w:u w:val="single"/>
    </w:rPr>
  </w:style>
  <w:style w:type="character" w:customStyle="1" w:styleId="BoldandItalics">
    <w:name w:val="Bold and Italics"/>
    <w:qFormat/>
    <w:rsid w:val="001752F0"/>
    <w:rPr>
      <w:b/>
      <w:i/>
      <w:u w:val="none"/>
    </w:rPr>
  </w:style>
  <w:style w:type="paragraph" w:styleId="BalloonText">
    <w:name w:val="Balloon Text"/>
    <w:basedOn w:val="Normal"/>
    <w:link w:val="BalloonTextChar"/>
    <w:rsid w:val="001752F0"/>
    <w:rPr>
      <w:rFonts w:ascii="Tahoma" w:hAnsi="Tahoma" w:cs="Tahoma"/>
      <w:sz w:val="16"/>
      <w:szCs w:val="16"/>
    </w:rPr>
  </w:style>
  <w:style w:type="character" w:customStyle="1" w:styleId="BalloonTextChar">
    <w:name w:val="Balloon Text Char"/>
    <w:basedOn w:val="DefaultParagraphFont"/>
    <w:link w:val="BalloonText"/>
    <w:rsid w:val="001752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52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52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956</Words>
  <Characters>5954</Characters>
  <Application>Microsoft Office Word</Application>
  <DocSecurity>0</DocSecurity>
  <Lines>224</Lines>
  <Paragraphs>91</Paragraphs>
  <ScaleCrop>false</ScaleCrop>
  <Company>Author-it Software Corporation Ltd.</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MEM30018A Undertake basic process planning</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2012-05-27T02:15:00Z</dcterms:created>
  <dcterms:modified xsi:type="dcterms:W3CDTF">2012-05-27T02:15:00Z</dcterms:modified>
</cp:coreProperties>
</file>