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902" w:rsidP="00095902">
      <w:pPr>
        <w:pStyle w:val="Title"/>
      </w:pPr>
      <w:r>
        <w:fldChar w:fldCharType="begin"/>
      </w:r>
      <w:r>
        <w:instrText xml:space="preserve"> TITLE   \* MERGEFORMAT </w:instrText>
      </w:r>
      <w:r>
        <w:fldChar w:fldCharType="separate"/>
      </w:r>
      <w:r>
        <w:t>MEM30016A Assist in the analysis of a supply chain</w:t>
      </w:r>
      <w:r>
        <w:fldChar w:fldCharType="end"/>
      </w:r>
    </w:p>
    <w:p w:rsidR="00095902" w:rsidP="00095902">
      <w:pPr>
        <w:pStyle w:val="Version"/>
        <w:sectPr w:rsidSect="00FF46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69E" w:rsidP="00FF469E">
      <w:pPr>
        <w:pStyle w:val="SuperHeading"/>
      </w:pPr>
      <w:r w:rsidRPr="00FF469E">
        <w:t>MEM30016A Assist in the analysis of a supply chain</w:t>
      </w:r>
    </w:p>
    <w:p w:rsidR="00000000" w:rsidRPr="00FF469E" w:rsidP="00FF469E">
      <w:pPr>
        <w:pStyle w:val="Heading1"/>
      </w:pPr>
      <w:bookmarkStart w:id="1" w:name="O_272433"/>
      <w:bookmarkEnd w:id="1"/>
      <w:r w:rsidRPr="00FF469E">
        <w:t>Modification History</w:t>
      </w:r>
    </w:p>
    <w:p w:rsidR="00000000" w:rsidRPr="00FF469E" w:rsidP="00FF469E">
      <w:pPr>
        <w:pStyle w:val="BodyText"/>
      </w:pPr>
      <w:r w:rsidRPr="00FF469E">
        <w:t>Not Applicable</w:t>
      </w:r>
    </w:p>
    <w:p w:rsidR="00000000" w:rsidRPr="00FF469E" w:rsidP="00FF469E">
      <w:pPr>
        <w:pStyle w:val="AllowPageBreak"/>
      </w:pPr>
    </w:p>
    <w:p w:rsidR="00000000" w:rsidRPr="00FF469E" w:rsidP="00FF469E">
      <w:pPr>
        <w:pStyle w:val="Heading1"/>
      </w:pPr>
      <w:bookmarkStart w:id="2" w:name="O_213469"/>
      <w:bookmarkEnd w:id="2"/>
      <w:r w:rsidRPr="00FF469E">
        <w:t>Unit Descriptor</w:t>
      </w:r>
    </w:p>
    <w:tbl>
      <w:tblPr>
        <w:tblW w:w="0" w:type="auto"/>
        <w:tblLayout w:type="fixed"/>
        <w:tblCellMar>
          <w:left w:w="62" w:type="dxa"/>
          <w:right w:w="62" w:type="dxa"/>
        </w:tblCellMar>
        <w:tblLook w:val="0000"/>
      </w:tblPr>
      <w:tblGrid>
        <w:gridCol w:w="2673"/>
        <w:gridCol w:w="5849"/>
      </w:tblGrid>
      <w:tr w:rsidTr="0009590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t>This unit covers assisting in the analysis of value adding and non value adding activities within the s</w:t>
            </w:r>
            <w:r w:rsidRPr="00FF469E">
              <w:t>upply chain.</w:t>
            </w:r>
          </w:p>
        </w:tc>
      </w:tr>
    </w:tbl>
    <w:p w:rsidR="00095902" w:rsidP="00FF469E">
      <w:pPr>
        <w:pStyle w:val="BodyText"/>
      </w:pPr>
    </w:p>
    <w:p w:rsidR="00095902" w:rsidP="00FF469E">
      <w:pPr>
        <w:pStyle w:val="BodyText"/>
      </w:pPr>
    </w:p>
    <w:p w:rsidR="00000000" w:rsidRPr="00FF469E" w:rsidP="00FF469E">
      <w:pPr>
        <w:pStyle w:val="Heading1"/>
      </w:pPr>
      <w:bookmarkStart w:id="3" w:name="O_213473"/>
      <w:bookmarkEnd w:id="3"/>
      <w:r w:rsidRPr="00FF469E">
        <w:t>Application of the Unit</w:t>
      </w:r>
    </w:p>
    <w:tbl>
      <w:tblPr>
        <w:tblW w:w="0" w:type="auto"/>
        <w:tblLayout w:type="fixed"/>
        <w:tblCellMar>
          <w:left w:w="62" w:type="dxa"/>
          <w:right w:w="62" w:type="dxa"/>
        </w:tblCellMar>
        <w:tblLook w:val="0000"/>
      </w:tblPr>
      <w:tblGrid>
        <w:gridCol w:w="2745"/>
        <w:gridCol w:w="5777"/>
      </w:tblGrid>
      <w:tr w:rsidTr="0009590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t>The unit applies to all fields of engineering and manufacture. The skills defined by this unit would normally be exercised under supervision.</w:t>
            </w:r>
          </w:p>
          <w:p w:rsidR="00000000" w:rsidRPr="00FF469E" w:rsidP="00FF469E">
            <w:pPr>
              <w:pStyle w:val="BodyText"/>
            </w:pPr>
          </w:p>
          <w:p w:rsidR="00000000" w:rsidRPr="00FF469E" w:rsidP="00FF469E">
            <w:pPr>
              <w:pStyle w:val="BodyText"/>
            </w:pPr>
            <w:r w:rsidRPr="00FF469E">
              <w:rPr>
                <w:rStyle w:val="SpecialBold"/>
              </w:rPr>
              <w:t>Band</w:t>
            </w:r>
            <w:r w:rsidRPr="00FF469E">
              <w:t>:</w:t>
            </w:r>
            <w:r w:rsidRPr="00FF469E">
              <w:tab/>
            </w:r>
            <w:r w:rsidRPr="00FF469E">
              <w:rPr>
                <w:rStyle w:val="SpecialBold"/>
              </w:rPr>
              <w:t>0</w:t>
            </w:r>
          </w:p>
          <w:p w:rsidR="00000000" w:rsidRPr="00FF469E" w:rsidP="00FF469E">
            <w:pPr>
              <w:pStyle w:val="BodyText"/>
            </w:pPr>
            <w:r w:rsidRPr="00FF469E">
              <w:rPr>
                <w:rStyle w:val="SpecialBold"/>
              </w:rPr>
              <w:t>Unit Weight</w:t>
            </w:r>
            <w:r w:rsidRPr="00FF469E">
              <w:t>:</w:t>
            </w:r>
            <w:r w:rsidRPr="00FF469E">
              <w:tab/>
            </w:r>
            <w:r w:rsidRPr="00FF469E">
              <w:rPr>
                <w:rStyle w:val="SpecialBold"/>
              </w:rPr>
              <w:t>0</w:t>
            </w:r>
          </w:p>
        </w:tc>
      </w:tr>
    </w:tbl>
    <w:p w:rsidR="00095902" w:rsidP="00FF469E">
      <w:pPr>
        <w:pStyle w:val="BodyText"/>
      </w:pPr>
    </w:p>
    <w:p w:rsidR="00095902" w:rsidP="00FF469E">
      <w:pPr>
        <w:pStyle w:val="BodyText"/>
      </w:pPr>
    </w:p>
    <w:p w:rsidR="00000000" w:rsidRPr="00FF469E" w:rsidP="00FF469E">
      <w:pPr>
        <w:pStyle w:val="Heading1"/>
      </w:pPr>
      <w:bookmarkStart w:id="4" w:name="O_280693"/>
      <w:bookmarkEnd w:id="4"/>
      <w:r w:rsidRPr="00FF469E">
        <w:t>Licensing/Regulatory Information</w:t>
      </w:r>
    </w:p>
    <w:p w:rsidR="00000000" w:rsidRPr="00FF469E" w:rsidP="00FF469E">
      <w:pPr>
        <w:pStyle w:val="BodyText"/>
      </w:pPr>
      <w:r w:rsidRPr="00FF469E">
        <w:t>Not Applicable</w:t>
      </w:r>
    </w:p>
    <w:p w:rsidR="00000000" w:rsidRPr="00FF469E" w:rsidP="00FF469E">
      <w:pPr>
        <w:pStyle w:val="AllowPageBreak"/>
      </w:pPr>
    </w:p>
    <w:p w:rsidR="00000000" w:rsidRPr="00FF469E" w:rsidP="00FF469E">
      <w:pPr>
        <w:pStyle w:val="Heading1"/>
      </w:pPr>
      <w:bookmarkStart w:id="5" w:name="O_213471"/>
      <w:bookmarkEnd w:id="5"/>
      <w:r w:rsidRPr="00FF469E">
        <w:t>Pre-Requisites</w:t>
      </w:r>
    </w:p>
    <w:tbl>
      <w:tblPr>
        <w:tblW w:w="0" w:type="auto"/>
        <w:tblLayout w:type="fixed"/>
        <w:tblCellMar>
          <w:left w:w="62" w:type="dxa"/>
          <w:right w:w="62" w:type="dxa"/>
        </w:tblCellMar>
        <w:tblLook w:val="0000"/>
      </w:tblPr>
      <w:tblGrid>
        <w:gridCol w:w="2775"/>
        <w:gridCol w:w="1295"/>
        <w:gridCol w:w="4452"/>
      </w:tblGrid>
      <w:tr w:rsidTr="000959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p>
        </w:tc>
      </w:tr>
      <w:tr w:rsidTr="000959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p>
        </w:tc>
      </w:tr>
      <w:tr w:rsidTr="000959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p>
        </w:tc>
      </w:tr>
    </w:tbl>
    <w:p w:rsidR="00095902" w:rsidP="00FF469E">
      <w:pPr>
        <w:pStyle w:val="BodyText"/>
      </w:pPr>
    </w:p>
    <w:p w:rsidR="00095902" w:rsidP="00FF469E">
      <w:pPr>
        <w:pStyle w:val="BodyText"/>
      </w:pPr>
    </w:p>
    <w:p w:rsidR="00000000" w:rsidRPr="00FF469E" w:rsidP="00FF469E">
      <w:pPr>
        <w:pStyle w:val="Heading1"/>
      </w:pPr>
      <w:bookmarkStart w:id="6" w:name="O_213470"/>
      <w:bookmarkEnd w:id="6"/>
      <w:r w:rsidRPr="00FF469E">
        <w:t>Employability Skills Information</w:t>
      </w:r>
    </w:p>
    <w:tbl>
      <w:tblPr>
        <w:tblW w:w="0" w:type="auto"/>
        <w:tblLayout w:type="fixed"/>
        <w:tblCellMar>
          <w:left w:w="62" w:type="dxa"/>
          <w:right w:w="62" w:type="dxa"/>
        </w:tblCellMar>
        <w:tblLook w:val="0000"/>
      </w:tblPr>
      <w:tblGrid>
        <w:gridCol w:w="2802"/>
        <w:gridCol w:w="5720"/>
      </w:tblGrid>
      <w:tr w:rsidTr="000959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t>This unit contains employability skills.</w:t>
            </w:r>
          </w:p>
        </w:tc>
      </w:tr>
    </w:tbl>
    <w:p w:rsidR="00095902" w:rsidP="00FF469E">
      <w:pPr>
        <w:pStyle w:val="BodyText"/>
      </w:pPr>
    </w:p>
    <w:p w:rsidR="00095902" w:rsidP="00FF469E">
      <w:pPr>
        <w:pStyle w:val="BodyText"/>
      </w:pPr>
    </w:p>
    <w:p w:rsidR="00000000" w:rsidRPr="00FF469E" w:rsidP="00FF469E">
      <w:pPr>
        <w:pStyle w:val="Heading1"/>
      </w:pPr>
      <w:bookmarkStart w:id="7" w:name="O_290479"/>
      <w:bookmarkEnd w:id="7"/>
      <w:r w:rsidRPr="00FF469E">
        <w:t>Elements and Performance Criteria Pre-Content</w:t>
      </w:r>
    </w:p>
    <w:tbl>
      <w:tblPr>
        <w:tblW w:w="0" w:type="auto"/>
        <w:tblLayout w:type="fixed"/>
        <w:tblCellMar>
          <w:left w:w="62" w:type="dxa"/>
          <w:right w:w="62" w:type="dxa"/>
        </w:tblCellMar>
        <w:tblLook w:val="0000"/>
      </w:tblPr>
      <w:tblGrid>
        <w:gridCol w:w="2585"/>
        <w:gridCol w:w="5937"/>
      </w:tblGrid>
      <w:tr w:rsidTr="0009590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t>Performance criteria describe the performance needed to demonstrate achievement of the element. Where bold italicised text is used, furt</w:t>
            </w:r>
            <w:r w:rsidRPr="00FF469E">
              <w:t>her information is detailed in the required skills and knowledge section and the range statement. Assessment of performance is to be consistent with the evidence guide.</w:t>
            </w:r>
          </w:p>
        </w:tc>
      </w:tr>
    </w:tbl>
    <w:p w:rsidR="00000000" w:rsidRPr="00FF469E" w:rsidP="00FF469E">
      <w:pPr>
        <w:pStyle w:val="BodyText"/>
      </w:pPr>
    </w:p>
    <w:p w:rsidR="00000000" w:rsidRPr="00FF469E" w:rsidP="00FF469E">
      <w:pPr>
        <w:pStyle w:val="AllowPageBreak"/>
      </w:pPr>
    </w:p>
    <w:p w:rsidR="00000000" w:rsidRPr="00FF469E" w:rsidP="00FF469E">
      <w:pPr>
        <w:pStyle w:val="Heading1"/>
      </w:pPr>
      <w:bookmarkStart w:id="8" w:name="O_237146"/>
      <w:bookmarkEnd w:id="8"/>
      <w:r w:rsidRPr="00FF469E">
        <w:t>Elements and Performance Criteria</w:t>
      </w:r>
    </w:p>
    <w:tbl>
      <w:tblPr>
        <w:tblW w:w="0" w:type="auto"/>
        <w:tblLayout w:type="fixed"/>
        <w:tblCellMar>
          <w:left w:w="62" w:type="dxa"/>
          <w:right w:w="62" w:type="dxa"/>
        </w:tblCellMar>
        <w:tblLook w:val="0000"/>
      </w:tblPr>
      <w:tblGrid>
        <w:gridCol w:w="2585"/>
        <w:gridCol w:w="5937"/>
      </w:tblGrid>
      <w:tr w:rsidTr="00095902">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PERFORMANCE CRITERIA</w:t>
            </w:r>
          </w:p>
        </w:tc>
      </w:tr>
      <w:tr w:rsidTr="0009590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List"/>
              <w:rPr>
                <w:lang w:val="en-NZ"/>
              </w:rPr>
            </w:pPr>
            <w:r w:rsidRPr="00FF469E">
              <w:t>1.</w:t>
            </w:r>
            <w:r w:rsidRPr="00FF469E">
              <w:tab/>
            </w:r>
            <w:r w:rsidRPr="00FF469E">
              <w:t>Assist in mapping the supply stream for a nominated product/process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List2"/>
            </w:pPr>
            <w:r w:rsidRPr="00FF469E">
              <w:t>1.1.</w:t>
            </w:r>
            <w:r w:rsidRPr="00FF469E">
              <w:tab/>
              <w:t>All organisations in the supply stream are identified.</w:t>
            </w:r>
          </w:p>
          <w:p w:rsidR="00000000" w:rsidP="00FF469E">
            <w:pPr>
              <w:pStyle w:val="List2"/>
              <w:rPr>
                <w:lang w:val="en-NZ"/>
              </w:rPr>
            </w:pPr>
            <w:r w:rsidRPr="00FF469E">
              <w:t>1.2.</w:t>
            </w:r>
            <w:r w:rsidRPr="00FF469E">
              <w:tab/>
              <w:t>All relevant steps in own organisation are identified.</w:t>
            </w:r>
          </w:p>
        </w:tc>
      </w:tr>
      <w:tr w:rsidTr="0009590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List"/>
              <w:rPr>
                <w:lang w:val="en-NZ"/>
              </w:rPr>
            </w:pPr>
            <w:r w:rsidRPr="00FF469E">
              <w:t>2.</w:t>
            </w:r>
            <w:r w:rsidRPr="00FF469E">
              <w:tab/>
              <w:t>Assist in assessing the value added at each step</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List2"/>
            </w:pPr>
            <w:r w:rsidRPr="00FF469E">
              <w:t>2.1.</w:t>
            </w:r>
            <w:r w:rsidRPr="00FF469E">
              <w:tab/>
            </w:r>
            <w:r w:rsidRPr="00FF469E">
              <w:t>Value added and contributed by each supplier organisation is identified.</w:t>
            </w:r>
          </w:p>
          <w:p w:rsidR="00000000" w:rsidRPr="00FF469E" w:rsidP="00FF469E">
            <w:pPr>
              <w:pStyle w:val="List2"/>
            </w:pPr>
            <w:r w:rsidRPr="00FF469E">
              <w:t>2.2.</w:t>
            </w:r>
            <w:r w:rsidRPr="00FF469E">
              <w:tab/>
              <w:t>Value added by each internal step is identified.</w:t>
            </w:r>
          </w:p>
          <w:p w:rsidR="00000000" w:rsidRPr="00FF469E" w:rsidP="00FF469E">
            <w:pPr>
              <w:pStyle w:val="List2"/>
            </w:pPr>
            <w:r w:rsidRPr="00FF469E">
              <w:t>2.3.</w:t>
            </w:r>
            <w:r w:rsidRPr="00FF469E">
              <w:tab/>
              <w:t>Activities which do not add value to customer benefit/features are identified.</w:t>
            </w:r>
          </w:p>
          <w:p w:rsidR="00000000" w:rsidRPr="00FF469E" w:rsidP="00FF469E">
            <w:pPr>
              <w:pStyle w:val="List2"/>
            </w:pPr>
            <w:r w:rsidRPr="00FF469E">
              <w:t>2.4.</w:t>
            </w:r>
            <w:r w:rsidRPr="00FF469E">
              <w:tab/>
              <w:t>External/internal supply chain members a</w:t>
            </w:r>
            <w:r w:rsidRPr="00FF469E">
              <w:t>re liaised with to identify methods to reduce non value adding activities.</w:t>
            </w:r>
          </w:p>
          <w:p w:rsidR="00000000" w:rsidRPr="00FF469E" w:rsidP="00FF469E">
            <w:pPr>
              <w:pStyle w:val="List2"/>
            </w:pPr>
            <w:r w:rsidRPr="00FF469E">
              <w:t>2.5.</w:t>
            </w:r>
            <w:r w:rsidRPr="00FF469E">
              <w:tab/>
              <w:t>Information is collated and assessed.</w:t>
            </w:r>
          </w:p>
          <w:p w:rsidR="00000000" w:rsidRPr="00FF469E" w:rsidP="00FF469E">
            <w:pPr>
              <w:pStyle w:val="List2"/>
            </w:pPr>
            <w:r w:rsidRPr="00FF469E">
              <w:t>2.6.</w:t>
            </w:r>
            <w:r w:rsidRPr="00FF469E">
              <w:tab/>
              <w:t>Suggestions for improvements are recorded and submitted for approval.</w:t>
            </w:r>
          </w:p>
        </w:tc>
      </w:tr>
    </w:tbl>
    <w:p w:rsidR="00095902" w:rsidP="00FF469E">
      <w:pPr>
        <w:pStyle w:val="BodyText"/>
      </w:pPr>
    </w:p>
    <w:p w:rsidR="00095902" w:rsidP="00FF469E">
      <w:pPr>
        <w:pStyle w:val="BodyText"/>
      </w:pPr>
    </w:p>
    <w:p w:rsidR="00000000" w:rsidRPr="00FF469E" w:rsidP="00FF469E">
      <w:pPr>
        <w:pStyle w:val="Heading1"/>
      </w:pPr>
      <w:bookmarkStart w:id="9" w:name="O_261096"/>
      <w:bookmarkEnd w:id="9"/>
      <w:r w:rsidRPr="00FF469E">
        <w:t>Required Skills and Knowledge</w:t>
      </w:r>
    </w:p>
    <w:tbl>
      <w:tblPr>
        <w:tblW w:w="0" w:type="auto"/>
        <w:tblLayout w:type="fixed"/>
        <w:tblCellMar>
          <w:left w:w="62" w:type="dxa"/>
          <w:right w:w="62" w:type="dxa"/>
        </w:tblCellMar>
        <w:tblLook w:val="0000"/>
      </w:tblPr>
      <w:tblGrid>
        <w:gridCol w:w="8522"/>
      </w:tblGrid>
      <w:tr w:rsidTr="000959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REQUIRED SKILLS AND KNOWLEDGE</w:t>
            </w:r>
          </w:p>
        </w:tc>
      </w:tr>
      <w:tr w:rsidTr="000959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t>This section describes the skills and knowledge required for this unit.</w:t>
            </w:r>
          </w:p>
        </w:tc>
      </w:tr>
      <w:tr w:rsidTr="000959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Required skills</w:t>
            </w:r>
          </w:p>
        </w:tc>
      </w:tr>
      <w:tr w:rsidTr="000959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t>Look for evidence that confirms skills in:</w:t>
            </w:r>
          </w:p>
          <w:p w:rsidR="00000000" w:rsidRPr="00FF469E" w:rsidP="00FF469E">
            <w:pPr>
              <w:pStyle w:val="ListBullet"/>
            </w:pPr>
            <w:r w:rsidRPr="00FF469E">
              <w:t>communicating</w:t>
            </w:r>
          </w:p>
          <w:p w:rsidR="00000000" w:rsidRPr="00FF469E" w:rsidP="00FF469E">
            <w:pPr>
              <w:pStyle w:val="ListBullet"/>
            </w:pPr>
            <w:r w:rsidRPr="00FF469E">
              <w:t>planning</w:t>
            </w:r>
          </w:p>
          <w:p w:rsidR="00000000" w:rsidRPr="00FF469E" w:rsidP="00FF469E">
            <w:pPr>
              <w:pStyle w:val="ListBullet"/>
            </w:pPr>
            <w:r w:rsidRPr="00FF469E">
              <w:t>assessing</w:t>
            </w:r>
          </w:p>
          <w:p w:rsidR="00000000" w:rsidRPr="00FF469E" w:rsidP="00FF469E">
            <w:pPr>
              <w:pStyle w:val="ListBullet"/>
            </w:pPr>
            <w:r w:rsidRPr="00FF469E">
              <w:t>problem solving</w:t>
            </w:r>
          </w:p>
          <w:p w:rsidR="00000000" w:rsidRPr="00FF469E" w:rsidP="00FF469E">
            <w:pPr>
              <w:pStyle w:val="ListBullet"/>
            </w:pPr>
            <w:r w:rsidRPr="00FF469E">
              <w:t>analysing</w:t>
            </w:r>
          </w:p>
          <w:p w:rsidR="00000000" w:rsidRPr="00FF469E" w:rsidP="00FF469E">
            <w:pPr>
              <w:pStyle w:val="ListBullet"/>
            </w:pPr>
            <w:r w:rsidRPr="00FF469E">
              <w:t>prioritising</w:t>
            </w:r>
          </w:p>
          <w:p w:rsidR="00000000" w:rsidRPr="00FF469E" w:rsidP="00FF469E">
            <w:pPr>
              <w:pStyle w:val="ListBullet"/>
            </w:pPr>
            <w:r w:rsidRPr="00FF469E">
              <w:t>reading and interpreting</w:t>
            </w:r>
          </w:p>
          <w:p w:rsidR="00000000" w:rsidP="00FF469E">
            <w:pPr>
              <w:pStyle w:val="ListBullet"/>
              <w:rPr>
                <w:lang w:val="en-NZ"/>
              </w:rPr>
            </w:pPr>
            <w:r w:rsidRPr="00FF469E">
              <w:t>recording</w:t>
            </w:r>
          </w:p>
        </w:tc>
      </w:tr>
      <w:tr w:rsidTr="000959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Required knowledge</w:t>
            </w:r>
          </w:p>
        </w:tc>
      </w:tr>
      <w:tr w:rsidTr="000959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t>Look for evidence that confirms knowledge of:</w:t>
            </w:r>
          </w:p>
          <w:p w:rsidR="00000000" w:rsidRPr="00FF469E" w:rsidP="00FF469E">
            <w:pPr>
              <w:pStyle w:val="ListBullet"/>
            </w:pPr>
            <w:r w:rsidRPr="00FF469E">
              <w:t>purpose of supply chain analysis</w:t>
            </w:r>
          </w:p>
          <w:p w:rsidR="00000000" w:rsidRPr="00FF469E" w:rsidP="00FF469E">
            <w:pPr>
              <w:pStyle w:val="ListBullet"/>
            </w:pPr>
            <w:r w:rsidRPr="00FF469E">
              <w:t>methods of supply chain analysis</w:t>
            </w:r>
          </w:p>
          <w:p w:rsidR="00000000" w:rsidRPr="00FF469E" w:rsidP="00FF469E">
            <w:pPr>
              <w:pStyle w:val="ListBullet"/>
            </w:pPr>
            <w:r w:rsidRPr="00FF469E">
              <w:t>types of waste, non value adding activities and methods of reducing them</w:t>
            </w:r>
          </w:p>
          <w:p w:rsidR="00000000" w:rsidRPr="00FF469E" w:rsidP="00FF469E">
            <w:pPr>
              <w:pStyle w:val="ListBullet"/>
            </w:pPr>
            <w:r w:rsidRPr="00FF469E">
              <w:t>process used to make own product</w:t>
            </w:r>
          </w:p>
          <w:p w:rsidR="00000000" w:rsidRPr="00FF469E" w:rsidP="00FF469E">
            <w:pPr>
              <w:pStyle w:val="ListBullet"/>
            </w:pPr>
            <w:r w:rsidRPr="00FF469E">
              <w:t>processes employed by other members of the supply chain sufficient to have meaningful dialogue with them</w:t>
            </w:r>
          </w:p>
          <w:p w:rsidR="00000000" w:rsidRPr="00FF469E" w:rsidP="00FF469E">
            <w:pPr>
              <w:pStyle w:val="ListBullet"/>
            </w:pPr>
            <w:r w:rsidRPr="00FF469E">
              <w:t>safe work practices</w:t>
            </w:r>
          </w:p>
        </w:tc>
      </w:tr>
    </w:tbl>
    <w:p w:rsidR="00095902" w:rsidP="00FF469E">
      <w:pPr>
        <w:pStyle w:val="BodyText"/>
      </w:pPr>
    </w:p>
    <w:p w:rsidR="00095902" w:rsidP="00FF469E">
      <w:pPr>
        <w:pStyle w:val="BodyText"/>
      </w:pPr>
    </w:p>
    <w:p w:rsidR="00000000" w:rsidRPr="00FF469E" w:rsidP="00FF469E">
      <w:pPr>
        <w:pStyle w:val="AllowPageBreak"/>
      </w:pPr>
    </w:p>
    <w:p w:rsidR="00000000" w:rsidRPr="00FF469E" w:rsidP="00FF469E">
      <w:pPr>
        <w:pStyle w:val="Heading1"/>
      </w:pPr>
      <w:bookmarkStart w:id="10" w:name="O_245130"/>
      <w:bookmarkEnd w:id="10"/>
      <w:r w:rsidRPr="00FF469E">
        <w:t>Evidence Guide</w:t>
      </w:r>
    </w:p>
    <w:tbl>
      <w:tblPr>
        <w:tblW w:w="9570" w:type="dxa"/>
        <w:tblLayout w:type="fixed"/>
        <w:tblCellMar>
          <w:left w:w="62" w:type="dxa"/>
          <w:right w:w="62" w:type="dxa"/>
        </w:tblCellMar>
        <w:tblLook w:val="0000"/>
      </w:tblPr>
      <w:tblGrid>
        <w:gridCol w:w="3908"/>
        <w:gridCol w:w="5662"/>
      </w:tblGrid>
      <w:tr w:rsidTr="000959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EVIDENCE GUIDE</w:t>
            </w:r>
          </w:p>
        </w:tc>
      </w:tr>
      <w:tr w:rsidTr="000959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t>The evidence guide provides advice on assessment and must be read in conjunction with the performance criteria, required skills and knowledge, range statement and the Assessment Guidelines for the Training Package.</w:t>
            </w:r>
          </w:p>
        </w:tc>
      </w:tr>
      <w:tr w:rsidTr="00095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t xml:space="preserve">A person who demonstrates competency in this unit must be able to assist in the analysis of a supply chain. </w:t>
            </w:r>
          </w:p>
        </w:tc>
      </w:tr>
      <w:tr w:rsidTr="00095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t>Assessors must be satisfied that the candidate can co</w:t>
            </w:r>
            <w:r w:rsidRPr="00FF469E">
              <w:t>mpetently and consistently perform all elements of the unit as specified by the criteria, including required knowledge, and be capable of applying the competency in new and different situations and contexts.</w:t>
            </w:r>
          </w:p>
        </w:tc>
      </w:tr>
      <w:tr w:rsidTr="00095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Context of and specific resources for assessmen</w:t>
            </w:r>
            <w:r w:rsidRPr="00FF469E">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t>This unit may be assessed on the job, off the job or a combination of both on and off the job. Where assessment occurs off the job, that is the candidate is not in productive work, then an appropriate simulation must be used where the range of conditions</w:t>
            </w:r>
            <w:r w:rsidRPr="00FF469E">
              <w:t xml:space="preserve"> reflects realistic workplace situations. The competencies covered by this unit would be demonstrated by an individual working alone or as part of a team. The assessment environment should not disadvantage the candidate.</w:t>
            </w:r>
          </w:p>
          <w:p w:rsidR="00000000" w:rsidP="00FF469E">
            <w:pPr>
              <w:pStyle w:val="BodyText"/>
              <w:rPr>
                <w:lang w:val="en-NZ"/>
              </w:rPr>
            </w:pPr>
            <w:r w:rsidRPr="00FF469E">
              <w:t>This unit could be assessed in conj</w:t>
            </w:r>
            <w:r w:rsidRPr="00FF469E">
              <w:t>unction with any other units addressing the safety, quality, communication, materials handling, recording and reporting associated with assisting in the analysis of a supply chain, or other units requiring the exercise of the skills and knowledge covered b</w:t>
            </w:r>
            <w:r w:rsidRPr="00FF469E">
              <w:t>y this unit.</w:t>
            </w:r>
          </w:p>
        </w:tc>
      </w:tr>
      <w:tr w:rsidTr="00095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t>Assessors should gather a range of evidence that is valid, sufficient, current and authentic. Evidence can be gathered through a variety of ways including direct observation, supervisor's reports, project work, samples an</w:t>
            </w:r>
            <w:r w:rsidRPr="00FF469E">
              <w:t>d questioning. Questioning techniques should not require language, literacy and numeracy skills beyond those required in this unit of competency. The candidate must have access to all tools, equipment, materials and documentation required. The candidate mu</w:t>
            </w:r>
            <w:r w:rsidRPr="00FF469E">
              <w:t>st be permitted to refer to any relevant workplace procedures, product and manufacturing specifications, codes, standards, manuals and reference materials.</w:t>
            </w:r>
          </w:p>
        </w:tc>
      </w:tr>
      <w:tr w:rsidTr="000959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p>
        </w:tc>
      </w:tr>
    </w:tbl>
    <w:p w:rsidR="00095902" w:rsidP="00FF469E">
      <w:pPr>
        <w:pStyle w:val="BodyText"/>
      </w:pPr>
    </w:p>
    <w:p w:rsidR="00095902" w:rsidP="00FF469E">
      <w:pPr>
        <w:pStyle w:val="BodyText"/>
      </w:pPr>
    </w:p>
    <w:p w:rsidR="00000000" w:rsidRPr="00FF469E" w:rsidP="00FF469E">
      <w:pPr>
        <w:pStyle w:val="Heading1"/>
      </w:pPr>
      <w:bookmarkStart w:id="11" w:name="O_253113"/>
      <w:bookmarkEnd w:id="11"/>
      <w:r w:rsidRPr="00FF469E">
        <w:t>Range Statement</w:t>
      </w:r>
    </w:p>
    <w:tbl>
      <w:tblPr>
        <w:tblW w:w="0" w:type="auto"/>
        <w:tblLayout w:type="fixed"/>
        <w:tblCellMar>
          <w:left w:w="62" w:type="dxa"/>
          <w:right w:w="62" w:type="dxa"/>
        </w:tblCellMar>
        <w:tblLook w:val="0000"/>
      </w:tblPr>
      <w:tblGrid>
        <w:gridCol w:w="3469"/>
        <w:gridCol w:w="5053"/>
      </w:tblGrid>
      <w:tr w:rsidTr="000959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RANGE STATEMENT</w:t>
            </w:r>
          </w:p>
        </w:tc>
      </w:tr>
      <w:tr w:rsidTr="000959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t>The range statement relates to the unit of competency as a whole. It allows for different work environments and situations that may affect performance. Bold italicised wording, if used in the performance criteria, is detailed below. Essential operating con</w:t>
            </w:r>
            <w:r w:rsidRPr="00FF469E">
              <w:t>ditions that may be present with training and assessment (depending on the work situation, needs of the candidate, accessibility of the item, and local industry and regional contexts) may also be included.</w:t>
            </w:r>
          </w:p>
        </w:tc>
      </w:tr>
      <w:tr w:rsidTr="0009590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Supply stream</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t>Encompasses the entire supply syst</w:t>
            </w:r>
            <w:r w:rsidRPr="00FF469E">
              <w:t>em, beginning with the raw materials, processing and all tiers of the supply chain</w:t>
            </w:r>
          </w:p>
        </w:tc>
      </w:tr>
      <w:tr w:rsidTr="0009590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Value added</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t>Is measured against its contribution to the customer benefits/features and is determined in accordance with company definitions</w:t>
            </w:r>
          </w:p>
        </w:tc>
      </w:tr>
      <w:tr w:rsidTr="0009590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Non value adding activities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t>Includes excess production and early production, delays, movement and transport, poor process design, inventory, inefficient performance of a process and making defective items</w:t>
            </w:r>
          </w:p>
        </w:tc>
      </w:tr>
    </w:tbl>
    <w:p w:rsidR="00095902" w:rsidP="00FF469E">
      <w:pPr>
        <w:pStyle w:val="BodyText"/>
      </w:pPr>
    </w:p>
    <w:p w:rsidR="00095902" w:rsidP="00FF469E">
      <w:pPr>
        <w:pStyle w:val="BodyText"/>
      </w:pPr>
    </w:p>
    <w:p w:rsidR="00000000" w:rsidRPr="00FF469E" w:rsidP="00FF469E">
      <w:pPr>
        <w:pStyle w:val="Heading1"/>
      </w:pPr>
      <w:bookmarkStart w:id="12" w:name="O_213475"/>
      <w:bookmarkEnd w:id="12"/>
      <w:r w:rsidRPr="00FF469E">
        <w:t>Unit Sector(s)</w:t>
      </w:r>
    </w:p>
    <w:tbl>
      <w:tblPr>
        <w:tblW w:w="0" w:type="auto"/>
        <w:tblLayout w:type="fixed"/>
        <w:tblCellMar>
          <w:left w:w="62" w:type="dxa"/>
          <w:right w:w="62" w:type="dxa"/>
        </w:tblCellMar>
        <w:tblLook w:val="0000"/>
      </w:tblPr>
      <w:tblGrid>
        <w:gridCol w:w="2654"/>
        <w:gridCol w:w="5868"/>
      </w:tblGrid>
      <w:tr w:rsidTr="0009590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p>
        </w:tc>
      </w:tr>
    </w:tbl>
    <w:p w:rsidR="00095902" w:rsidP="00FF469E">
      <w:pPr>
        <w:pStyle w:val="BodyText"/>
      </w:pPr>
    </w:p>
    <w:p w:rsidR="00095902" w:rsidP="00FF469E">
      <w:pPr>
        <w:pStyle w:val="BodyText"/>
      </w:pPr>
    </w:p>
    <w:p w:rsidR="00000000" w:rsidRPr="00FF469E" w:rsidP="00FF469E">
      <w:pPr>
        <w:pStyle w:val="Heading1"/>
      </w:pPr>
      <w:bookmarkStart w:id="13" w:name="O_213472"/>
      <w:bookmarkEnd w:id="13"/>
      <w:r w:rsidRPr="00FF469E">
        <w:t>Co-requisite units</w:t>
      </w:r>
    </w:p>
    <w:tbl>
      <w:tblPr>
        <w:tblW w:w="0" w:type="auto"/>
        <w:tblLayout w:type="fixed"/>
        <w:tblCellMar>
          <w:left w:w="62" w:type="dxa"/>
          <w:right w:w="62" w:type="dxa"/>
        </w:tblCellMar>
        <w:tblLook w:val="0000"/>
      </w:tblPr>
      <w:tblGrid>
        <w:gridCol w:w="2641"/>
        <w:gridCol w:w="1322"/>
        <w:gridCol w:w="4559"/>
      </w:tblGrid>
      <w:tr w:rsidTr="000959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p>
        </w:tc>
      </w:tr>
      <w:tr w:rsidTr="000959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p>
        </w:tc>
      </w:tr>
      <w:tr w:rsidTr="000959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p>
        </w:tc>
      </w:tr>
    </w:tbl>
    <w:p w:rsidR="00095902" w:rsidP="00FF469E">
      <w:pPr>
        <w:pStyle w:val="BodyText"/>
      </w:pPr>
    </w:p>
    <w:p w:rsidR="00095902" w:rsidP="00FF469E">
      <w:pPr>
        <w:pStyle w:val="BodyText"/>
      </w:pPr>
    </w:p>
    <w:p w:rsidR="00000000" w:rsidRPr="00FF469E" w:rsidP="00FF469E">
      <w:pPr>
        <w:pStyle w:val="Heading1"/>
      </w:pPr>
      <w:bookmarkStart w:id="14" w:name="O_213474"/>
      <w:bookmarkEnd w:id="14"/>
      <w:r w:rsidRPr="00FF469E">
        <w:t>Competency field</w:t>
      </w:r>
    </w:p>
    <w:tbl>
      <w:tblPr>
        <w:tblW w:w="0" w:type="auto"/>
        <w:tblLayout w:type="fixed"/>
        <w:tblCellMar>
          <w:left w:w="62" w:type="dxa"/>
          <w:right w:w="62" w:type="dxa"/>
        </w:tblCellMar>
        <w:tblLook w:val="0000"/>
      </w:tblPr>
      <w:tblGrid>
        <w:gridCol w:w="2775"/>
        <w:gridCol w:w="5747"/>
      </w:tblGrid>
      <w:tr w:rsidTr="000959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69E">
            <w:pPr>
              <w:pStyle w:val="BodyText"/>
              <w:rPr>
                <w:lang w:val="en-NZ"/>
              </w:rPr>
            </w:pPr>
            <w:r w:rsidRPr="00FF469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69E" w:rsidP="00FF469E">
            <w:pPr>
              <w:pStyle w:val="BodyText"/>
            </w:pPr>
            <w:r w:rsidRPr="00FF469E">
              <w:t>Engineering technician</w:t>
            </w:r>
          </w:p>
        </w:tc>
      </w:tr>
    </w:tbl>
    <w:p w:rsidR="00095902" w:rsidP="00FF469E">
      <w:pPr>
        <w:pStyle w:val="BodyText"/>
      </w:pPr>
    </w:p>
    <w:p w:rsidR="00095902" w:rsidP="00FF469E">
      <w:pPr>
        <w:pStyle w:val="BodyText"/>
      </w:pPr>
    </w:p>
    <w:p w:rsidR="00000000" w:rsidRPr="00FF469E" w:rsidP="00FF469E"/>
    <w:sectPr w:rsidSect="00FF46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902" w:rsidP="00095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02" w:rsidP="00FF46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5902" w:rsidP="00FF46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5902" w:rsidP="00FF46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902" w:rsidP="000959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6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02" w:rsidP="00FF469E">
    <w:pPr>
      <w:pStyle w:val="Header"/>
      <w:framePr w:wrap="around"/>
    </w:pPr>
    <w:r>
      <w:fldChar w:fldCharType="begin"/>
    </w:r>
    <w:r>
      <w:instrText xml:space="preserve"> TITLE   \* MERGEFORMAT </w:instrText>
    </w:r>
    <w:r>
      <w:fldChar w:fldCharType="separate"/>
    </w:r>
    <w:r>
      <w:t>MEM30016A Assist in the analysis of a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902" w:rsidP="00FF46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5C7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AC3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6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469E"/>
    <w:pPr>
      <w:spacing w:before="360" w:after="60"/>
      <w:outlineLvl w:val="0"/>
    </w:pPr>
    <w:rPr>
      <w:sz w:val="32"/>
    </w:rPr>
  </w:style>
  <w:style w:type="paragraph" w:styleId="Heading2">
    <w:name w:val="heading 2"/>
    <w:basedOn w:val="HeadingBase"/>
    <w:next w:val="BodyText"/>
    <w:link w:val="Heading2Char"/>
    <w:qFormat/>
    <w:rsid w:val="00FF469E"/>
    <w:pPr>
      <w:keepLines/>
      <w:spacing w:before="240" w:after="120"/>
      <w:outlineLvl w:val="1"/>
    </w:pPr>
    <w:rPr>
      <w:sz w:val="28"/>
      <w:szCs w:val="40"/>
    </w:rPr>
  </w:style>
  <w:style w:type="paragraph" w:styleId="Heading3">
    <w:name w:val="heading 3"/>
    <w:basedOn w:val="HeadingBase"/>
    <w:next w:val="BodyText"/>
    <w:link w:val="Heading3Char"/>
    <w:qFormat/>
    <w:rsid w:val="00FF469E"/>
    <w:pPr>
      <w:spacing w:before="180" w:after="120"/>
      <w:outlineLvl w:val="2"/>
    </w:pPr>
    <w:rPr>
      <w:spacing w:val="-10"/>
      <w:kern w:val="32"/>
    </w:rPr>
  </w:style>
  <w:style w:type="paragraph" w:styleId="Heading4">
    <w:name w:val="heading 4"/>
    <w:basedOn w:val="HeadingBase"/>
    <w:next w:val="BodyText"/>
    <w:link w:val="Heading4Char"/>
    <w:qFormat/>
    <w:rsid w:val="00FF469E"/>
    <w:pPr>
      <w:spacing w:before="160" w:after="120"/>
      <w:outlineLvl w:val="3"/>
    </w:pPr>
    <w:rPr>
      <w:sz w:val="22"/>
    </w:rPr>
  </w:style>
  <w:style w:type="paragraph" w:styleId="Heading5">
    <w:name w:val="heading 5"/>
    <w:basedOn w:val="HeadingBase"/>
    <w:next w:val="Normal"/>
    <w:link w:val="Heading5Char"/>
    <w:qFormat/>
    <w:rsid w:val="00FF469E"/>
    <w:pPr>
      <w:spacing w:before="80"/>
      <w:outlineLvl w:val="4"/>
    </w:pPr>
    <w:rPr>
      <w:color w:val="918585"/>
      <w:sz w:val="20"/>
    </w:rPr>
  </w:style>
  <w:style w:type="paragraph" w:styleId="Heading6">
    <w:name w:val="heading 6"/>
    <w:basedOn w:val="HeadingBase"/>
    <w:next w:val="Normal"/>
    <w:link w:val="Heading6Char"/>
    <w:qFormat/>
    <w:rsid w:val="00FF469E"/>
    <w:pPr>
      <w:spacing w:before="60"/>
      <w:outlineLvl w:val="5"/>
    </w:pPr>
    <w:rPr>
      <w:color w:val="918585"/>
      <w:sz w:val="20"/>
    </w:rPr>
  </w:style>
  <w:style w:type="paragraph" w:styleId="Heading7">
    <w:name w:val="heading 7"/>
    <w:basedOn w:val="Normal"/>
    <w:next w:val="Normal"/>
    <w:link w:val="Heading7Char"/>
    <w:qFormat/>
    <w:rsid w:val="00FF469E"/>
    <w:pPr>
      <w:ind w:left="720"/>
      <w:outlineLvl w:val="6"/>
    </w:pPr>
    <w:rPr>
      <w:i/>
    </w:rPr>
  </w:style>
  <w:style w:type="paragraph" w:styleId="Heading8">
    <w:name w:val="heading 8"/>
    <w:basedOn w:val="Normal"/>
    <w:next w:val="Normal"/>
    <w:link w:val="Heading8Char"/>
    <w:qFormat/>
    <w:rsid w:val="00FF469E"/>
    <w:pPr>
      <w:ind w:left="720"/>
      <w:outlineLvl w:val="7"/>
    </w:pPr>
    <w:rPr>
      <w:i/>
    </w:rPr>
  </w:style>
  <w:style w:type="paragraph" w:styleId="Heading9">
    <w:name w:val="heading 9"/>
    <w:basedOn w:val="Normal"/>
    <w:next w:val="Normal"/>
    <w:link w:val="Heading9Char"/>
    <w:qFormat/>
    <w:rsid w:val="00FF469E"/>
    <w:pPr>
      <w:ind w:left="720"/>
      <w:outlineLvl w:val="8"/>
    </w:pPr>
    <w:rPr>
      <w:i/>
    </w:rPr>
  </w:style>
  <w:style w:type="character" w:default="1" w:styleId="DefaultParagraphFont">
    <w:name w:val="Default Paragraph Font"/>
    <w:uiPriority w:val="1"/>
    <w:unhideWhenUsed/>
    <w:rsid w:val="00FF46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69E"/>
  </w:style>
  <w:style w:type="character" w:customStyle="1" w:styleId="Heading1Char">
    <w:name w:val="Heading 1 Char"/>
    <w:link w:val="Heading1"/>
    <w:rsid w:val="00FF469E"/>
    <w:rPr>
      <w:rFonts w:ascii="Times New Roman" w:eastAsia="Times New Roman" w:hAnsi="Times New Roman" w:cs="Times New Roman"/>
      <w:b/>
      <w:sz w:val="32"/>
      <w:szCs w:val="20"/>
      <w:lang w:eastAsia="en-US"/>
    </w:rPr>
  </w:style>
  <w:style w:type="paragraph" w:styleId="BodyText">
    <w:name w:val="Body Text"/>
    <w:basedOn w:val="Normal"/>
    <w:link w:val="BodyTextChar"/>
    <w:rsid w:val="00FF469E"/>
    <w:pPr>
      <w:spacing w:before="120" w:after="120"/>
      <w:contextualSpacing/>
    </w:pPr>
    <w:rPr>
      <w:rFonts w:ascii="Times New Roman" w:hAnsi="Times New Roman"/>
      <w:sz w:val="24"/>
      <w:szCs w:val="22"/>
    </w:rPr>
  </w:style>
  <w:style w:type="character" w:customStyle="1" w:styleId="BodyTextChar">
    <w:name w:val="Body Text Char"/>
    <w:link w:val="BodyText"/>
    <w:rsid w:val="00FF469E"/>
    <w:rPr>
      <w:rFonts w:ascii="Times New Roman" w:eastAsia="Times New Roman" w:hAnsi="Times New Roman" w:cs="Times New Roman"/>
      <w:sz w:val="24"/>
      <w:lang w:val="en-US" w:eastAsia="en-US"/>
    </w:rPr>
  </w:style>
  <w:style w:type="paragraph" w:styleId="Footer">
    <w:name w:val="footer"/>
    <w:basedOn w:val="Normal"/>
    <w:link w:val="FooterChar"/>
    <w:rsid w:val="00FF46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469E"/>
    <w:rPr>
      <w:rFonts w:ascii="Times New Roman" w:eastAsia="Times New Roman" w:hAnsi="Times New Roman" w:cs="Times New Roman"/>
      <w:sz w:val="16"/>
      <w:lang w:val="en-US" w:eastAsia="en-US"/>
    </w:rPr>
  </w:style>
  <w:style w:type="paragraph" w:styleId="List">
    <w:name w:val="List"/>
    <w:basedOn w:val="BodyText"/>
    <w:next w:val="BodyText"/>
    <w:rsid w:val="00FF469E"/>
    <w:pPr>
      <w:tabs>
        <w:tab w:val="left" w:pos="340"/>
      </w:tabs>
      <w:spacing w:before="60" w:after="60"/>
      <w:ind w:left="340" w:hanging="340"/>
    </w:pPr>
  </w:style>
  <w:style w:type="paragraph" w:styleId="ListBullet">
    <w:name w:val="List Bullet"/>
    <w:basedOn w:val="List"/>
    <w:rsid w:val="00FF469E"/>
    <w:pPr>
      <w:numPr>
        <w:numId w:val="12"/>
      </w:numPr>
      <w:tabs>
        <w:tab w:val="clear" w:pos="340"/>
      </w:tabs>
      <w:spacing w:before="40" w:after="40"/>
    </w:pPr>
  </w:style>
  <w:style w:type="character" w:customStyle="1" w:styleId="SpecialBold">
    <w:name w:val="Special Bold"/>
    <w:rsid w:val="00FF469E"/>
    <w:rPr>
      <w:b/>
      <w:spacing w:val="0"/>
    </w:rPr>
  </w:style>
  <w:style w:type="paragraph" w:styleId="Header">
    <w:name w:val="header"/>
    <w:basedOn w:val="Normal"/>
    <w:link w:val="HeaderChar"/>
    <w:rsid w:val="00FF46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46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469E"/>
    <w:pPr>
      <w:spacing w:before="240" w:after="120"/>
      <w:outlineLvl w:val="0"/>
    </w:pPr>
    <w:rPr>
      <w:rFonts w:ascii="Times New Roman" w:hAnsi="Times New Roman"/>
      <w:b/>
      <w:sz w:val="28"/>
    </w:rPr>
  </w:style>
  <w:style w:type="paragraph" w:customStyle="1" w:styleId="AllowPageBreak">
    <w:name w:val="AllowPageBreak"/>
    <w:rsid w:val="00FF46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469E"/>
    <w:pPr>
      <w:tabs>
        <w:tab w:val="left" w:pos="680"/>
      </w:tabs>
      <w:spacing w:before="60" w:after="60"/>
      <w:ind w:left="680" w:hanging="340"/>
    </w:pPr>
  </w:style>
  <w:style w:type="character" w:customStyle="1" w:styleId="Heading2Char">
    <w:name w:val="Heading 2 Char"/>
    <w:link w:val="Heading2"/>
    <w:rsid w:val="00FF469E"/>
    <w:rPr>
      <w:rFonts w:ascii="Times New Roman" w:eastAsia="Times New Roman" w:hAnsi="Times New Roman" w:cs="Times New Roman"/>
      <w:b/>
      <w:sz w:val="28"/>
      <w:szCs w:val="40"/>
      <w:lang w:eastAsia="en-US"/>
    </w:rPr>
  </w:style>
  <w:style w:type="character" w:customStyle="1" w:styleId="Heading3Char">
    <w:name w:val="Heading 3 Char"/>
    <w:link w:val="Heading3"/>
    <w:rsid w:val="00FF46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469E"/>
    <w:rPr>
      <w:rFonts w:ascii="Times New Roman" w:eastAsia="Times New Roman" w:hAnsi="Times New Roman" w:cs="Times New Roman"/>
      <w:b/>
      <w:szCs w:val="20"/>
      <w:lang w:eastAsia="en-US"/>
    </w:rPr>
  </w:style>
  <w:style w:type="character" w:customStyle="1" w:styleId="Heading5Char">
    <w:name w:val="Heading 5 Char"/>
    <w:link w:val="Heading5"/>
    <w:rsid w:val="00FF46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46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6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46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469E"/>
    <w:rPr>
      <w:rFonts w:ascii="Courier New" w:eastAsia="Times New Roman" w:hAnsi="Courier New" w:cs="Times New Roman"/>
      <w:i/>
      <w:szCs w:val="20"/>
      <w:lang w:val="en-US" w:eastAsia="en-US"/>
    </w:rPr>
  </w:style>
  <w:style w:type="paragraph" w:customStyle="1" w:styleId="HeadingBase">
    <w:name w:val="Heading Base"/>
    <w:rsid w:val="00FF46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69E"/>
    <w:pPr>
      <w:tabs>
        <w:tab w:val="right" w:leader="dot" w:pos="9072"/>
      </w:tabs>
      <w:ind w:left="567"/>
    </w:pPr>
    <w:rPr>
      <w:szCs w:val="22"/>
    </w:rPr>
  </w:style>
  <w:style w:type="paragraph" w:customStyle="1" w:styleId="TOCBase">
    <w:name w:val="TOC Base"/>
    <w:rsid w:val="00FF46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69E"/>
    <w:pPr>
      <w:tabs>
        <w:tab w:val="right" w:leader="dot" w:pos="9072"/>
      </w:tabs>
      <w:spacing w:before="40" w:after="40"/>
      <w:ind w:left="284"/>
    </w:pPr>
    <w:rPr>
      <w:rFonts w:ascii="Times New Roman" w:hAnsi="Times New Roman"/>
    </w:rPr>
  </w:style>
  <w:style w:type="paragraph" w:styleId="TOC1">
    <w:name w:val="toc 1"/>
    <w:basedOn w:val="TOCBase"/>
    <w:next w:val="Normal"/>
    <w:rsid w:val="00FF46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469E"/>
    <w:pPr>
      <w:spacing w:before="5040"/>
      <w:jc w:val="center"/>
    </w:pPr>
    <w:rPr>
      <w:sz w:val="48"/>
      <w:szCs w:val="72"/>
      <w:lang w:val="en-US"/>
    </w:rPr>
  </w:style>
  <w:style w:type="character" w:customStyle="1" w:styleId="TitleChar">
    <w:name w:val="Title Char"/>
    <w:link w:val="Title"/>
    <w:rsid w:val="00FF46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69E"/>
    <w:pPr>
      <w:tabs>
        <w:tab w:val="left" w:pos="3600"/>
        <w:tab w:val="left" w:pos="3958"/>
      </w:tabs>
    </w:pPr>
  </w:style>
  <w:style w:type="paragraph" w:customStyle="1" w:styleId="Note">
    <w:name w:val="Note"/>
    <w:basedOn w:val="BodyText"/>
    <w:rsid w:val="00FF46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69E"/>
    <w:pPr>
      <w:framePr w:wrap="auto" w:hAnchor="text" w:y="6049"/>
    </w:pPr>
    <w:rPr>
      <w:color w:val="000000"/>
      <w:sz w:val="40"/>
    </w:rPr>
  </w:style>
  <w:style w:type="paragraph" w:customStyle="1" w:styleId="TOCTitle">
    <w:name w:val="TOCTitle"/>
    <w:basedOn w:val="Heading1"/>
    <w:rsid w:val="00FF469E"/>
    <w:pPr>
      <w:spacing w:after="240"/>
      <w:jc w:val="center"/>
      <w:outlineLvl w:val="9"/>
    </w:pPr>
    <w:rPr>
      <w:caps/>
    </w:rPr>
  </w:style>
  <w:style w:type="paragraph" w:customStyle="1" w:styleId="Version">
    <w:name w:val="Version"/>
    <w:rsid w:val="00FF46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69E"/>
    <w:pPr>
      <w:numPr>
        <w:numId w:val="13"/>
      </w:numPr>
      <w:tabs>
        <w:tab w:val="clear" w:pos="680"/>
      </w:tabs>
    </w:pPr>
  </w:style>
  <w:style w:type="paragraph" w:styleId="Index1">
    <w:name w:val="index 1"/>
    <w:basedOn w:val="Normal"/>
    <w:next w:val="Normal"/>
    <w:semiHidden/>
    <w:rsid w:val="00FF469E"/>
    <w:pPr>
      <w:keepNext w:val="0"/>
      <w:tabs>
        <w:tab w:val="right" w:pos="4176"/>
      </w:tabs>
      <w:ind w:left="198" w:hanging="198"/>
    </w:pPr>
    <w:rPr>
      <w:rFonts w:ascii="Garamond" w:hAnsi="Garamond"/>
    </w:rPr>
  </w:style>
  <w:style w:type="paragraph" w:styleId="IndexHeading">
    <w:name w:val="index heading"/>
    <w:basedOn w:val="Normal"/>
    <w:next w:val="Index1"/>
    <w:semiHidden/>
    <w:rsid w:val="00FF469E"/>
    <w:pPr>
      <w:spacing w:before="120" w:after="120"/>
    </w:pPr>
    <w:rPr>
      <w:rFonts w:ascii="Arial" w:hAnsi="Arial"/>
      <w:b/>
      <w:color w:val="918585"/>
      <w:sz w:val="24"/>
    </w:rPr>
  </w:style>
  <w:style w:type="paragraph" w:customStyle="1" w:styleId="Chapter">
    <w:name w:val="Chapter"/>
    <w:basedOn w:val="Normal"/>
    <w:rsid w:val="00FF469E"/>
    <w:pPr>
      <w:spacing w:before="240"/>
    </w:pPr>
    <w:rPr>
      <w:rFonts w:ascii="Times New Roman" w:hAnsi="Times New Roman"/>
      <w:smallCaps/>
      <w:spacing w:val="80"/>
      <w:sz w:val="28"/>
    </w:rPr>
  </w:style>
  <w:style w:type="paragraph" w:customStyle="1" w:styleId="InChapter">
    <w:name w:val="InChapter"/>
    <w:basedOn w:val="Heading3"/>
    <w:rsid w:val="00FF469E"/>
    <w:pPr>
      <w:spacing w:after="240"/>
      <w:outlineLvl w:val="9"/>
    </w:pPr>
    <w:rPr>
      <w:noProof/>
    </w:rPr>
  </w:style>
  <w:style w:type="paragraph" w:styleId="Index2">
    <w:name w:val="index 2"/>
    <w:basedOn w:val="Normal"/>
    <w:next w:val="Normal"/>
    <w:semiHidden/>
    <w:rsid w:val="00FF469E"/>
    <w:pPr>
      <w:tabs>
        <w:tab w:val="right" w:pos="4176"/>
      </w:tabs>
      <w:ind w:left="568" w:hanging="284"/>
    </w:pPr>
    <w:rPr>
      <w:rFonts w:ascii="Garamond" w:hAnsi="Garamond"/>
    </w:rPr>
  </w:style>
  <w:style w:type="paragraph" w:customStyle="1" w:styleId="Byline">
    <w:name w:val="Byline"/>
    <w:rsid w:val="00FF46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69E"/>
    <w:pPr>
      <w:tabs>
        <w:tab w:val="clear" w:pos="3600"/>
        <w:tab w:val="clear" w:pos="3958"/>
      </w:tabs>
      <w:jc w:val="right"/>
    </w:pPr>
  </w:style>
  <w:style w:type="character" w:styleId="Emphasis">
    <w:name w:val="Emphasis"/>
    <w:qFormat/>
    <w:rsid w:val="00FF469E"/>
    <w:rPr>
      <w:i/>
    </w:rPr>
  </w:style>
  <w:style w:type="paragraph" w:styleId="Caption">
    <w:name w:val="caption"/>
    <w:basedOn w:val="BodyText"/>
    <w:next w:val="Normal"/>
    <w:qFormat/>
    <w:rsid w:val="00FF469E"/>
    <w:pPr>
      <w:framePr w:w="2268" w:hSpace="181" w:vSpace="181" w:wrap="around" w:vAnchor="text" w:hAnchor="page" w:x="1135" w:y="285" w:anchorLock="1"/>
    </w:pPr>
    <w:rPr>
      <w:i/>
    </w:rPr>
  </w:style>
  <w:style w:type="paragraph" w:customStyle="1" w:styleId="MiniTOCTitle">
    <w:name w:val="MiniTOCTitle"/>
    <w:basedOn w:val="Heading4"/>
    <w:rsid w:val="00FF469E"/>
    <w:pPr>
      <w:spacing w:before="240"/>
      <w:outlineLvl w:val="9"/>
    </w:pPr>
    <w:rPr>
      <w:noProof/>
      <w:sz w:val="24"/>
    </w:rPr>
  </w:style>
  <w:style w:type="paragraph" w:customStyle="1" w:styleId="MiniTOCItem">
    <w:name w:val="MiniTOCItem"/>
    <w:basedOn w:val="ListBullet"/>
    <w:rsid w:val="00FF469E"/>
    <w:pPr>
      <w:numPr>
        <w:numId w:val="0"/>
      </w:numPr>
      <w:tabs>
        <w:tab w:val="right" w:leader="dot" w:pos="6521"/>
      </w:tabs>
      <w:spacing w:before="0" w:after="0"/>
    </w:pPr>
  </w:style>
  <w:style w:type="paragraph" w:customStyle="1" w:styleId="TOFTitle">
    <w:name w:val="TOFTitle"/>
    <w:basedOn w:val="TOCTitle"/>
    <w:rsid w:val="00FF469E"/>
  </w:style>
  <w:style w:type="paragraph" w:styleId="TableofFigures">
    <w:name w:val="table of figures"/>
    <w:basedOn w:val="Normal"/>
    <w:next w:val="Normal"/>
    <w:semiHidden/>
    <w:rsid w:val="00FF469E"/>
    <w:pPr>
      <w:tabs>
        <w:tab w:val="right" w:leader="dot" w:pos="9072"/>
      </w:tabs>
      <w:ind w:left="970" w:hanging="403"/>
    </w:pPr>
    <w:rPr>
      <w:rFonts w:ascii="Times New Roman" w:hAnsi="Times New Roman"/>
      <w:b/>
    </w:rPr>
  </w:style>
  <w:style w:type="paragraph" w:styleId="ListNumber">
    <w:name w:val="List Number"/>
    <w:basedOn w:val="List"/>
    <w:rsid w:val="00FF469E"/>
    <w:pPr>
      <w:numPr>
        <w:numId w:val="10"/>
      </w:numPr>
    </w:pPr>
  </w:style>
  <w:style w:type="character" w:customStyle="1" w:styleId="WingdingSymbols">
    <w:name w:val="Wingding Symbols"/>
    <w:rsid w:val="00FF469E"/>
    <w:rPr>
      <w:rFonts w:ascii="Wingdings" w:hAnsi="Wingdings"/>
    </w:rPr>
  </w:style>
  <w:style w:type="paragraph" w:customStyle="1" w:styleId="TableHeading">
    <w:name w:val="Table Heading"/>
    <w:basedOn w:val="HeadingBase"/>
    <w:rsid w:val="00FF469E"/>
    <w:pPr>
      <w:keepLines/>
      <w:pBdr>
        <w:bottom w:val="single" w:sz="6" w:space="1" w:color="918585"/>
      </w:pBdr>
      <w:spacing w:before="240"/>
    </w:pPr>
  </w:style>
  <w:style w:type="character" w:customStyle="1" w:styleId="HotSpot">
    <w:name w:val="HotSpot"/>
    <w:rsid w:val="00FF469E"/>
    <w:rPr>
      <w:color w:val="0033CC"/>
      <w:u w:val="none"/>
    </w:rPr>
  </w:style>
  <w:style w:type="paragraph" w:customStyle="1" w:styleId="BodyTextRight">
    <w:name w:val="Body Text Right"/>
    <w:basedOn w:val="BodyText"/>
    <w:rsid w:val="00FF469E"/>
    <w:pPr>
      <w:spacing w:before="0" w:after="0"/>
      <w:jc w:val="right"/>
    </w:pPr>
  </w:style>
  <w:style w:type="paragraph" w:styleId="Index3">
    <w:name w:val="index 3"/>
    <w:basedOn w:val="ListNumber2"/>
    <w:next w:val="Normal"/>
    <w:semiHidden/>
    <w:rsid w:val="00FF469E"/>
    <w:pPr>
      <w:numPr>
        <w:numId w:val="0"/>
      </w:numPr>
      <w:tabs>
        <w:tab w:val="right" w:leader="dot" w:pos="4176"/>
      </w:tabs>
    </w:pPr>
  </w:style>
  <w:style w:type="paragraph" w:styleId="ListNumber2">
    <w:name w:val="List Number 2"/>
    <w:basedOn w:val="List2"/>
    <w:rsid w:val="00FF469E"/>
    <w:pPr>
      <w:numPr>
        <w:numId w:val="9"/>
      </w:numPr>
      <w:tabs>
        <w:tab w:val="clear" w:pos="1060"/>
      </w:tabs>
    </w:pPr>
  </w:style>
  <w:style w:type="paragraph" w:customStyle="1" w:styleId="MarginNote">
    <w:name w:val="Margin Note"/>
    <w:basedOn w:val="BodyText"/>
    <w:rsid w:val="00FF46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6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46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469E"/>
    <w:rPr>
      <w:sz w:val="32"/>
    </w:rPr>
  </w:style>
  <w:style w:type="paragraph" w:customStyle="1" w:styleId="HeadingProcedure">
    <w:name w:val="Heading Procedure"/>
    <w:basedOn w:val="HeadingBase"/>
    <w:next w:val="Normal"/>
    <w:rsid w:val="00FF469E"/>
    <w:pPr>
      <w:tabs>
        <w:tab w:val="left" w:pos="0"/>
      </w:tabs>
      <w:spacing w:before="120" w:after="60"/>
    </w:pPr>
    <w:rPr>
      <w:i/>
      <w:color w:val="918585"/>
      <w:sz w:val="22"/>
    </w:rPr>
  </w:style>
  <w:style w:type="paragraph" w:customStyle="1" w:styleId="TableBodyText">
    <w:name w:val="Table Body Text"/>
    <w:basedOn w:val="BodyText"/>
    <w:rsid w:val="00FF469E"/>
    <w:pPr>
      <w:spacing w:before="60" w:after="60"/>
    </w:pPr>
  </w:style>
  <w:style w:type="paragraph" w:styleId="ListContinue">
    <w:name w:val="List Continue"/>
    <w:basedOn w:val="List"/>
    <w:rsid w:val="00FF469E"/>
    <w:pPr>
      <w:ind w:firstLine="0"/>
    </w:pPr>
  </w:style>
  <w:style w:type="paragraph" w:customStyle="1" w:styleId="ListNote">
    <w:name w:val="List Note"/>
    <w:basedOn w:val="List"/>
    <w:rsid w:val="00FF469E"/>
    <w:pPr>
      <w:pBdr>
        <w:top w:val="single" w:sz="6" w:space="2" w:color="918585"/>
        <w:bottom w:val="single" w:sz="6" w:space="2" w:color="918585"/>
      </w:pBdr>
      <w:tabs>
        <w:tab w:val="left" w:pos="1021"/>
      </w:tabs>
      <w:ind w:firstLine="0"/>
    </w:pPr>
  </w:style>
  <w:style w:type="paragraph" w:customStyle="1" w:styleId="Warning">
    <w:name w:val="Warning"/>
    <w:basedOn w:val="BodyText"/>
    <w:rsid w:val="00FF469E"/>
    <w:pPr>
      <w:shd w:val="clear" w:color="auto" w:fill="D9D9D9"/>
      <w:tabs>
        <w:tab w:val="left" w:pos="992"/>
      </w:tabs>
      <w:ind w:left="119" w:right="119"/>
    </w:pPr>
    <w:rPr>
      <w:sz w:val="20"/>
    </w:rPr>
  </w:style>
  <w:style w:type="paragraph" w:customStyle="1" w:styleId="MarginIcons">
    <w:name w:val="Margin Icons"/>
    <w:basedOn w:val="BodyText"/>
    <w:rsid w:val="00FF46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469E"/>
    <w:rPr>
      <w:rFonts w:ascii="Courier New" w:hAnsi="Courier New"/>
    </w:rPr>
  </w:style>
  <w:style w:type="paragraph" w:customStyle="1" w:styleId="NoteBullet">
    <w:name w:val="Note Bullet"/>
    <w:basedOn w:val="Note"/>
    <w:rsid w:val="00FF469E"/>
    <w:pPr>
      <w:tabs>
        <w:tab w:val="clear" w:pos="680"/>
      </w:tabs>
      <w:spacing w:before="60" w:after="60"/>
    </w:pPr>
  </w:style>
  <w:style w:type="paragraph" w:customStyle="1" w:styleId="SubHeading2">
    <w:name w:val="SubHeading2"/>
    <w:basedOn w:val="HeadingBase"/>
    <w:rsid w:val="00FF469E"/>
    <w:pPr>
      <w:spacing w:before="240" w:after="60"/>
    </w:pPr>
    <w:rPr>
      <w:sz w:val="20"/>
    </w:rPr>
  </w:style>
  <w:style w:type="paragraph" w:customStyle="1" w:styleId="SubHeading1">
    <w:name w:val="SubHeading1"/>
    <w:basedOn w:val="HeadingBase"/>
    <w:rsid w:val="00FF469E"/>
    <w:pPr>
      <w:spacing w:before="240" w:after="60"/>
    </w:pPr>
    <w:rPr>
      <w:color w:val="918585"/>
      <w:sz w:val="22"/>
    </w:rPr>
  </w:style>
  <w:style w:type="paragraph" w:customStyle="1" w:styleId="SideHeading">
    <w:name w:val="Side Heading"/>
    <w:basedOn w:val="HeadingBase"/>
    <w:rsid w:val="00FF46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69E"/>
    <w:pPr>
      <w:tabs>
        <w:tab w:val="num" w:pos="360"/>
      </w:tabs>
    </w:pPr>
  </w:style>
  <w:style w:type="paragraph" w:styleId="PlainText">
    <w:name w:val="Plain Text"/>
    <w:basedOn w:val="Normal"/>
    <w:link w:val="PlainTextChar"/>
    <w:rsid w:val="00FF469E"/>
    <w:rPr>
      <w:sz w:val="20"/>
    </w:rPr>
  </w:style>
  <w:style w:type="character" w:customStyle="1" w:styleId="PlainTextChar">
    <w:name w:val="Plain Text Char"/>
    <w:basedOn w:val="DefaultParagraphFont"/>
    <w:link w:val="PlainText"/>
    <w:rsid w:val="00FF469E"/>
    <w:rPr>
      <w:rFonts w:ascii="Courier New" w:eastAsia="Times New Roman" w:hAnsi="Courier New" w:cs="Times New Roman"/>
      <w:sz w:val="20"/>
      <w:szCs w:val="20"/>
      <w:lang w:val="en-US" w:eastAsia="en-US"/>
    </w:rPr>
  </w:style>
  <w:style w:type="character" w:customStyle="1" w:styleId="MenuOption">
    <w:name w:val="Menu Option"/>
    <w:rsid w:val="00FF469E"/>
    <w:rPr>
      <w:b/>
      <w:smallCaps/>
    </w:rPr>
  </w:style>
  <w:style w:type="paragraph" w:customStyle="1" w:styleId="TableListNumber">
    <w:name w:val="Table List Number"/>
    <w:basedOn w:val="ListNumber"/>
    <w:rsid w:val="00FF469E"/>
    <w:pPr>
      <w:numPr>
        <w:numId w:val="0"/>
      </w:numPr>
    </w:pPr>
  </w:style>
  <w:style w:type="paragraph" w:styleId="TOC4">
    <w:name w:val="toc 4"/>
    <w:basedOn w:val="TOCBase"/>
    <w:next w:val="Normal"/>
    <w:semiHidden/>
    <w:rsid w:val="00FF469E"/>
    <w:pPr>
      <w:tabs>
        <w:tab w:val="right" w:leader="dot" w:pos="9071"/>
      </w:tabs>
      <w:ind w:left="1701"/>
    </w:pPr>
  </w:style>
  <w:style w:type="paragraph" w:customStyle="1" w:styleId="ListAlpha">
    <w:name w:val="List Alpha"/>
    <w:basedOn w:val="List"/>
    <w:rsid w:val="00FF469E"/>
    <w:pPr>
      <w:numPr>
        <w:numId w:val="8"/>
      </w:numPr>
    </w:pPr>
  </w:style>
  <w:style w:type="paragraph" w:customStyle="1" w:styleId="ListAlpha2">
    <w:name w:val="List Alpha 2"/>
    <w:basedOn w:val="List2"/>
    <w:rsid w:val="00FF469E"/>
    <w:pPr>
      <w:numPr>
        <w:numId w:val="7"/>
      </w:numPr>
    </w:pPr>
  </w:style>
  <w:style w:type="paragraph" w:styleId="List3">
    <w:name w:val="List 3"/>
    <w:basedOn w:val="BodyText"/>
    <w:rsid w:val="00FF469E"/>
    <w:pPr>
      <w:tabs>
        <w:tab w:val="left" w:pos="1021"/>
      </w:tabs>
      <w:spacing w:before="60" w:after="60"/>
      <w:ind w:left="1020" w:hanging="340"/>
    </w:pPr>
  </w:style>
  <w:style w:type="paragraph" w:styleId="List4">
    <w:name w:val="List 4"/>
    <w:basedOn w:val="BodyText"/>
    <w:rsid w:val="00FF469E"/>
    <w:pPr>
      <w:tabs>
        <w:tab w:val="left" w:pos="1361"/>
      </w:tabs>
      <w:spacing w:before="60" w:after="60"/>
      <w:ind w:left="1361" w:hanging="340"/>
    </w:pPr>
  </w:style>
  <w:style w:type="paragraph" w:styleId="List5">
    <w:name w:val="List 5"/>
    <w:basedOn w:val="BodyText"/>
    <w:rsid w:val="00FF469E"/>
    <w:pPr>
      <w:tabs>
        <w:tab w:val="left" w:pos="1701"/>
      </w:tabs>
      <w:spacing w:before="60" w:after="60"/>
      <w:ind w:left="1701" w:hanging="340"/>
    </w:pPr>
  </w:style>
  <w:style w:type="paragraph" w:styleId="ListBullet3">
    <w:name w:val="List Bullet 3"/>
    <w:basedOn w:val="List3"/>
    <w:rsid w:val="00FF469E"/>
    <w:pPr>
      <w:numPr>
        <w:numId w:val="14"/>
      </w:numPr>
      <w:tabs>
        <w:tab w:val="clear" w:pos="1021"/>
      </w:tabs>
      <w:ind w:left="1037" w:hanging="357"/>
    </w:pPr>
  </w:style>
  <w:style w:type="paragraph" w:styleId="ListBullet4">
    <w:name w:val="List Bullet 4"/>
    <w:basedOn w:val="List4"/>
    <w:rsid w:val="00FF469E"/>
    <w:pPr>
      <w:numPr>
        <w:numId w:val="2"/>
      </w:numPr>
    </w:pPr>
  </w:style>
  <w:style w:type="paragraph" w:styleId="ListBullet5">
    <w:name w:val="List Bullet 5"/>
    <w:basedOn w:val="List5"/>
    <w:rsid w:val="00FF469E"/>
    <w:pPr>
      <w:numPr>
        <w:numId w:val="3"/>
      </w:numPr>
    </w:pPr>
  </w:style>
  <w:style w:type="paragraph" w:styleId="ListContinue2">
    <w:name w:val="List Continue 2"/>
    <w:basedOn w:val="List2"/>
    <w:rsid w:val="00FF469E"/>
    <w:pPr>
      <w:ind w:firstLine="0"/>
    </w:pPr>
  </w:style>
  <w:style w:type="paragraph" w:styleId="ListContinue3">
    <w:name w:val="List Continue 3"/>
    <w:basedOn w:val="List3"/>
    <w:rsid w:val="00FF469E"/>
    <w:pPr>
      <w:ind w:left="1021" w:firstLine="0"/>
    </w:pPr>
  </w:style>
  <w:style w:type="paragraph" w:styleId="ListContinue4">
    <w:name w:val="List Continue 4"/>
    <w:basedOn w:val="List4"/>
    <w:rsid w:val="00FF469E"/>
    <w:pPr>
      <w:ind w:firstLine="0"/>
    </w:pPr>
  </w:style>
  <w:style w:type="paragraph" w:styleId="ListContinue5">
    <w:name w:val="List Continue 5"/>
    <w:basedOn w:val="List5"/>
    <w:rsid w:val="00FF469E"/>
    <w:pPr>
      <w:ind w:firstLine="0"/>
    </w:pPr>
  </w:style>
  <w:style w:type="paragraph" w:styleId="ListNumber3">
    <w:name w:val="List Number 3"/>
    <w:basedOn w:val="List3"/>
    <w:rsid w:val="00FF469E"/>
    <w:pPr>
      <w:numPr>
        <w:numId w:val="4"/>
      </w:numPr>
    </w:pPr>
  </w:style>
  <w:style w:type="paragraph" w:styleId="ListNumber4">
    <w:name w:val="List Number 4"/>
    <w:basedOn w:val="List4"/>
    <w:rsid w:val="00FF469E"/>
    <w:pPr>
      <w:numPr>
        <w:numId w:val="5"/>
      </w:numPr>
    </w:pPr>
  </w:style>
  <w:style w:type="paragraph" w:styleId="ListNumber5">
    <w:name w:val="List Number 5"/>
    <w:basedOn w:val="List5"/>
    <w:rsid w:val="00FF469E"/>
    <w:pPr>
      <w:numPr>
        <w:numId w:val="6"/>
      </w:numPr>
    </w:pPr>
  </w:style>
  <w:style w:type="paragraph" w:styleId="BlockText">
    <w:name w:val="Block Text"/>
    <w:basedOn w:val="Normal"/>
    <w:rsid w:val="00FF469E"/>
    <w:pPr>
      <w:spacing w:after="120"/>
      <w:ind w:left="1440" w:right="1440"/>
    </w:pPr>
  </w:style>
  <w:style w:type="character" w:customStyle="1" w:styleId="Subscript">
    <w:name w:val="Subscript"/>
    <w:rsid w:val="00FF469E"/>
    <w:rPr>
      <w:sz w:val="16"/>
      <w:vertAlign w:val="subscript"/>
    </w:rPr>
  </w:style>
  <w:style w:type="character" w:customStyle="1" w:styleId="Superscript">
    <w:name w:val="Superscript"/>
    <w:rsid w:val="00FF469E"/>
    <w:rPr>
      <w:sz w:val="16"/>
      <w:vertAlign w:val="superscript"/>
    </w:rPr>
  </w:style>
  <w:style w:type="character" w:customStyle="1" w:styleId="Symbols">
    <w:name w:val="Symbols"/>
    <w:rsid w:val="00FF469E"/>
    <w:rPr>
      <w:rFonts w:ascii="Symbol" w:hAnsi="Symbol"/>
    </w:rPr>
  </w:style>
  <w:style w:type="character" w:customStyle="1" w:styleId="MenuOptions">
    <w:name w:val="Menu Options"/>
    <w:rsid w:val="00FF469E"/>
    <w:rPr>
      <w:rFonts w:ascii="Arial Narrow" w:hAnsi="Arial Narrow"/>
      <w:smallCaps/>
    </w:rPr>
  </w:style>
  <w:style w:type="character" w:customStyle="1" w:styleId="Buttons">
    <w:name w:val="Buttons"/>
    <w:rsid w:val="00FF469E"/>
    <w:rPr>
      <w:b/>
    </w:rPr>
  </w:style>
  <w:style w:type="character" w:customStyle="1" w:styleId="Underlined">
    <w:name w:val="Underlined"/>
    <w:rsid w:val="00FF469E"/>
    <w:rPr>
      <w:u w:val="single"/>
    </w:rPr>
  </w:style>
  <w:style w:type="paragraph" w:customStyle="1" w:styleId="TableBodyTextRight">
    <w:name w:val="Table Body Text Right"/>
    <w:basedOn w:val="TableBodyText"/>
    <w:rsid w:val="00FF469E"/>
    <w:pPr>
      <w:widowControl w:val="0"/>
      <w:autoSpaceDE w:val="0"/>
      <w:autoSpaceDN w:val="0"/>
      <w:adjustRightInd w:val="0"/>
      <w:jc w:val="right"/>
    </w:pPr>
    <w:rPr>
      <w:rFonts w:cs="Arial"/>
      <w:szCs w:val="18"/>
    </w:rPr>
  </w:style>
  <w:style w:type="paragraph" w:customStyle="1" w:styleId="CopyrightText">
    <w:name w:val="Copyright Text"/>
    <w:basedOn w:val="BodyText"/>
    <w:rsid w:val="00FF469E"/>
    <w:rPr>
      <w:sz w:val="18"/>
    </w:rPr>
  </w:style>
  <w:style w:type="paragraph" w:customStyle="1" w:styleId="BodySmallRight">
    <w:name w:val="Body Small Right"/>
    <w:basedOn w:val="BodyTextRight"/>
    <w:rsid w:val="00FF469E"/>
    <w:rPr>
      <w:sz w:val="18"/>
      <w:szCs w:val="18"/>
    </w:rPr>
  </w:style>
  <w:style w:type="paragraph" w:customStyle="1" w:styleId="MarginEdition">
    <w:name w:val="Margin Edition"/>
    <w:basedOn w:val="MarginNote"/>
    <w:rsid w:val="00FF469E"/>
    <w:pPr>
      <w:spacing w:before="0" w:after="0"/>
    </w:pPr>
    <w:rPr>
      <w:rFonts w:ascii="Times New Roman" w:hAnsi="Times New Roman"/>
      <w:color w:val="999999"/>
    </w:rPr>
  </w:style>
  <w:style w:type="paragraph" w:customStyle="1" w:styleId="Spacer">
    <w:name w:val="Spacer"/>
    <w:basedOn w:val="Normal"/>
    <w:rsid w:val="00FF469E"/>
    <w:rPr>
      <w:sz w:val="2"/>
      <w:szCs w:val="2"/>
    </w:rPr>
  </w:style>
  <w:style w:type="character" w:customStyle="1" w:styleId="Small">
    <w:name w:val="Small"/>
    <w:rsid w:val="00FF469E"/>
    <w:rPr>
      <w:sz w:val="16"/>
    </w:rPr>
  </w:style>
  <w:style w:type="paragraph" w:customStyle="1" w:styleId="WideTable">
    <w:name w:val="Wide Table"/>
    <w:basedOn w:val="Normal"/>
    <w:rsid w:val="00FF469E"/>
    <w:pPr>
      <w:ind w:left="-1418"/>
    </w:pPr>
    <w:rPr>
      <w:sz w:val="2"/>
      <w:szCs w:val="2"/>
    </w:rPr>
  </w:style>
  <w:style w:type="character" w:styleId="PageNumber">
    <w:name w:val="page number"/>
    <w:rsid w:val="00FF469E"/>
  </w:style>
  <w:style w:type="paragraph" w:styleId="Quote">
    <w:name w:val="Quote"/>
    <w:basedOn w:val="Heading1"/>
    <w:link w:val="QuoteChar"/>
    <w:qFormat/>
    <w:rsid w:val="00FF469E"/>
    <w:rPr>
      <w:b w:val="0"/>
      <w:sz w:val="72"/>
      <w:szCs w:val="72"/>
      <w:lang w:val="en-NZ"/>
    </w:rPr>
  </w:style>
  <w:style w:type="character" w:customStyle="1" w:styleId="QuoteChar">
    <w:name w:val="Quote Char"/>
    <w:link w:val="Quote"/>
    <w:rsid w:val="00FF46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69E"/>
    <w:pPr>
      <w:pageBreakBefore/>
    </w:pPr>
  </w:style>
  <w:style w:type="paragraph" w:customStyle="1" w:styleId="Border">
    <w:name w:val="Border"/>
    <w:basedOn w:val="Normal"/>
    <w:qFormat/>
    <w:rsid w:val="00FF469E"/>
    <w:pPr>
      <w:pBdr>
        <w:top w:val="single" w:sz="18" w:space="1" w:color="auto"/>
      </w:pBdr>
    </w:pPr>
    <w:rPr>
      <w:rFonts w:ascii="Times New Roman" w:hAnsi="Times New Roman"/>
      <w:color w:val="FFFFFF"/>
      <w:sz w:val="2"/>
    </w:rPr>
  </w:style>
  <w:style w:type="character" w:styleId="IntenseEmphasis">
    <w:name w:val="Intense Emphasis"/>
    <w:uiPriority w:val="21"/>
    <w:qFormat/>
    <w:rsid w:val="00FF469E"/>
    <w:rPr>
      <w:b/>
      <w:bCs/>
      <w:i/>
      <w:iCs/>
      <w:color w:val="auto"/>
    </w:rPr>
  </w:style>
  <w:style w:type="paragraph" w:styleId="IntenseQuote">
    <w:name w:val="Intense Quote"/>
    <w:basedOn w:val="Normal"/>
    <w:next w:val="Normal"/>
    <w:link w:val="IntenseQuoteChar"/>
    <w:uiPriority w:val="30"/>
    <w:qFormat/>
    <w:rsid w:val="00FF46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469E"/>
    <w:rPr>
      <w:rFonts w:ascii="Courier New" w:eastAsia="Times New Roman" w:hAnsi="Courier New" w:cs="Times New Roman"/>
      <w:b/>
      <w:bCs/>
      <w:i/>
      <w:iCs/>
      <w:szCs w:val="20"/>
      <w:lang w:val="en-US" w:eastAsia="en-US"/>
    </w:rPr>
  </w:style>
  <w:style w:type="character" w:styleId="SubtleReference">
    <w:name w:val="Subtle Reference"/>
    <w:uiPriority w:val="31"/>
    <w:qFormat/>
    <w:rsid w:val="00FF469E"/>
    <w:rPr>
      <w:smallCaps/>
      <w:color w:val="auto"/>
      <w:u w:val="single"/>
    </w:rPr>
  </w:style>
  <w:style w:type="character" w:styleId="IntenseReference">
    <w:name w:val="Intense Reference"/>
    <w:uiPriority w:val="32"/>
    <w:qFormat/>
    <w:rsid w:val="00FF469E"/>
    <w:rPr>
      <w:b/>
      <w:bCs/>
      <w:smallCaps/>
      <w:color w:val="auto"/>
      <w:spacing w:val="5"/>
      <w:u w:val="single"/>
    </w:rPr>
  </w:style>
  <w:style w:type="paragraph" w:customStyle="1" w:styleId="2ColumnHeading">
    <w:name w:val="2Column Heading"/>
    <w:basedOn w:val="BodyText"/>
    <w:qFormat/>
    <w:rsid w:val="00FF469E"/>
    <w:pPr>
      <w:spacing w:after="60"/>
      <w:ind w:left="-2268"/>
    </w:pPr>
    <w:rPr>
      <w:b/>
    </w:rPr>
  </w:style>
  <w:style w:type="paragraph" w:customStyle="1" w:styleId="Heading1TOC">
    <w:name w:val="Heading1 TOC"/>
    <w:basedOn w:val="Normal"/>
    <w:qFormat/>
    <w:rsid w:val="00FF469E"/>
    <w:pPr>
      <w:spacing w:before="240" w:after="120"/>
    </w:pPr>
    <w:rPr>
      <w:rFonts w:ascii="Times New Roman" w:hAnsi="Times New Roman"/>
      <w:b/>
      <w:sz w:val="32"/>
    </w:rPr>
  </w:style>
  <w:style w:type="paragraph" w:customStyle="1" w:styleId="Heading2TOC">
    <w:name w:val="Heading2 TOC"/>
    <w:basedOn w:val="Normal"/>
    <w:qFormat/>
    <w:rsid w:val="00FF469E"/>
    <w:pPr>
      <w:spacing w:before="240" w:after="60"/>
    </w:pPr>
    <w:rPr>
      <w:rFonts w:ascii="Times New Roman" w:hAnsi="Times New Roman"/>
      <w:b/>
      <w:sz w:val="28"/>
    </w:rPr>
  </w:style>
  <w:style w:type="character" w:customStyle="1" w:styleId="Underline">
    <w:name w:val="Underline"/>
    <w:qFormat/>
    <w:rsid w:val="00FF469E"/>
    <w:rPr>
      <w:u w:val="single"/>
    </w:rPr>
  </w:style>
  <w:style w:type="character" w:customStyle="1" w:styleId="BoldandItalics">
    <w:name w:val="Bold and Italics"/>
    <w:qFormat/>
    <w:rsid w:val="00FF469E"/>
    <w:rPr>
      <w:b/>
      <w:i/>
      <w:u w:val="none"/>
    </w:rPr>
  </w:style>
  <w:style w:type="paragraph" w:styleId="BalloonText">
    <w:name w:val="Balloon Text"/>
    <w:basedOn w:val="Normal"/>
    <w:link w:val="BalloonTextChar"/>
    <w:rsid w:val="00FF469E"/>
    <w:rPr>
      <w:rFonts w:ascii="Tahoma" w:hAnsi="Tahoma" w:cs="Tahoma"/>
      <w:sz w:val="16"/>
      <w:szCs w:val="16"/>
    </w:rPr>
  </w:style>
  <w:style w:type="character" w:customStyle="1" w:styleId="BalloonTextChar">
    <w:name w:val="Balloon Text Char"/>
    <w:link w:val="BalloonText"/>
    <w:rsid w:val="00FF46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46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46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854</Words>
  <Characters>5024</Characters>
  <Application>Microsoft Office Word</Application>
  <DocSecurity>0</DocSecurity>
  <Lines>200</Lines>
  <Paragraphs>86</Paragraphs>
  <ScaleCrop>false</ScaleCrop>
  <Company>Author-it Software Corporation Ltd.</Company>
  <LinksUpToDate>false</LinksUpToDate>
  <CharactersWithSpaces>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MEM30016A Assist in the analysis of a supply chain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2012-05-27T02:15:00Z</dcterms:created>
  <dcterms:modified xsi:type="dcterms:W3CDTF">2012-05-27T02:15:00Z</dcterms:modified>
</cp:coreProperties>
</file>