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909" w:rsidP="001A6909">
      <w:pPr>
        <w:pStyle w:val="Title"/>
      </w:pPr>
      <w:r>
        <w:fldChar w:fldCharType="begin"/>
      </w:r>
      <w:r>
        <w:instrText xml:space="preserve"> TITLE   \* MERGEFORMAT </w:instrText>
      </w:r>
      <w:r>
        <w:fldChar w:fldCharType="separate"/>
      </w:r>
      <w:r>
        <w:t>MEM30015A Develop recommendations for basic set up time improvements</w:t>
      </w:r>
      <w:r>
        <w:fldChar w:fldCharType="end"/>
      </w:r>
    </w:p>
    <w:p w:rsidR="001A6909" w:rsidP="001A6909">
      <w:pPr>
        <w:pStyle w:val="Version"/>
        <w:sectPr w:rsidSect="001A69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946" w:rsidP="001A6946">
      <w:pPr>
        <w:pStyle w:val="SuperHeading"/>
      </w:pPr>
      <w:r w:rsidRPr="001A6946">
        <w:t>MEM30015A Develop recommendations for basic set up time improvements</w:t>
      </w:r>
    </w:p>
    <w:p w:rsidR="00000000" w:rsidRPr="001A6946" w:rsidP="001A6946">
      <w:pPr>
        <w:pStyle w:val="Heading1"/>
      </w:pPr>
      <w:bookmarkStart w:id="1" w:name="O_272432"/>
      <w:bookmarkEnd w:id="1"/>
      <w:r w:rsidRPr="001A6946">
        <w:t>Modification History</w:t>
      </w:r>
    </w:p>
    <w:p w:rsidR="00000000" w:rsidRPr="001A6946" w:rsidP="001A6946">
      <w:pPr>
        <w:pStyle w:val="BodyText"/>
      </w:pPr>
      <w:r w:rsidRPr="001A6946">
        <w:t>Not Applicable</w:t>
      </w:r>
    </w:p>
    <w:p w:rsidR="00000000" w:rsidRPr="001A6946" w:rsidP="001A6946">
      <w:pPr>
        <w:pStyle w:val="AllowPageBreak"/>
      </w:pPr>
    </w:p>
    <w:p w:rsidR="00000000" w:rsidRPr="001A6946" w:rsidP="001A6946">
      <w:pPr>
        <w:pStyle w:val="Heading1"/>
      </w:pPr>
      <w:bookmarkStart w:id="2" w:name="O_213462"/>
      <w:bookmarkEnd w:id="2"/>
      <w:r w:rsidRPr="001A6946">
        <w:t>Unit Descriptor</w:t>
      </w:r>
    </w:p>
    <w:tbl>
      <w:tblPr>
        <w:tblW w:w="0" w:type="auto"/>
        <w:tblLayout w:type="fixed"/>
        <w:tblCellMar>
          <w:left w:w="62" w:type="dxa"/>
          <w:right w:w="62" w:type="dxa"/>
        </w:tblCellMar>
        <w:tblLook w:val="0000"/>
      </w:tblPr>
      <w:tblGrid>
        <w:gridCol w:w="2665"/>
        <w:gridCol w:w="5857"/>
      </w:tblGrid>
      <w:tr w:rsidTr="001A6909">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This unit covers participating in the development of improved set up procedures in</w:t>
            </w:r>
            <w:r w:rsidRPr="001A6946">
              <w:t xml:space="preserve"> manufacturing.</w:t>
            </w:r>
          </w:p>
        </w:tc>
      </w:tr>
    </w:tbl>
    <w:p w:rsidR="001A6909" w:rsidP="001A6946">
      <w:pPr>
        <w:pStyle w:val="BodyText"/>
      </w:pPr>
    </w:p>
    <w:p w:rsidR="001A6909" w:rsidP="001A6946">
      <w:pPr>
        <w:pStyle w:val="BodyText"/>
      </w:pPr>
    </w:p>
    <w:p w:rsidR="00000000" w:rsidRPr="001A6946" w:rsidP="001A6946">
      <w:pPr>
        <w:pStyle w:val="Heading1"/>
      </w:pPr>
      <w:bookmarkStart w:id="3" w:name="O_213466"/>
      <w:bookmarkEnd w:id="3"/>
      <w:r w:rsidRPr="001A6946">
        <w:t>Application of the Unit</w:t>
      </w:r>
    </w:p>
    <w:tbl>
      <w:tblPr>
        <w:tblW w:w="0" w:type="auto"/>
        <w:tblLayout w:type="fixed"/>
        <w:tblCellMar>
          <w:left w:w="62" w:type="dxa"/>
          <w:right w:w="62" w:type="dxa"/>
        </w:tblCellMar>
        <w:tblLook w:val="0000"/>
      </w:tblPr>
      <w:tblGrid>
        <w:gridCol w:w="2745"/>
        <w:gridCol w:w="5777"/>
      </w:tblGrid>
      <w:tr w:rsidTr="001A690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This unit applies to all fields of manufacturing. Work is carried out under supervision.</w:t>
            </w:r>
          </w:p>
          <w:p w:rsidR="00000000" w:rsidRPr="001A6946" w:rsidP="001A6946">
            <w:pPr>
              <w:pStyle w:val="BodyText"/>
            </w:pPr>
          </w:p>
          <w:p w:rsidR="00000000" w:rsidRPr="001A6946" w:rsidP="001A6946">
            <w:pPr>
              <w:pStyle w:val="BodyText"/>
            </w:pPr>
            <w:r w:rsidRPr="001A6946">
              <w:rPr>
                <w:rStyle w:val="SpecialBold"/>
              </w:rPr>
              <w:t>Band</w:t>
            </w:r>
            <w:r w:rsidRPr="001A6946">
              <w:t>:</w:t>
            </w:r>
            <w:r w:rsidRPr="001A6946">
              <w:tab/>
            </w:r>
            <w:r w:rsidRPr="001A6946">
              <w:rPr>
                <w:rStyle w:val="SpecialBold"/>
              </w:rPr>
              <w:t>0</w:t>
            </w:r>
          </w:p>
          <w:p w:rsidR="00000000" w:rsidRPr="001A6946" w:rsidP="001A6946">
            <w:pPr>
              <w:pStyle w:val="BodyText"/>
            </w:pPr>
            <w:r w:rsidRPr="001A6946">
              <w:rPr>
                <w:rStyle w:val="SpecialBold"/>
              </w:rPr>
              <w:t>Unit Weight</w:t>
            </w:r>
            <w:r w:rsidRPr="001A6946">
              <w:t>:</w:t>
            </w:r>
            <w:r w:rsidRPr="001A6946">
              <w:tab/>
            </w:r>
            <w:r w:rsidRPr="001A6946">
              <w:rPr>
                <w:rStyle w:val="SpecialBold"/>
              </w:rPr>
              <w:t>0</w:t>
            </w:r>
          </w:p>
        </w:tc>
      </w:tr>
    </w:tbl>
    <w:p w:rsidR="001A6909" w:rsidP="001A6946">
      <w:pPr>
        <w:pStyle w:val="BodyText"/>
      </w:pPr>
    </w:p>
    <w:p w:rsidR="001A6909" w:rsidP="001A6946">
      <w:pPr>
        <w:pStyle w:val="BodyText"/>
      </w:pPr>
    </w:p>
    <w:p w:rsidR="00000000" w:rsidRPr="001A6946" w:rsidP="001A6946">
      <w:pPr>
        <w:pStyle w:val="Heading1"/>
      </w:pPr>
      <w:bookmarkStart w:id="4" w:name="O_280692"/>
      <w:bookmarkEnd w:id="4"/>
      <w:r w:rsidRPr="001A6946">
        <w:t>Licensing/Regulatory Information</w:t>
      </w:r>
    </w:p>
    <w:p w:rsidR="00000000" w:rsidRPr="001A6946" w:rsidP="001A6946">
      <w:pPr>
        <w:pStyle w:val="BodyText"/>
      </w:pPr>
      <w:r w:rsidRPr="001A6946">
        <w:t>Not Applicable</w:t>
      </w:r>
    </w:p>
    <w:p w:rsidR="00000000" w:rsidRPr="001A6946" w:rsidP="001A6946">
      <w:pPr>
        <w:pStyle w:val="AllowPageBreak"/>
      </w:pPr>
    </w:p>
    <w:p w:rsidR="00000000" w:rsidRPr="001A6946" w:rsidP="001A6946">
      <w:pPr>
        <w:pStyle w:val="Heading1"/>
      </w:pPr>
      <w:bookmarkStart w:id="5" w:name="O_213464"/>
      <w:bookmarkEnd w:id="5"/>
      <w:r w:rsidRPr="001A6946">
        <w:t>Pre-Requisites</w:t>
      </w:r>
    </w:p>
    <w:tbl>
      <w:tblPr>
        <w:tblW w:w="0" w:type="auto"/>
        <w:tblLayout w:type="fixed"/>
        <w:tblCellMar>
          <w:left w:w="62" w:type="dxa"/>
          <w:right w:w="62" w:type="dxa"/>
        </w:tblCellMar>
        <w:tblLook w:val="0000"/>
      </w:tblPr>
      <w:tblGrid>
        <w:gridCol w:w="2775"/>
        <w:gridCol w:w="1295"/>
        <w:gridCol w:w="4452"/>
      </w:tblGrid>
      <w:tr w:rsidTr="001A69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p>
        </w:tc>
      </w:tr>
      <w:tr w:rsidTr="001A69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p>
        </w:tc>
      </w:tr>
      <w:tr w:rsidTr="001A69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p>
        </w:tc>
      </w:tr>
    </w:tbl>
    <w:p w:rsidR="001A6909" w:rsidP="001A6946">
      <w:pPr>
        <w:pStyle w:val="BodyText"/>
      </w:pPr>
    </w:p>
    <w:p w:rsidR="001A6909" w:rsidP="001A6946">
      <w:pPr>
        <w:pStyle w:val="BodyText"/>
      </w:pPr>
    </w:p>
    <w:p w:rsidR="00000000" w:rsidRPr="001A6946" w:rsidP="001A6946">
      <w:pPr>
        <w:pStyle w:val="Heading1"/>
      </w:pPr>
      <w:bookmarkStart w:id="6" w:name="O_213463"/>
      <w:bookmarkEnd w:id="6"/>
      <w:r w:rsidRPr="001A6946">
        <w:t>Employability Skills Information</w:t>
      </w:r>
    </w:p>
    <w:tbl>
      <w:tblPr>
        <w:tblW w:w="0" w:type="auto"/>
        <w:tblLayout w:type="fixed"/>
        <w:tblCellMar>
          <w:left w:w="62" w:type="dxa"/>
          <w:right w:w="62" w:type="dxa"/>
        </w:tblCellMar>
        <w:tblLook w:val="0000"/>
      </w:tblPr>
      <w:tblGrid>
        <w:gridCol w:w="2802"/>
        <w:gridCol w:w="5720"/>
      </w:tblGrid>
      <w:tr w:rsidTr="001A69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This unit contains employability skills.</w:t>
            </w:r>
          </w:p>
        </w:tc>
      </w:tr>
    </w:tbl>
    <w:p w:rsidR="001A6909" w:rsidP="001A6946">
      <w:pPr>
        <w:pStyle w:val="BodyText"/>
      </w:pPr>
    </w:p>
    <w:p w:rsidR="001A6909" w:rsidP="001A6946">
      <w:pPr>
        <w:pStyle w:val="BodyText"/>
      </w:pPr>
    </w:p>
    <w:p w:rsidR="00000000" w:rsidRPr="001A6946" w:rsidP="001A6946">
      <w:pPr>
        <w:pStyle w:val="Heading1"/>
      </w:pPr>
      <w:bookmarkStart w:id="7" w:name="O_290478"/>
      <w:bookmarkEnd w:id="7"/>
      <w:r w:rsidRPr="001A6946">
        <w:t>Elements and Performance Criteria Pre-Content</w:t>
      </w:r>
    </w:p>
    <w:tbl>
      <w:tblPr>
        <w:tblW w:w="0" w:type="auto"/>
        <w:tblLayout w:type="fixed"/>
        <w:tblCellMar>
          <w:left w:w="62" w:type="dxa"/>
          <w:right w:w="62" w:type="dxa"/>
        </w:tblCellMar>
        <w:tblLook w:val="0000"/>
      </w:tblPr>
      <w:tblGrid>
        <w:gridCol w:w="2622"/>
        <w:gridCol w:w="5900"/>
      </w:tblGrid>
      <w:tr w:rsidTr="001A6909">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t>Elements describe the essential outcomes of a unit of competency.</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Performance criteria describe the performance needed to demonstrate achievement of the element. Where bold italicised text is used, further information is detailed in the required skills an</w:t>
            </w:r>
            <w:r w:rsidRPr="001A6946">
              <w:t>d knowledge section and the range statement. Assessment of performance is to be consistent with the evidence guide.</w:t>
            </w:r>
          </w:p>
        </w:tc>
      </w:tr>
    </w:tbl>
    <w:p w:rsidR="00000000" w:rsidRPr="001A6946" w:rsidP="001A6946">
      <w:pPr>
        <w:pStyle w:val="BodyText"/>
      </w:pPr>
    </w:p>
    <w:p w:rsidR="00000000" w:rsidRPr="001A6946" w:rsidP="001A6946">
      <w:pPr>
        <w:pStyle w:val="AllowPageBreak"/>
      </w:pPr>
    </w:p>
    <w:p w:rsidR="00000000" w:rsidRPr="001A6946" w:rsidP="001A6946">
      <w:pPr>
        <w:pStyle w:val="Heading1"/>
      </w:pPr>
      <w:bookmarkStart w:id="8" w:name="O_237145"/>
      <w:bookmarkEnd w:id="8"/>
      <w:r w:rsidRPr="001A6946">
        <w:t>Elements and Performance Criteria</w:t>
      </w:r>
    </w:p>
    <w:tbl>
      <w:tblPr>
        <w:tblW w:w="0" w:type="auto"/>
        <w:tblLayout w:type="fixed"/>
        <w:tblCellMar>
          <w:left w:w="62" w:type="dxa"/>
          <w:right w:w="62" w:type="dxa"/>
        </w:tblCellMar>
        <w:tblLook w:val="0000"/>
      </w:tblPr>
      <w:tblGrid>
        <w:gridCol w:w="2622"/>
        <w:gridCol w:w="5900"/>
      </w:tblGrid>
      <w:tr w:rsidTr="001A6909">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rPr>
                <w:rStyle w:val="SpecialBold"/>
              </w:rPr>
              <w:t>ELEMENT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PERFORMANCE CRITERIA</w:t>
            </w:r>
          </w:p>
        </w:tc>
      </w:tr>
      <w:tr w:rsidTr="001A6909">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List"/>
              <w:rPr>
                <w:lang w:val="en-NZ"/>
              </w:rPr>
            </w:pPr>
            <w:r w:rsidRPr="001A6946">
              <w:t>1.</w:t>
            </w:r>
            <w:r w:rsidRPr="001A6946">
              <w:tab/>
              <w:t>Identify existing set up procedures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List2"/>
            </w:pPr>
            <w:r w:rsidRPr="001A6946">
              <w:t>1.1.</w:t>
            </w:r>
            <w:r w:rsidRPr="001A6946">
              <w:tab/>
            </w:r>
            <w:r w:rsidRPr="001A6946">
              <w:t>Internal and external set up activities are identified and recorded.</w:t>
            </w:r>
          </w:p>
          <w:p w:rsidR="00000000" w:rsidRPr="001A6946" w:rsidP="001A6946">
            <w:pPr>
              <w:pStyle w:val="List2"/>
            </w:pPr>
            <w:r w:rsidRPr="001A6946">
              <w:t>1.2.</w:t>
            </w:r>
            <w:r w:rsidRPr="001A6946">
              <w:tab/>
              <w:t>All waiting time is identified and recorded.</w:t>
            </w:r>
          </w:p>
          <w:p w:rsidR="00000000" w:rsidRPr="001A6946" w:rsidP="001A6946">
            <w:pPr>
              <w:pStyle w:val="List2"/>
            </w:pPr>
            <w:r w:rsidRPr="001A6946">
              <w:t>1.3.</w:t>
            </w:r>
            <w:r w:rsidRPr="001A6946">
              <w:tab/>
              <w:t>All adjustment times are identified and recorded.</w:t>
            </w:r>
          </w:p>
          <w:p w:rsidR="00000000" w:rsidP="001A6946">
            <w:pPr>
              <w:pStyle w:val="List2"/>
              <w:rPr>
                <w:lang w:val="en-NZ"/>
              </w:rPr>
            </w:pPr>
            <w:r w:rsidRPr="001A6946">
              <w:t>1.4.</w:t>
            </w:r>
            <w:r w:rsidRPr="001A6946">
              <w:tab/>
              <w:t>Any hazards and risks from all steps in the set up are identified and recorde</w:t>
            </w:r>
            <w:r w:rsidRPr="001A6946">
              <w:t>d.</w:t>
            </w:r>
          </w:p>
        </w:tc>
      </w:tr>
      <w:tr w:rsidTr="001A6909">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List"/>
              <w:rPr>
                <w:lang w:val="en-NZ"/>
              </w:rPr>
            </w:pPr>
            <w:r w:rsidRPr="001A6946">
              <w:t>2.</w:t>
            </w:r>
            <w:r w:rsidRPr="001A6946">
              <w:tab/>
              <w:t>Analyse set up procedures to determine opportunities for improvement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List2"/>
            </w:pPr>
            <w:r w:rsidRPr="001A6946">
              <w:t>2.1.</w:t>
            </w:r>
            <w:r w:rsidRPr="001A6946">
              <w:tab/>
              <w:t>Opportunities for conversion of internal set up activities to external set up are considered.</w:t>
            </w:r>
          </w:p>
          <w:p w:rsidR="00000000" w:rsidP="001A6946">
            <w:pPr>
              <w:pStyle w:val="List2"/>
              <w:rPr>
                <w:lang w:val="en-NZ"/>
              </w:rPr>
            </w:pPr>
            <w:r w:rsidRPr="001A6946">
              <w:t>2.2.</w:t>
            </w:r>
            <w:r w:rsidRPr="001A6946">
              <w:tab/>
            </w:r>
            <w:r w:rsidRPr="001A6946">
              <w:t>Opportunities to reduce/eliminate adjustment times, waiting times and any hazards and risks are considered.</w:t>
            </w:r>
          </w:p>
        </w:tc>
      </w:tr>
      <w:tr w:rsidTr="001A6909">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List"/>
              <w:rPr>
                <w:lang w:val="en-NZ"/>
              </w:rPr>
            </w:pPr>
            <w:r w:rsidRPr="001A6946">
              <w:t>3.</w:t>
            </w:r>
            <w:r w:rsidRPr="001A6946">
              <w:tab/>
              <w:t xml:space="preserve">Prepare recommendations for operational improvement </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List2"/>
            </w:pPr>
            <w:r w:rsidRPr="001A6946">
              <w:t>3.1.</w:t>
            </w:r>
            <w:r w:rsidRPr="001A6946">
              <w:tab/>
              <w:t>Liaise with relevant people to validate recommendations.</w:t>
            </w:r>
          </w:p>
          <w:p w:rsidR="00000000" w:rsidRPr="001A6946" w:rsidP="001A6946">
            <w:pPr>
              <w:pStyle w:val="List2"/>
            </w:pPr>
            <w:r w:rsidRPr="001A6946">
              <w:t>3.2.</w:t>
            </w:r>
            <w:r w:rsidRPr="001A6946">
              <w:tab/>
              <w:t>Recommended improvements</w:t>
            </w:r>
            <w:r w:rsidRPr="001A6946">
              <w:t xml:space="preserve"> are recorded.</w:t>
            </w:r>
          </w:p>
        </w:tc>
      </w:tr>
    </w:tbl>
    <w:p w:rsidR="001A6909" w:rsidP="001A6946">
      <w:pPr>
        <w:pStyle w:val="BodyText"/>
      </w:pPr>
    </w:p>
    <w:p w:rsidR="001A6909" w:rsidP="001A6946">
      <w:pPr>
        <w:pStyle w:val="BodyText"/>
      </w:pPr>
    </w:p>
    <w:p w:rsidR="00000000" w:rsidRPr="001A6946" w:rsidP="001A6946">
      <w:pPr>
        <w:pStyle w:val="Heading1"/>
      </w:pPr>
      <w:bookmarkStart w:id="9" w:name="O_261095"/>
      <w:bookmarkEnd w:id="9"/>
      <w:r w:rsidRPr="001A6946">
        <w:t>Required Skills and Knowledge</w:t>
      </w:r>
    </w:p>
    <w:tbl>
      <w:tblPr>
        <w:tblW w:w="0" w:type="auto"/>
        <w:tblLayout w:type="fixed"/>
        <w:tblCellMar>
          <w:left w:w="62" w:type="dxa"/>
          <w:right w:w="62" w:type="dxa"/>
        </w:tblCellMar>
        <w:tblLook w:val="0000"/>
      </w:tblPr>
      <w:tblGrid>
        <w:gridCol w:w="8522"/>
      </w:tblGrid>
      <w:tr w:rsidTr="001A69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REQUIRED SKILLS AND KNOWLEDGE</w:t>
            </w:r>
          </w:p>
        </w:tc>
      </w:tr>
      <w:tr w:rsidTr="001A69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t>This section describes the skills and knowledge required for this unit.</w:t>
            </w:r>
          </w:p>
        </w:tc>
      </w:tr>
      <w:tr w:rsidTr="001A69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Required skills</w:t>
            </w:r>
          </w:p>
        </w:tc>
      </w:tr>
      <w:tr w:rsidTr="001A69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Look for evidence that confirms skills in:</w:t>
            </w:r>
          </w:p>
          <w:p w:rsidR="00000000" w:rsidRPr="001A6946" w:rsidP="001A6946">
            <w:pPr>
              <w:pStyle w:val="ListBullet"/>
            </w:pPr>
            <w:r w:rsidRPr="001A6946">
              <w:t>communicating, including preparing reports</w:t>
            </w:r>
          </w:p>
          <w:p w:rsidR="00000000" w:rsidRPr="001A6946" w:rsidP="001A6946">
            <w:pPr>
              <w:pStyle w:val="ListBullet"/>
            </w:pPr>
            <w:r w:rsidRPr="001A6946">
              <w:t>analysing hazards</w:t>
            </w:r>
          </w:p>
          <w:p w:rsidR="00000000" w:rsidP="001A6946">
            <w:pPr>
              <w:pStyle w:val="ListBullet"/>
              <w:rPr>
                <w:lang w:val="en-NZ"/>
              </w:rPr>
            </w:pPr>
            <w:r w:rsidRPr="001A6946">
              <w:t>reading, interpreting and following information on written job instructions, specifications, standard operating procedures and other applicable reference documents</w:t>
            </w:r>
          </w:p>
        </w:tc>
      </w:tr>
      <w:tr w:rsidTr="001A69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Required knowledge</w:t>
            </w:r>
          </w:p>
        </w:tc>
      </w:tr>
      <w:tr w:rsidTr="001A69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Look for e</w:t>
            </w:r>
            <w:r w:rsidRPr="001A6946">
              <w:t>vidence that confirms knowledge of:</w:t>
            </w:r>
          </w:p>
          <w:p w:rsidR="00000000" w:rsidRPr="001A6946" w:rsidP="001A6946">
            <w:pPr>
              <w:pStyle w:val="ListBullet"/>
            </w:pPr>
            <w:r w:rsidRPr="001A6946">
              <w:t>principles of set up time reduction including:</w:t>
            </w:r>
          </w:p>
          <w:p w:rsidR="00000000" w:rsidRPr="001A6946" w:rsidP="001A6946">
            <w:pPr>
              <w:pStyle w:val="ListBullet2"/>
            </w:pPr>
            <w:r w:rsidRPr="001A6946">
              <w:t>internal and external set up activities</w:t>
            </w:r>
          </w:p>
          <w:p w:rsidR="00000000" w:rsidRPr="001A6946" w:rsidP="001A6946">
            <w:pPr>
              <w:pStyle w:val="ListBullet2"/>
            </w:pPr>
            <w:r w:rsidRPr="001A6946">
              <w:t xml:space="preserve">waiting time </w:t>
            </w:r>
          </w:p>
          <w:p w:rsidR="00000000" w:rsidRPr="001A6946" w:rsidP="001A6946">
            <w:pPr>
              <w:pStyle w:val="ListBullet2"/>
            </w:pPr>
            <w:r w:rsidRPr="001A6946">
              <w:t>adjustment times</w:t>
            </w:r>
          </w:p>
          <w:p w:rsidR="00000000" w:rsidRPr="001A6946" w:rsidP="001A6946">
            <w:pPr>
              <w:pStyle w:val="ListBullet2"/>
            </w:pPr>
            <w:r w:rsidRPr="001A6946">
              <w:t>set up hazards and risks</w:t>
            </w:r>
          </w:p>
          <w:p w:rsidR="00000000" w:rsidRPr="001A6946" w:rsidP="001A6946">
            <w:pPr>
              <w:pStyle w:val="ListBullet"/>
            </w:pPr>
            <w:r w:rsidRPr="001A6946">
              <w:t>planning and sequencing operations:</w:t>
            </w:r>
          </w:p>
          <w:p w:rsidR="00000000" w:rsidRPr="001A6946" w:rsidP="001A6946">
            <w:pPr>
              <w:pStyle w:val="ListBullet2"/>
            </w:pPr>
            <w:r w:rsidRPr="001A6946">
              <w:t>application of ergonomic princip</w:t>
            </w:r>
            <w:r w:rsidRPr="001A6946">
              <w:t>les and hierarchy of control in regard to hazards</w:t>
            </w:r>
          </w:p>
          <w:p w:rsidR="00000000" w:rsidRPr="001A6946" w:rsidP="001A6946">
            <w:pPr>
              <w:pStyle w:val="ListBullet2"/>
            </w:pPr>
            <w:r w:rsidRPr="001A6946">
              <w:t>hazards and control measures associated with developing recommendations for basic set up time improvements, including housekeeping</w:t>
            </w:r>
          </w:p>
          <w:p w:rsidR="00000000" w:rsidRPr="001A6946" w:rsidP="001A6946">
            <w:pPr>
              <w:pStyle w:val="ListBullet2"/>
            </w:pPr>
            <w:r w:rsidRPr="001A6946">
              <w:t>safe work practices and procedures</w:t>
            </w:r>
          </w:p>
        </w:tc>
      </w:tr>
    </w:tbl>
    <w:p w:rsidR="001A6909" w:rsidP="001A6946">
      <w:pPr>
        <w:pStyle w:val="BodyText"/>
      </w:pPr>
    </w:p>
    <w:p w:rsidR="001A6909" w:rsidP="001A6946">
      <w:pPr>
        <w:pStyle w:val="BodyText"/>
      </w:pPr>
    </w:p>
    <w:p w:rsidR="00000000" w:rsidRPr="001A6946" w:rsidP="001A6946">
      <w:pPr>
        <w:pStyle w:val="AllowPageBreak"/>
      </w:pPr>
    </w:p>
    <w:p w:rsidR="00000000" w:rsidRPr="001A6946" w:rsidP="001A6946">
      <w:pPr>
        <w:pStyle w:val="Heading1"/>
      </w:pPr>
      <w:bookmarkStart w:id="10" w:name="O_245129"/>
      <w:bookmarkEnd w:id="10"/>
      <w:r w:rsidRPr="001A6946">
        <w:t>Evidence Guide</w:t>
      </w:r>
    </w:p>
    <w:tbl>
      <w:tblPr>
        <w:tblW w:w="9570" w:type="dxa"/>
        <w:tblLayout w:type="fixed"/>
        <w:tblCellMar>
          <w:left w:w="62" w:type="dxa"/>
          <w:right w:w="62" w:type="dxa"/>
        </w:tblCellMar>
        <w:tblLook w:val="0000"/>
      </w:tblPr>
      <w:tblGrid>
        <w:gridCol w:w="3908"/>
        <w:gridCol w:w="5662"/>
      </w:tblGrid>
      <w:tr w:rsidTr="001A69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EVIDENCE GUIDE</w:t>
            </w:r>
          </w:p>
        </w:tc>
      </w:tr>
      <w:tr w:rsidTr="001A69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t>The evidence guide provides advice on assessment and must be read in conjunction with the performance criteria, required skills and knowledge, range statement and the Assessment Guidelines for the Training Package.</w:t>
            </w:r>
          </w:p>
        </w:tc>
      </w:tr>
      <w:tr w:rsidTr="001A6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t xml:space="preserve">A person who demonstrates competency in this unit must be able to develop recommendations for basic set up time improvements. </w:t>
            </w:r>
          </w:p>
        </w:tc>
      </w:tr>
      <w:tr w:rsidTr="001A6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t>Assessors mu</w:t>
            </w:r>
            <w:r w:rsidRPr="001A6946">
              <w:t>st be satisfied that the candidate can competently and consistently perform all elements of the unit as specified by the criteria, including required knowledge, and be capable of applying the competency in new and different situations and contexts.</w:t>
            </w:r>
          </w:p>
        </w:tc>
      </w:tr>
      <w:tr w:rsidTr="001A6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This unit may be assessed on the job, off the job or a combination of both on and off the job. Where assessment occurs off the job, that is the candidate is not in productive work, then an appropriate simula</w:t>
            </w:r>
            <w:r w:rsidRPr="001A6946">
              <w:t>tion must be used where the range of conditions reflects realistic workplace situations. The competencies covered by this unit would be demonstrated by an individual working alone or as part of a team. The assessment environment should not disadvantage the</w:t>
            </w:r>
            <w:r w:rsidRPr="001A6946">
              <w:t xml:space="preserve"> candidate.</w:t>
            </w:r>
          </w:p>
          <w:p w:rsidR="00000000" w:rsidP="001A6946">
            <w:pPr>
              <w:pStyle w:val="BodyText"/>
              <w:rPr>
                <w:lang w:val="en-NZ"/>
              </w:rPr>
            </w:pPr>
            <w:r w:rsidRPr="001A6946">
              <w:t>This unit could be assessed in conjunction with any other units addressing the safety, quality, communication, materials handling, recording and reporting associated with developing recommendations for basic set up time improvements, or other u</w:t>
            </w:r>
            <w:r w:rsidRPr="001A6946">
              <w:t>nits requiring the exercise of the skills and knowledge covered by this unit.</w:t>
            </w:r>
          </w:p>
        </w:tc>
      </w:tr>
      <w:tr w:rsidTr="001A6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t>Assessors should gather a range of evidence that is valid, sufficient, current and authentic. Evidence can be gathered through a variety of ways including d</w:t>
            </w:r>
            <w:r w:rsidRPr="001A6946">
              <w:t xml:space="preserve">irect observation, supervisor's reports, project work, samples and questioning. Questioning techniques should not require language, literacy and numeracy skills beyond those required in this unit of competency. The candidate must have access to all tools, </w:t>
            </w:r>
            <w:r w:rsidRPr="001A6946">
              <w:t>equipment, materials and documentation required. The candidate must be permitted to refer to any relevant workplace procedures, product and manufacturing specifications, codes, standards, manuals and reference materials.</w:t>
            </w:r>
          </w:p>
        </w:tc>
      </w:tr>
      <w:tr w:rsidTr="001A6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Guidance information for assessmen</w:t>
            </w:r>
            <w:r w:rsidRPr="001A6946">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p>
        </w:tc>
      </w:tr>
    </w:tbl>
    <w:p w:rsidR="001A6909" w:rsidP="001A6946">
      <w:pPr>
        <w:pStyle w:val="BodyText"/>
      </w:pPr>
    </w:p>
    <w:p w:rsidR="001A6909" w:rsidP="001A6946">
      <w:pPr>
        <w:pStyle w:val="BodyText"/>
      </w:pPr>
    </w:p>
    <w:p w:rsidR="00000000" w:rsidRPr="001A6946" w:rsidP="001A6946">
      <w:pPr>
        <w:pStyle w:val="Heading1"/>
      </w:pPr>
      <w:bookmarkStart w:id="11" w:name="O_253112"/>
      <w:bookmarkEnd w:id="11"/>
      <w:r w:rsidRPr="001A6946">
        <w:t>Range Statement</w:t>
      </w:r>
    </w:p>
    <w:tbl>
      <w:tblPr>
        <w:tblW w:w="0" w:type="auto"/>
        <w:tblLayout w:type="fixed"/>
        <w:tblCellMar>
          <w:left w:w="62" w:type="dxa"/>
          <w:right w:w="62" w:type="dxa"/>
        </w:tblCellMar>
        <w:tblLook w:val="0000"/>
      </w:tblPr>
      <w:tblGrid>
        <w:gridCol w:w="3478"/>
        <w:gridCol w:w="5044"/>
      </w:tblGrid>
      <w:tr w:rsidTr="001A69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RANGE STATEMENT</w:t>
            </w:r>
          </w:p>
        </w:tc>
      </w:tr>
      <w:tr w:rsidTr="001A69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t xml:space="preserve">The range statement relates to the unit of competency as a whole. It allows for different work environments and situations that may affect </w:t>
            </w:r>
            <w:r w:rsidRPr="001A6946">
              <w:t>performance. Bold italicised wording, if used in the performance criteria, is detailed below. Essential operating conditions that may be present with training and assessment (depending on the work situation, needs of the candidate, accessibility of the ite</w:t>
            </w:r>
            <w:r w:rsidRPr="001A6946">
              <w:t>m, and local industry and regional contexts) may also be included.</w:t>
            </w:r>
          </w:p>
        </w:tc>
      </w:tr>
      <w:tr w:rsidTr="001A690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Set up procedures</w:t>
            </w:r>
            <w:r w:rsidRPr="001A6946">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May refer to:</w:t>
            </w:r>
          </w:p>
          <w:p w:rsidR="00000000" w:rsidRPr="001A6946" w:rsidP="001A6946">
            <w:pPr>
              <w:pStyle w:val="ListBullet"/>
            </w:pPr>
            <w:r w:rsidRPr="001A6946">
              <w:t>an exchange of dies/tools or a change between batches</w:t>
            </w:r>
          </w:p>
          <w:p w:rsidR="00000000" w:rsidP="001A6946">
            <w:pPr>
              <w:pStyle w:val="ListBullet"/>
              <w:rPr>
                <w:lang w:val="en-NZ"/>
              </w:rPr>
            </w:pPr>
            <w:r w:rsidRPr="001A6946">
              <w:t>any quantum equipment/process change to produce a different product</w:t>
            </w:r>
          </w:p>
        </w:tc>
      </w:tr>
      <w:tr w:rsidTr="001A690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Internal and external set up activities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ListBullet"/>
            </w:pPr>
            <w:r w:rsidRPr="001A6946">
              <w:t>Internal set up activities are those that can be done only when the machine or process is not actively engaged in production</w:t>
            </w:r>
          </w:p>
          <w:p w:rsidR="00000000" w:rsidP="001A6946">
            <w:pPr>
              <w:pStyle w:val="ListBullet"/>
              <w:rPr>
                <w:lang w:val="en-NZ"/>
              </w:rPr>
            </w:pPr>
            <w:r w:rsidRPr="001A6946">
              <w:t>External set up activities are those that can be done concurrently when the machine or pro</w:t>
            </w:r>
            <w:r w:rsidRPr="001A6946">
              <w:t>cess is actively engaged in production</w:t>
            </w:r>
          </w:p>
        </w:tc>
      </w:tr>
      <w:tr w:rsidTr="001A690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Waiting time</w:t>
            </w:r>
            <w:r w:rsidRPr="001A6946">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Includes clean up activities, waiting for tools, waiting for materials, waiting for instructions, waiting for approvals, operator training etc.</w:t>
            </w:r>
          </w:p>
        </w:tc>
      </w:tr>
    </w:tbl>
    <w:p w:rsidR="001A6909" w:rsidP="001A6946">
      <w:pPr>
        <w:pStyle w:val="BodyText"/>
      </w:pPr>
    </w:p>
    <w:p w:rsidR="001A6909" w:rsidP="001A6946">
      <w:pPr>
        <w:pStyle w:val="BodyText"/>
      </w:pPr>
    </w:p>
    <w:p w:rsidR="00000000" w:rsidRPr="001A6946" w:rsidP="001A6946">
      <w:pPr>
        <w:pStyle w:val="Heading1"/>
      </w:pPr>
      <w:bookmarkStart w:id="12" w:name="O_213468"/>
      <w:bookmarkEnd w:id="12"/>
      <w:r w:rsidRPr="001A6946">
        <w:t>Unit Sector(s)</w:t>
      </w:r>
    </w:p>
    <w:tbl>
      <w:tblPr>
        <w:tblW w:w="0" w:type="auto"/>
        <w:tblLayout w:type="fixed"/>
        <w:tblCellMar>
          <w:left w:w="62" w:type="dxa"/>
          <w:right w:w="62" w:type="dxa"/>
        </w:tblCellMar>
        <w:tblLook w:val="0000"/>
      </w:tblPr>
      <w:tblGrid>
        <w:gridCol w:w="2654"/>
        <w:gridCol w:w="5868"/>
      </w:tblGrid>
      <w:tr w:rsidTr="001A690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p>
        </w:tc>
      </w:tr>
    </w:tbl>
    <w:p w:rsidR="001A6909" w:rsidP="001A6946">
      <w:pPr>
        <w:pStyle w:val="BodyText"/>
      </w:pPr>
    </w:p>
    <w:p w:rsidR="001A6909" w:rsidP="001A6946">
      <w:pPr>
        <w:pStyle w:val="BodyText"/>
      </w:pPr>
    </w:p>
    <w:p w:rsidR="00000000" w:rsidRPr="001A6946" w:rsidP="001A6946">
      <w:pPr>
        <w:pStyle w:val="Heading1"/>
      </w:pPr>
      <w:bookmarkStart w:id="13" w:name="O_213465"/>
      <w:bookmarkEnd w:id="13"/>
      <w:r w:rsidRPr="001A6946">
        <w:t>Co-requisite units</w:t>
      </w:r>
    </w:p>
    <w:tbl>
      <w:tblPr>
        <w:tblW w:w="0" w:type="auto"/>
        <w:tblLayout w:type="fixed"/>
        <w:tblCellMar>
          <w:left w:w="62" w:type="dxa"/>
          <w:right w:w="62" w:type="dxa"/>
        </w:tblCellMar>
        <w:tblLook w:val="0000"/>
      </w:tblPr>
      <w:tblGrid>
        <w:gridCol w:w="2641"/>
        <w:gridCol w:w="1322"/>
        <w:gridCol w:w="4559"/>
      </w:tblGrid>
      <w:tr w:rsidTr="001A69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p>
        </w:tc>
      </w:tr>
      <w:tr w:rsidTr="001A69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p>
        </w:tc>
      </w:tr>
      <w:tr w:rsidTr="001A69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p>
        </w:tc>
      </w:tr>
    </w:tbl>
    <w:p w:rsidR="001A6909" w:rsidP="001A6946">
      <w:pPr>
        <w:pStyle w:val="BodyText"/>
      </w:pPr>
    </w:p>
    <w:p w:rsidR="001A6909" w:rsidP="001A6946">
      <w:pPr>
        <w:pStyle w:val="BodyText"/>
      </w:pPr>
    </w:p>
    <w:p w:rsidR="00000000" w:rsidRPr="001A6946" w:rsidP="001A6946">
      <w:pPr>
        <w:pStyle w:val="Heading1"/>
      </w:pPr>
      <w:bookmarkStart w:id="14" w:name="O_213467"/>
      <w:bookmarkEnd w:id="14"/>
      <w:r w:rsidRPr="001A6946">
        <w:t>Competency field</w:t>
      </w:r>
    </w:p>
    <w:tbl>
      <w:tblPr>
        <w:tblW w:w="0" w:type="auto"/>
        <w:tblLayout w:type="fixed"/>
        <w:tblCellMar>
          <w:left w:w="62" w:type="dxa"/>
          <w:right w:w="62" w:type="dxa"/>
        </w:tblCellMar>
        <w:tblLook w:val="0000"/>
      </w:tblPr>
      <w:tblGrid>
        <w:gridCol w:w="2775"/>
        <w:gridCol w:w="5747"/>
      </w:tblGrid>
      <w:tr w:rsidTr="001A69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46">
            <w:pPr>
              <w:pStyle w:val="BodyText"/>
              <w:rPr>
                <w:lang w:val="en-NZ"/>
              </w:rPr>
            </w:pPr>
            <w:r w:rsidRPr="001A694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46" w:rsidP="001A6946">
            <w:pPr>
              <w:pStyle w:val="BodyText"/>
            </w:pPr>
            <w:r w:rsidRPr="001A6946">
              <w:t>Engineering technician</w:t>
            </w:r>
          </w:p>
        </w:tc>
      </w:tr>
    </w:tbl>
    <w:p w:rsidR="001A6909" w:rsidP="001A6946">
      <w:pPr>
        <w:pStyle w:val="BodyText"/>
      </w:pPr>
    </w:p>
    <w:p w:rsidR="001A6909" w:rsidP="001A6946">
      <w:pPr>
        <w:pStyle w:val="BodyText"/>
      </w:pPr>
    </w:p>
    <w:p w:rsidR="00000000" w:rsidRPr="001A6946" w:rsidP="001A6946"/>
    <w:sectPr w:rsidSect="001A69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909" w:rsidP="001A6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09" w:rsidP="001A6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6909" w:rsidP="001A69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6909" w:rsidP="001A69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909" w:rsidP="001A69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09" w:rsidP="001A6946">
    <w:pPr>
      <w:pStyle w:val="Header"/>
      <w:framePr w:wrap="around"/>
    </w:pPr>
    <w:r>
      <w:fldChar w:fldCharType="begin"/>
    </w:r>
    <w:r>
      <w:instrText xml:space="preserve"> TITLE   \* MERGEFORMAT </w:instrText>
    </w:r>
    <w:r>
      <w:fldChar w:fldCharType="separate"/>
    </w:r>
    <w:r>
      <w:t>MEM30015A Develop recommendations for basic set up time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6909" w:rsidP="001A69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EA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D0E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EB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9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6946"/>
    <w:pPr>
      <w:spacing w:before="360" w:after="60"/>
      <w:outlineLvl w:val="0"/>
    </w:pPr>
    <w:rPr>
      <w:sz w:val="32"/>
    </w:rPr>
  </w:style>
  <w:style w:type="paragraph" w:styleId="Heading2">
    <w:name w:val="heading 2"/>
    <w:basedOn w:val="HeadingBase"/>
    <w:next w:val="BodyText"/>
    <w:link w:val="Heading2Char"/>
    <w:qFormat/>
    <w:rsid w:val="001A6946"/>
    <w:pPr>
      <w:keepLines/>
      <w:spacing w:before="240" w:after="120"/>
      <w:outlineLvl w:val="1"/>
    </w:pPr>
    <w:rPr>
      <w:sz w:val="28"/>
      <w:szCs w:val="40"/>
    </w:rPr>
  </w:style>
  <w:style w:type="paragraph" w:styleId="Heading3">
    <w:name w:val="heading 3"/>
    <w:basedOn w:val="HeadingBase"/>
    <w:next w:val="BodyText"/>
    <w:link w:val="Heading3Char"/>
    <w:qFormat/>
    <w:rsid w:val="001A6946"/>
    <w:pPr>
      <w:spacing w:before="180" w:after="120"/>
      <w:outlineLvl w:val="2"/>
    </w:pPr>
    <w:rPr>
      <w:spacing w:val="-10"/>
      <w:kern w:val="32"/>
    </w:rPr>
  </w:style>
  <w:style w:type="paragraph" w:styleId="Heading4">
    <w:name w:val="heading 4"/>
    <w:basedOn w:val="HeadingBase"/>
    <w:next w:val="BodyText"/>
    <w:link w:val="Heading4Char"/>
    <w:qFormat/>
    <w:rsid w:val="001A6946"/>
    <w:pPr>
      <w:spacing w:before="160" w:after="120"/>
      <w:outlineLvl w:val="3"/>
    </w:pPr>
    <w:rPr>
      <w:sz w:val="22"/>
    </w:rPr>
  </w:style>
  <w:style w:type="paragraph" w:styleId="Heading5">
    <w:name w:val="heading 5"/>
    <w:basedOn w:val="HeadingBase"/>
    <w:next w:val="Normal"/>
    <w:link w:val="Heading5Char"/>
    <w:qFormat/>
    <w:rsid w:val="001A6946"/>
    <w:pPr>
      <w:spacing w:before="80"/>
      <w:outlineLvl w:val="4"/>
    </w:pPr>
    <w:rPr>
      <w:color w:val="918585"/>
      <w:sz w:val="20"/>
    </w:rPr>
  </w:style>
  <w:style w:type="paragraph" w:styleId="Heading6">
    <w:name w:val="heading 6"/>
    <w:basedOn w:val="HeadingBase"/>
    <w:next w:val="Normal"/>
    <w:link w:val="Heading6Char"/>
    <w:qFormat/>
    <w:rsid w:val="001A6946"/>
    <w:pPr>
      <w:spacing w:before="60"/>
      <w:outlineLvl w:val="5"/>
    </w:pPr>
    <w:rPr>
      <w:color w:val="918585"/>
      <w:sz w:val="20"/>
    </w:rPr>
  </w:style>
  <w:style w:type="paragraph" w:styleId="Heading7">
    <w:name w:val="heading 7"/>
    <w:basedOn w:val="Normal"/>
    <w:next w:val="Normal"/>
    <w:link w:val="Heading7Char"/>
    <w:qFormat/>
    <w:rsid w:val="001A6946"/>
    <w:pPr>
      <w:ind w:left="720"/>
      <w:outlineLvl w:val="6"/>
    </w:pPr>
    <w:rPr>
      <w:i/>
    </w:rPr>
  </w:style>
  <w:style w:type="paragraph" w:styleId="Heading8">
    <w:name w:val="heading 8"/>
    <w:basedOn w:val="Normal"/>
    <w:next w:val="Normal"/>
    <w:link w:val="Heading8Char"/>
    <w:qFormat/>
    <w:rsid w:val="001A6946"/>
    <w:pPr>
      <w:ind w:left="720"/>
      <w:outlineLvl w:val="7"/>
    </w:pPr>
    <w:rPr>
      <w:i/>
    </w:rPr>
  </w:style>
  <w:style w:type="paragraph" w:styleId="Heading9">
    <w:name w:val="heading 9"/>
    <w:basedOn w:val="Normal"/>
    <w:next w:val="Normal"/>
    <w:link w:val="Heading9Char"/>
    <w:qFormat/>
    <w:rsid w:val="001A6946"/>
    <w:pPr>
      <w:ind w:left="720"/>
      <w:outlineLvl w:val="8"/>
    </w:pPr>
    <w:rPr>
      <w:i/>
    </w:rPr>
  </w:style>
  <w:style w:type="character" w:default="1" w:styleId="DefaultParagraphFont">
    <w:name w:val="Default Paragraph Font"/>
    <w:uiPriority w:val="1"/>
    <w:unhideWhenUsed/>
    <w:rsid w:val="001A6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946"/>
  </w:style>
  <w:style w:type="character" w:customStyle="1" w:styleId="Heading1Char">
    <w:name w:val="Heading 1 Char"/>
    <w:basedOn w:val="DefaultParagraphFont"/>
    <w:link w:val="Heading1"/>
    <w:rsid w:val="001A6946"/>
    <w:rPr>
      <w:rFonts w:ascii="Times New Roman" w:eastAsia="Times New Roman" w:hAnsi="Times New Roman" w:cs="Times New Roman"/>
      <w:b/>
      <w:sz w:val="32"/>
      <w:szCs w:val="20"/>
      <w:lang w:eastAsia="en-US"/>
    </w:rPr>
  </w:style>
  <w:style w:type="paragraph" w:styleId="BodyText">
    <w:name w:val="Body Text"/>
    <w:basedOn w:val="Normal"/>
    <w:link w:val="BodyTextChar"/>
    <w:rsid w:val="001A69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946"/>
    <w:rPr>
      <w:rFonts w:ascii="Times New Roman" w:eastAsia="Times New Roman" w:hAnsi="Times New Roman" w:cs="Times New Roman"/>
      <w:sz w:val="24"/>
      <w:lang w:val="en-US" w:eastAsia="en-US"/>
    </w:rPr>
  </w:style>
  <w:style w:type="paragraph" w:styleId="Footer">
    <w:name w:val="footer"/>
    <w:basedOn w:val="Normal"/>
    <w:link w:val="FooterChar"/>
    <w:rsid w:val="001A6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946"/>
    <w:rPr>
      <w:rFonts w:ascii="Times New Roman" w:eastAsia="Times New Roman" w:hAnsi="Times New Roman" w:cs="Times New Roman"/>
      <w:sz w:val="16"/>
      <w:lang w:val="en-US" w:eastAsia="en-US"/>
    </w:rPr>
  </w:style>
  <w:style w:type="paragraph" w:styleId="List">
    <w:name w:val="List"/>
    <w:basedOn w:val="BodyText"/>
    <w:next w:val="BodyText"/>
    <w:rsid w:val="001A6946"/>
    <w:pPr>
      <w:tabs>
        <w:tab w:val="left" w:pos="340"/>
      </w:tabs>
      <w:spacing w:before="60" w:after="60"/>
      <w:ind w:left="340" w:hanging="340"/>
    </w:pPr>
  </w:style>
  <w:style w:type="paragraph" w:styleId="ListBullet">
    <w:name w:val="List Bullet"/>
    <w:basedOn w:val="List"/>
    <w:rsid w:val="001A6946"/>
    <w:pPr>
      <w:numPr>
        <w:numId w:val="13"/>
      </w:numPr>
      <w:tabs>
        <w:tab w:val="clear" w:pos="340"/>
      </w:tabs>
      <w:spacing w:before="40" w:after="40"/>
    </w:pPr>
  </w:style>
  <w:style w:type="character" w:customStyle="1" w:styleId="SpecialBold">
    <w:name w:val="Special Bold"/>
    <w:basedOn w:val="DefaultParagraphFont"/>
    <w:rsid w:val="001A6946"/>
    <w:rPr>
      <w:b/>
      <w:spacing w:val="0"/>
    </w:rPr>
  </w:style>
  <w:style w:type="paragraph" w:styleId="ListBullet2">
    <w:name w:val="List Bullet 2"/>
    <w:basedOn w:val="List2"/>
    <w:rsid w:val="001A6946"/>
    <w:pPr>
      <w:numPr>
        <w:numId w:val="14"/>
      </w:numPr>
      <w:tabs>
        <w:tab w:val="clear" w:pos="680"/>
      </w:tabs>
    </w:pPr>
  </w:style>
  <w:style w:type="paragraph" w:styleId="Header">
    <w:name w:val="header"/>
    <w:basedOn w:val="Normal"/>
    <w:link w:val="HeaderChar"/>
    <w:rsid w:val="001A6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9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6946"/>
    <w:pPr>
      <w:spacing w:before="240" w:after="120"/>
      <w:outlineLvl w:val="0"/>
    </w:pPr>
    <w:rPr>
      <w:rFonts w:ascii="Times New Roman" w:hAnsi="Times New Roman"/>
      <w:b/>
      <w:sz w:val="28"/>
    </w:rPr>
  </w:style>
  <w:style w:type="paragraph" w:customStyle="1" w:styleId="AllowPageBreak">
    <w:name w:val="AllowPageBreak"/>
    <w:rsid w:val="001A69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6946"/>
    <w:pPr>
      <w:tabs>
        <w:tab w:val="left" w:pos="680"/>
      </w:tabs>
      <w:spacing w:before="60" w:after="60"/>
      <w:ind w:left="680" w:hanging="340"/>
    </w:pPr>
  </w:style>
  <w:style w:type="character" w:customStyle="1" w:styleId="Heading2Char">
    <w:name w:val="Heading 2 Char"/>
    <w:basedOn w:val="DefaultParagraphFont"/>
    <w:link w:val="Heading2"/>
    <w:rsid w:val="001A6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9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69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6946"/>
    <w:rPr>
      <w:rFonts w:ascii="Courier New" w:eastAsia="Times New Roman" w:hAnsi="Courier New" w:cs="Times New Roman"/>
      <w:i/>
      <w:szCs w:val="20"/>
      <w:lang w:val="en-US" w:eastAsia="en-US"/>
    </w:rPr>
  </w:style>
  <w:style w:type="paragraph" w:customStyle="1" w:styleId="HeadingBase">
    <w:name w:val="Heading Base"/>
    <w:rsid w:val="001A6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946"/>
    <w:pPr>
      <w:tabs>
        <w:tab w:val="right" w:leader="dot" w:pos="9072"/>
      </w:tabs>
      <w:ind w:left="567"/>
    </w:pPr>
    <w:rPr>
      <w:szCs w:val="22"/>
    </w:rPr>
  </w:style>
  <w:style w:type="paragraph" w:customStyle="1" w:styleId="TOCBase">
    <w:name w:val="TOC Base"/>
    <w:rsid w:val="001A6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946"/>
    <w:pPr>
      <w:tabs>
        <w:tab w:val="right" w:leader="dot" w:pos="9072"/>
      </w:tabs>
      <w:spacing w:before="40" w:after="40"/>
      <w:ind w:left="284"/>
    </w:pPr>
    <w:rPr>
      <w:rFonts w:ascii="Times New Roman" w:hAnsi="Times New Roman"/>
    </w:rPr>
  </w:style>
  <w:style w:type="paragraph" w:styleId="TOC1">
    <w:name w:val="toc 1"/>
    <w:basedOn w:val="TOCBase"/>
    <w:next w:val="Normal"/>
    <w:rsid w:val="001A69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6946"/>
    <w:pPr>
      <w:spacing w:before="5040"/>
      <w:jc w:val="center"/>
    </w:pPr>
    <w:rPr>
      <w:sz w:val="48"/>
      <w:szCs w:val="72"/>
      <w:lang w:val="en-US"/>
    </w:rPr>
  </w:style>
  <w:style w:type="character" w:customStyle="1" w:styleId="TitleChar">
    <w:name w:val="Title Char"/>
    <w:basedOn w:val="DefaultParagraphFont"/>
    <w:link w:val="Title"/>
    <w:rsid w:val="001A6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946"/>
    <w:pPr>
      <w:tabs>
        <w:tab w:val="left" w:pos="3600"/>
        <w:tab w:val="left" w:pos="3958"/>
      </w:tabs>
    </w:pPr>
  </w:style>
  <w:style w:type="paragraph" w:customStyle="1" w:styleId="Note">
    <w:name w:val="Note"/>
    <w:basedOn w:val="BodyText"/>
    <w:rsid w:val="001A6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946"/>
    <w:pPr>
      <w:framePr w:wrap="auto" w:hAnchor="text" w:y="6049"/>
    </w:pPr>
    <w:rPr>
      <w:color w:val="000000"/>
      <w:sz w:val="40"/>
    </w:rPr>
  </w:style>
  <w:style w:type="paragraph" w:customStyle="1" w:styleId="TOCTitle">
    <w:name w:val="TOCTitle"/>
    <w:basedOn w:val="Heading1"/>
    <w:rsid w:val="001A6946"/>
    <w:pPr>
      <w:spacing w:after="240"/>
      <w:jc w:val="center"/>
      <w:outlineLvl w:val="9"/>
    </w:pPr>
    <w:rPr>
      <w:caps/>
    </w:rPr>
  </w:style>
  <w:style w:type="paragraph" w:customStyle="1" w:styleId="Version">
    <w:name w:val="Version"/>
    <w:rsid w:val="001A69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946"/>
    <w:pPr>
      <w:keepNext w:val="0"/>
      <w:tabs>
        <w:tab w:val="right" w:pos="4176"/>
      </w:tabs>
      <w:ind w:left="198" w:hanging="198"/>
    </w:pPr>
    <w:rPr>
      <w:rFonts w:ascii="Garamond" w:hAnsi="Garamond"/>
    </w:rPr>
  </w:style>
  <w:style w:type="paragraph" w:styleId="IndexHeading">
    <w:name w:val="index heading"/>
    <w:basedOn w:val="Normal"/>
    <w:next w:val="Index1"/>
    <w:semiHidden/>
    <w:rsid w:val="001A6946"/>
    <w:pPr>
      <w:spacing w:before="120" w:after="120"/>
    </w:pPr>
    <w:rPr>
      <w:rFonts w:ascii="Arial" w:hAnsi="Arial"/>
      <w:b/>
      <w:color w:val="918585"/>
      <w:sz w:val="24"/>
    </w:rPr>
  </w:style>
  <w:style w:type="paragraph" w:customStyle="1" w:styleId="Chapter">
    <w:name w:val="Chapter"/>
    <w:basedOn w:val="Normal"/>
    <w:rsid w:val="001A6946"/>
    <w:pPr>
      <w:spacing w:before="240"/>
    </w:pPr>
    <w:rPr>
      <w:rFonts w:ascii="Times New Roman" w:hAnsi="Times New Roman"/>
      <w:smallCaps/>
      <w:spacing w:val="80"/>
      <w:sz w:val="28"/>
    </w:rPr>
  </w:style>
  <w:style w:type="paragraph" w:customStyle="1" w:styleId="InChapter">
    <w:name w:val="InChapter"/>
    <w:basedOn w:val="Heading3"/>
    <w:rsid w:val="001A6946"/>
    <w:pPr>
      <w:spacing w:after="240"/>
      <w:outlineLvl w:val="9"/>
    </w:pPr>
    <w:rPr>
      <w:noProof/>
    </w:rPr>
  </w:style>
  <w:style w:type="paragraph" w:styleId="Index2">
    <w:name w:val="index 2"/>
    <w:basedOn w:val="Normal"/>
    <w:next w:val="Normal"/>
    <w:semiHidden/>
    <w:rsid w:val="001A6946"/>
    <w:pPr>
      <w:tabs>
        <w:tab w:val="right" w:pos="4176"/>
      </w:tabs>
      <w:ind w:left="568" w:hanging="284"/>
    </w:pPr>
    <w:rPr>
      <w:rFonts w:ascii="Garamond" w:hAnsi="Garamond"/>
    </w:rPr>
  </w:style>
  <w:style w:type="paragraph" w:customStyle="1" w:styleId="Byline">
    <w:name w:val="Byline"/>
    <w:rsid w:val="001A6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946"/>
    <w:pPr>
      <w:tabs>
        <w:tab w:val="clear" w:pos="3600"/>
        <w:tab w:val="clear" w:pos="3958"/>
      </w:tabs>
      <w:jc w:val="right"/>
    </w:pPr>
  </w:style>
  <w:style w:type="character" w:styleId="Emphasis">
    <w:name w:val="Emphasis"/>
    <w:basedOn w:val="DefaultParagraphFont"/>
    <w:qFormat/>
    <w:rsid w:val="001A6946"/>
    <w:rPr>
      <w:i/>
    </w:rPr>
  </w:style>
  <w:style w:type="paragraph" w:styleId="Caption">
    <w:name w:val="caption"/>
    <w:basedOn w:val="BodyText"/>
    <w:next w:val="Normal"/>
    <w:qFormat/>
    <w:rsid w:val="001A6946"/>
    <w:pPr>
      <w:framePr w:w="2268" w:hSpace="181" w:vSpace="181" w:wrap="around" w:vAnchor="text" w:hAnchor="page" w:x="1135" w:y="285" w:anchorLock="1"/>
    </w:pPr>
    <w:rPr>
      <w:i/>
    </w:rPr>
  </w:style>
  <w:style w:type="paragraph" w:customStyle="1" w:styleId="MiniTOCTitle">
    <w:name w:val="MiniTOCTitle"/>
    <w:basedOn w:val="Heading4"/>
    <w:rsid w:val="001A6946"/>
    <w:pPr>
      <w:spacing w:before="240"/>
      <w:outlineLvl w:val="9"/>
    </w:pPr>
    <w:rPr>
      <w:noProof/>
      <w:sz w:val="24"/>
    </w:rPr>
  </w:style>
  <w:style w:type="paragraph" w:customStyle="1" w:styleId="MiniTOCItem">
    <w:name w:val="MiniTOCItem"/>
    <w:basedOn w:val="ListBullet"/>
    <w:rsid w:val="001A6946"/>
    <w:pPr>
      <w:numPr>
        <w:numId w:val="0"/>
      </w:numPr>
      <w:tabs>
        <w:tab w:val="right" w:leader="dot" w:pos="6521"/>
      </w:tabs>
      <w:spacing w:before="0" w:after="0"/>
    </w:pPr>
  </w:style>
  <w:style w:type="paragraph" w:customStyle="1" w:styleId="TOFTitle">
    <w:name w:val="TOFTitle"/>
    <w:basedOn w:val="TOCTitle"/>
    <w:rsid w:val="001A6946"/>
  </w:style>
  <w:style w:type="paragraph" w:styleId="TableofFigures">
    <w:name w:val="table of figures"/>
    <w:basedOn w:val="Normal"/>
    <w:next w:val="Normal"/>
    <w:semiHidden/>
    <w:rsid w:val="001A6946"/>
    <w:pPr>
      <w:tabs>
        <w:tab w:val="right" w:leader="dot" w:pos="9072"/>
      </w:tabs>
      <w:ind w:left="970" w:hanging="403"/>
    </w:pPr>
    <w:rPr>
      <w:rFonts w:ascii="Times New Roman" w:hAnsi="Times New Roman"/>
      <w:b/>
    </w:rPr>
  </w:style>
  <w:style w:type="paragraph" w:styleId="ListNumber">
    <w:name w:val="List Number"/>
    <w:basedOn w:val="List"/>
    <w:rsid w:val="001A6946"/>
    <w:pPr>
      <w:numPr>
        <w:numId w:val="11"/>
      </w:numPr>
    </w:pPr>
  </w:style>
  <w:style w:type="character" w:customStyle="1" w:styleId="WingdingSymbols">
    <w:name w:val="Wingding Symbols"/>
    <w:rsid w:val="001A6946"/>
    <w:rPr>
      <w:rFonts w:ascii="Wingdings" w:hAnsi="Wingdings"/>
    </w:rPr>
  </w:style>
  <w:style w:type="paragraph" w:customStyle="1" w:styleId="TableHeading">
    <w:name w:val="Table Heading"/>
    <w:basedOn w:val="HeadingBase"/>
    <w:rsid w:val="001A6946"/>
    <w:pPr>
      <w:keepLines/>
      <w:pBdr>
        <w:bottom w:val="single" w:sz="6" w:space="1" w:color="918585"/>
      </w:pBdr>
      <w:spacing w:before="240"/>
    </w:pPr>
  </w:style>
  <w:style w:type="character" w:customStyle="1" w:styleId="HotSpot">
    <w:name w:val="HotSpot"/>
    <w:rsid w:val="001A6946"/>
    <w:rPr>
      <w:color w:val="0033CC"/>
      <w:u w:val="none"/>
    </w:rPr>
  </w:style>
  <w:style w:type="paragraph" w:customStyle="1" w:styleId="BodyTextRight">
    <w:name w:val="Body Text Right"/>
    <w:basedOn w:val="BodyText"/>
    <w:rsid w:val="001A6946"/>
    <w:pPr>
      <w:spacing w:before="0" w:after="0"/>
      <w:jc w:val="right"/>
    </w:pPr>
  </w:style>
  <w:style w:type="paragraph" w:styleId="Index3">
    <w:name w:val="index 3"/>
    <w:basedOn w:val="ListNumber2"/>
    <w:next w:val="Normal"/>
    <w:semiHidden/>
    <w:rsid w:val="001A6946"/>
    <w:pPr>
      <w:numPr>
        <w:numId w:val="0"/>
      </w:numPr>
      <w:tabs>
        <w:tab w:val="right" w:leader="dot" w:pos="4176"/>
      </w:tabs>
    </w:pPr>
  </w:style>
  <w:style w:type="paragraph" w:styleId="ListNumber2">
    <w:name w:val="List Number 2"/>
    <w:basedOn w:val="List2"/>
    <w:rsid w:val="001A6946"/>
    <w:pPr>
      <w:numPr>
        <w:numId w:val="10"/>
      </w:numPr>
      <w:tabs>
        <w:tab w:val="clear" w:pos="1060"/>
      </w:tabs>
    </w:pPr>
  </w:style>
  <w:style w:type="paragraph" w:customStyle="1" w:styleId="MarginNote">
    <w:name w:val="Margin Note"/>
    <w:basedOn w:val="BodyText"/>
    <w:rsid w:val="001A6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9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6946"/>
    <w:rPr>
      <w:sz w:val="32"/>
    </w:rPr>
  </w:style>
  <w:style w:type="paragraph" w:customStyle="1" w:styleId="HeadingProcedure">
    <w:name w:val="Heading Procedure"/>
    <w:basedOn w:val="HeadingBase"/>
    <w:next w:val="Normal"/>
    <w:rsid w:val="001A6946"/>
    <w:pPr>
      <w:tabs>
        <w:tab w:val="left" w:pos="0"/>
      </w:tabs>
      <w:spacing w:before="120" w:after="60"/>
    </w:pPr>
    <w:rPr>
      <w:i/>
      <w:color w:val="918585"/>
      <w:sz w:val="22"/>
    </w:rPr>
  </w:style>
  <w:style w:type="paragraph" w:customStyle="1" w:styleId="TableBodyText">
    <w:name w:val="Table Body Text"/>
    <w:basedOn w:val="BodyText"/>
    <w:rsid w:val="001A6946"/>
    <w:pPr>
      <w:spacing w:before="60" w:after="60"/>
    </w:pPr>
  </w:style>
  <w:style w:type="paragraph" w:styleId="ListContinue">
    <w:name w:val="List Continue"/>
    <w:basedOn w:val="List"/>
    <w:rsid w:val="001A6946"/>
    <w:pPr>
      <w:ind w:firstLine="0"/>
    </w:pPr>
  </w:style>
  <w:style w:type="paragraph" w:customStyle="1" w:styleId="ListNote">
    <w:name w:val="List Note"/>
    <w:basedOn w:val="List"/>
    <w:rsid w:val="001A6946"/>
    <w:pPr>
      <w:pBdr>
        <w:top w:val="single" w:sz="6" w:space="2" w:color="918585"/>
        <w:bottom w:val="single" w:sz="6" w:space="2" w:color="918585"/>
      </w:pBdr>
      <w:tabs>
        <w:tab w:val="left" w:pos="1021"/>
      </w:tabs>
      <w:ind w:firstLine="0"/>
    </w:pPr>
  </w:style>
  <w:style w:type="paragraph" w:customStyle="1" w:styleId="Warning">
    <w:name w:val="Warning"/>
    <w:basedOn w:val="BodyText"/>
    <w:rsid w:val="001A6946"/>
    <w:pPr>
      <w:shd w:val="clear" w:color="auto" w:fill="D9D9D9"/>
      <w:tabs>
        <w:tab w:val="left" w:pos="992"/>
      </w:tabs>
      <w:ind w:left="119" w:right="119"/>
    </w:pPr>
    <w:rPr>
      <w:sz w:val="20"/>
    </w:rPr>
  </w:style>
  <w:style w:type="paragraph" w:customStyle="1" w:styleId="MarginIcons">
    <w:name w:val="Margin Icons"/>
    <w:basedOn w:val="BodyText"/>
    <w:rsid w:val="001A6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946"/>
    <w:rPr>
      <w:rFonts w:ascii="Courier New" w:hAnsi="Courier New"/>
    </w:rPr>
  </w:style>
  <w:style w:type="paragraph" w:customStyle="1" w:styleId="NoteBullet">
    <w:name w:val="Note Bullet"/>
    <w:basedOn w:val="Note"/>
    <w:rsid w:val="001A6946"/>
    <w:pPr>
      <w:tabs>
        <w:tab w:val="clear" w:pos="680"/>
      </w:tabs>
      <w:spacing w:before="60" w:after="60"/>
    </w:pPr>
  </w:style>
  <w:style w:type="paragraph" w:customStyle="1" w:styleId="SubHeading2">
    <w:name w:val="SubHeading2"/>
    <w:basedOn w:val="HeadingBase"/>
    <w:rsid w:val="001A6946"/>
    <w:pPr>
      <w:spacing w:before="240" w:after="60"/>
    </w:pPr>
    <w:rPr>
      <w:sz w:val="20"/>
    </w:rPr>
  </w:style>
  <w:style w:type="paragraph" w:customStyle="1" w:styleId="SubHeading1">
    <w:name w:val="SubHeading1"/>
    <w:basedOn w:val="HeadingBase"/>
    <w:rsid w:val="001A6946"/>
    <w:pPr>
      <w:spacing w:before="240" w:after="60"/>
    </w:pPr>
    <w:rPr>
      <w:color w:val="918585"/>
      <w:sz w:val="22"/>
    </w:rPr>
  </w:style>
  <w:style w:type="paragraph" w:customStyle="1" w:styleId="SideHeading">
    <w:name w:val="Side Heading"/>
    <w:basedOn w:val="HeadingBase"/>
    <w:rsid w:val="001A6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946"/>
    <w:pPr>
      <w:numPr>
        <w:numId w:val="12"/>
      </w:numPr>
    </w:pPr>
  </w:style>
  <w:style w:type="paragraph" w:styleId="PlainText">
    <w:name w:val="Plain Text"/>
    <w:basedOn w:val="Normal"/>
    <w:link w:val="PlainTextChar"/>
    <w:rsid w:val="001A6946"/>
    <w:rPr>
      <w:sz w:val="20"/>
    </w:rPr>
  </w:style>
  <w:style w:type="character" w:customStyle="1" w:styleId="PlainTextChar">
    <w:name w:val="Plain Text Char"/>
    <w:basedOn w:val="DefaultParagraphFont"/>
    <w:link w:val="PlainText"/>
    <w:rsid w:val="001A69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6946"/>
    <w:rPr>
      <w:b/>
      <w:smallCaps/>
    </w:rPr>
  </w:style>
  <w:style w:type="paragraph" w:customStyle="1" w:styleId="TableListNumber">
    <w:name w:val="Table List Number"/>
    <w:basedOn w:val="ListNumber"/>
    <w:rsid w:val="001A6946"/>
    <w:pPr>
      <w:numPr>
        <w:numId w:val="0"/>
      </w:numPr>
    </w:pPr>
  </w:style>
  <w:style w:type="paragraph" w:styleId="TOC4">
    <w:name w:val="toc 4"/>
    <w:basedOn w:val="TOCBase"/>
    <w:next w:val="Normal"/>
    <w:semiHidden/>
    <w:rsid w:val="001A6946"/>
    <w:pPr>
      <w:tabs>
        <w:tab w:val="right" w:leader="dot" w:pos="9071"/>
      </w:tabs>
      <w:ind w:left="1701"/>
    </w:pPr>
  </w:style>
  <w:style w:type="paragraph" w:customStyle="1" w:styleId="ListAlpha">
    <w:name w:val="List Alpha"/>
    <w:basedOn w:val="List"/>
    <w:rsid w:val="001A6946"/>
    <w:pPr>
      <w:numPr>
        <w:numId w:val="9"/>
      </w:numPr>
    </w:pPr>
  </w:style>
  <w:style w:type="paragraph" w:customStyle="1" w:styleId="ListAlpha2">
    <w:name w:val="List Alpha 2"/>
    <w:basedOn w:val="List2"/>
    <w:rsid w:val="001A6946"/>
    <w:pPr>
      <w:numPr>
        <w:numId w:val="8"/>
      </w:numPr>
    </w:pPr>
  </w:style>
  <w:style w:type="paragraph" w:styleId="List3">
    <w:name w:val="List 3"/>
    <w:basedOn w:val="BodyText"/>
    <w:rsid w:val="001A6946"/>
    <w:pPr>
      <w:tabs>
        <w:tab w:val="left" w:pos="1021"/>
      </w:tabs>
      <w:spacing w:before="60" w:after="60"/>
      <w:ind w:left="1020" w:hanging="340"/>
    </w:pPr>
  </w:style>
  <w:style w:type="paragraph" w:styleId="List4">
    <w:name w:val="List 4"/>
    <w:basedOn w:val="BodyText"/>
    <w:rsid w:val="001A6946"/>
    <w:pPr>
      <w:tabs>
        <w:tab w:val="left" w:pos="1361"/>
      </w:tabs>
      <w:spacing w:before="60" w:after="60"/>
      <w:ind w:left="1361" w:hanging="340"/>
    </w:pPr>
  </w:style>
  <w:style w:type="paragraph" w:styleId="List5">
    <w:name w:val="List 5"/>
    <w:basedOn w:val="BodyText"/>
    <w:rsid w:val="001A6946"/>
    <w:pPr>
      <w:tabs>
        <w:tab w:val="left" w:pos="1701"/>
      </w:tabs>
      <w:spacing w:before="60" w:after="60"/>
      <w:ind w:left="1701" w:hanging="340"/>
    </w:pPr>
  </w:style>
  <w:style w:type="paragraph" w:styleId="ListBullet3">
    <w:name w:val="List Bullet 3"/>
    <w:basedOn w:val="List3"/>
    <w:rsid w:val="001A6946"/>
    <w:pPr>
      <w:numPr>
        <w:numId w:val="15"/>
      </w:numPr>
      <w:tabs>
        <w:tab w:val="clear" w:pos="1021"/>
      </w:tabs>
      <w:ind w:left="1037" w:hanging="357"/>
    </w:pPr>
  </w:style>
  <w:style w:type="paragraph" w:styleId="ListBullet4">
    <w:name w:val="List Bullet 4"/>
    <w:basedOn w:val="List4"/>
    <w:rsid w:val="001A6946"/>
    <w:pPr>
      <w:numPr>
        <w:numId w:val="3"/>
      </w:numPr>
    </w:pPr>
  </w:style>
  <w:style w:type="paragraph" w:styleId="ListBullet5">
    <w:name w:val="List Bullet 5"/>
    <w:basedOn w:val="List5"/>
    <w:rsid w:val="001A6946"/>
    <w:pPr>
      <w:numPr>
        <w:numId w:val="4"/>
      </w:numPr>
    </w:pPr>
  </w:style>
  <w:style w:type="paragraph" w:styleId="ListContinue2">
    <w:name w:val="List Continue 2"/>
    <w:basedOn w:val="List2"/>
    <w:rsid w:val="001A6946"/>
    <w:pPr>
      <w:ind w:firstLine="0"/>
    </w:pPr>
  </w:style>
  <w:style w:type="paragraph" w:styleId="ListContinue3">
    <w:name w:val="List Continue 3"/>
    <w:basedOn w:val="List3"/>
    <w:rsid w:val="001A6946"/>
    <w:pPr>
      <w:ind w:left="1021" w:firstLine="0"/>
    </w:pPr>
  </w:style>
  <w:style w:type="paragraph" w:styleId="ListContinue4">
    <w:name w:val="List Continue 4"/>
    <w:basedOn w:val="List4"/>
    <w:rsid w:val="001A6946"/>
    <w:pPr>
      <w:ind w:firstLine="0"/>
    </w:pPr>
  </w:style>
  <w:style w:type="paragraph" w:styleId="ListContinue5">
    <w:name w:val="List Continue 5"/>
    <w:basedOn w:val="List5"/>
    <w:rsid w:val="001A6946"/>
    <w:pPr>
      <w:ind w:firstLine="0"/>
    </w:pPr>
  </w:style>
  <w:style w:type="paragraph" w:styleId="ListNumber3">
    <w:name w:val="List Number 3"/>
    <w:basedOn w:val="List3"/>
    <w:rsid w:val="001A6946"/>
    <w:pPr>
      <w:numPr>
        <w:numId w:val="5"/>
      </w:numPr>
    </w:pPr>
  </w:style>
  <w:style w:type="paragraph" w:styleId="ListNumber4">
    <w:name w:val="List Number 4"/>
    <w:basedOn w:val="List4"/>
    <w:rsid w:val="001A6946"/>
    <w:pPr>
      <w:numPr>
        <w:numId w:val="6"/>
      </w:numPr>
    </w:pPr>
  </w:style>
  <w:style w:type="paragraph" w:styleId="ListNumber5">
    <w:name w:val="List Number 5"/>
    <w:basedOn w:val="List5"/>
    <w:rsid w:val="001A6946"/>
    <w:pPr>
      <w:numPr>
        <w:numId w:val="7"/>
      </w:numPr>
    </w:pPr>
  </w:style>
  <w:style w:type="paragraph" w:styleId="BlockText">
    <w:name w:val="Block Text"/>
    <w:basedOn w:val="Normal"/>
    <w:rsid w:val="001A6946"/>
    <w:pPr>
      <w:spacing w:after="120"/>
      <w:ind w:left="1440" w:right="1440"/>
    </w:pPr>
  </w:style>
  <w:style w:type="character" w:customStyle="1" w:styleId="Subscript">
    <w:name w:val="Subscript"/>
    <w:basedOn w:val="DefaultParagraphFont"/>
    <w:rsid w:val="001A6946"/>
    <w:rPr>
      <w:sz w:val="16"/>
      <w:vertAlign w:val="subscript"/>
    </w:rPr>
  </w:style>
  <w:style w:type="character" w:customStyle="1" w:styleId="Superscript">
    <w:name w:val="Superscript"/>
    <w:basedOn w:val="DefaultParagraphFont"/>
    <w:rsid w:val="001A6946"/>
    <w:rPr>
      <w:sz w:val="16"/>
      <w:vertAlign w:val="superscript"/>
    </w:rPr>
  </w:style>
  <w:style w:type="character" w:customStyle="1" w:styleId="Symbols">
    <w:name w:val="Symbols"/>
    <w:basedOn w:val="DefaultParagraphFont"/>
    <w:rsid w:val="001A6946"/>
    <w:rPr>
      <w:rFonts w:ascii="Symbol" w:hAnsi="Symbol"/>
    </w:rPr>
  </w:style>
  <w:style w:type="character" w:customStyle="1" w:styleId="MenuOptions">
    <w:name w:val="Menu Options"/>
    <w:basedOn w:val="DefaultParagraphFont"/>
    <w:rsid w:val="001A6946"/>
    <w:rPr>
      <w:rFonts w:ascii="Arial Narrow" w:hAnsi="Arial Narrow"/>
      <w:smallCaps/>
    </w:rPr>
  </w:style>
  <w:style w:type="character" w:customStyle="1" w:styleId="Buttons">
    <w:name w:val="Buttons"/>
    <w:basedOn w:val="DefaultParagraphFont"/>
    <w:rsid w:val="001A6946"/>
    <w:rPr>
      <w:b/>
    </w:rPr>
  </w:style>
  <w:style w:type="character" w:customStyle="1" w:styleId="Underlined">
    <w:name w:val="Underlined"/>
    <w:basedOn w:val="DefaultParagraphFont"/>
    <w:rsid w:val="001A6946"/>
    <w:rPr>
      <w:u w:val="single"/>
    </w:rPr>
  </w:style>
  <w:style w:type="paragraph" w:customStyle="1" w:styleId="TableBodyTextRight">
    <w:name w:val="Table Body Text Right"/>
    <w:basedOn w:val="TableBodyText"/>
    <w:rsid w:val="001A6946"/>
    <w:pPr>
      <w:widowControl w:val="0"/>
      <w:autoSpaceDE w:val="0"/>
      <w:autoSpaceDN w:val="0"/>
      <w:adjustRightInd w:val="0"/>
      <w:jc w:val="right"/>
    </w:pPr>
    <w:rPr>
      <w:rFonts w:cs="Arial"/>
      <w:szCs w:val="18"/>
    </w:rPr>
  </w:style>
  <w:style w:type="paragraph" w:customStyle="1" w:styleId="CopyrightText">
    <w:name w:val="Copyright Text"/>
    <w:basedOn w:val="BodyText"/>
    <w:rsid w:val="001A6946"/>
    <w:rPr>
      <w:sz w:val="18"/>
    </w:rPr>
  </w:style>
  <w:style w:type="paragraph" w:customStyle="1" w:styleId="BodySmallRight">
    <w:name w:val="Body Small Right"/>
    <w:basedOn w:val="BodyTextRight"/>
    <w:rsid w:val="001A6946"/>
    <w:rPr>
      <w:sz w:val="18"/>
      <w:szCs w:val="18"/>
    </w:rPr>
  </w:style>
  <w:style w:type="paragraph" w:customStyle="1" w:styleId="MarginEdition">
    <w:name w:val="Margin Edition"/>
    <w:basedOn w:val="MarginNote"/>
    <w:rsid w:val="001A6946"/>
    <w:pPr>
      <w:spacing w:before="0" w:after="0"/>
    </w:pPr>
    <w:rPr>
      <w:rFonts w:ascii="Times New Roman" w:hAnsi="Times New Roman"/>
      <w:color w:val="999999"/>
    </w:rPr>
  </w:style>
  <w:style w:type="paragraph" w:customStyle="1" w:styleId="Spacer">
    <w:name w:val="Spacer"/>
    <w:basedOn w:val="Normal"/>
    <w:rsid w:val="001A6946"/>
    <w:rPr>
      <w:sz w:val="2"/>
      <w:szCs w:val="2"/>
    </w:rPr>
  </w:style>
  <w:style w:type="character" w:customStyle="1" w:styleId="Small">
    <w:name w:val="Small"/>
    <w:basedOn w:val="DefaultParagraphFont"/>
    <w:rsid w:val="001A6946"/>
    <w:rPr>
      <w:sz w:val="16"/>
    </w:rPr>
  </w:style>
  <w:style w:type="paragraph" w:customStyle="1" w:styleId="WideTable">
    <w:name w:val="Wide Table"/>
    <w:basedOn w:val="Normal"/>
    <w:rsid w:val="001A6946"/>
    <w:pPr>
      <w:ind w:left="-1418"/>
    </w:pPr>
    <w:rPr>
      <w:sz w:val="2"/>
      <w:szCs w:val="2"/>
    </w:rPr>
  </w:style>
  <w:style w:type="character" w:styleId="PageNumber">
    <w:name w:val="page number"/>
    <w:basedOn w:val="DefaultParagraphFont"/>
    <w:rsid w:val="001A6946"/>
  </w:style>
  <w:style w:type="paragraph" w:styleId="Quote">
    <w:name w:val="Quote"/>
    <w:basedOn w:val="Heading1"/>
    <w:link w:val="QuoteChar"/>
    <w:qFormat/>
    <w:rsid w:val="001A6946"/>
    <w:rPr>
      <w:b w:val="0"/>
      <w:sz w:val="72"/>
      <w:szCs w:val="72"/>
      <w:lang w:val="en-NZ"/>
    </w:rPr>
  </w:style>
  <w:style w:type="character" w:customStyle="1" w:styleId="QuoteChar">
    <w:name w:val="Quote Char"/>
    <w:basedOn w:val="DefaultParagraphFont"/>
    <w:link w:val="Quote"/>
    <w:rsid w:val="001A6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946"/>
    <w:pPr>
      <w:pageBreakBefore/>
    </w:pPr>
  </w:style>
  <w:style w:type="paragraph" w:customStyle="1" w:styleId="Border">
    <w:name w:val="Border"/>
    <w:basedOn w:val="Normal"/>
    <w:qFormat/>
    <w:rsid w:val="001A6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946"/>
    <w:rPr>
      <w:b/>
      <w:bCs/>
      <w:i/>
      <w:iCs/>
      <w:color w:val="auto"/>
    </w:rPr>
  </w:style>
  <w:style w:type="paragraph" w:styleId="IntenseQuote">
    <w:name w:val="Intense Quote"/>
    <w:basedOn w:val="Normal"/>
    <w:next w:val="Normal"/>
    <w:link w:val="IntenseQuoteChar"/>
    <w:uiPriority w:val="30"/>
    <w:qFormat/>
    <w:rsid w:val="001A6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9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6946"/>
    <w:rPr>
      <w:smallCaps/>
      <w:color w:val="auto"/>
      <w:u w:val="single"/>
    </w:rPr>
  </w:style>
  <w:style w:type="character" w:styleId="IntenseReference">
    <w:name w:val="Intense Reference"/>
    <w:basedOn w:val="DefaultParagraphFont"/>
    <w:uiPriority w:val="32"/>
    <w:qFormat/>
    <w:rsid w:val="001A6946"/>
    <w:rPr>
      <w:b/>
      <w:bCs/>
      <w:smallCaps/>
      <w:color w:val="auto"/>
      <w:spacing w:val="5"/>
      <w:u w:val="single"/>
    </w:rPr>
  </w:style>
  <w:style w:type="paragraph" w:customStyle="1" w:styleId="2ColumnHeading">
    <w:name w:val="2Column Heading"/>
    <w:basedOn w:val="BodyText"/>
    <w:qFormat/>
    <w:rsid w:val="001A6946"/>
    <w:pPr>
      <w:spacing w:after="60"/>
      <w:ind w:left="-2268"/>
    </w:pPr>
    <w:rPr>
      <w:b/>
    </w:rPr>
  </w:style>
  <w:style w:type="paragraph" w:customStyle="1" w:styleId="Heading1TOC">
    <w:name w:val="Heading1 TOC"/>
    <w:basedOn w:val="Normal"/>
    <w:qFormat/>
    <w:rsid w:val="001A6946"/>
    <w:pPr>
      <w:spacing w:before="240" w:after="120"/>
    </w:pPr>
    <w:rPr>
      <w:rFonts w:ascii="Times New Roman" w:hAnsi="Times New Roman"/>
      <w:b/>
      <w:sz w:val="32"/>
    </w:rPr>
  </w:style>
  <w:style w:type="paragraph" w:customStyle="1" w:styleId="Heading2TOC">
    <w:name w:val="Heading2 TOC"/>
    <w:basedOn w:val="Normal"/>
    <w:qFormat/>
    <w:rsid w:val="001A6946"/>
    <w:pPr>
      <w:spacing w:before="240" w:after="60"/>
    </w:pPr>
    <w:rPr>
      <w:rFonts w:ascii="Times New Roman" w:hAnsi="Times New Roman"/>
      <w:b/>
      <w:sz w:val="28"/>
    </w:rPr>
  </w:style>
  <w:style w:type="character" w:customStyle="1" w:styleId="Underline">
    <w:name w:val="Underline"/>
    <w:basedOn w:val="DefaultParagraphFont"/>
    <w:qFormat/>
    <w:rsid w:val="001A6946"/>
    <w:rPr>
      <w:u w:val="single"/>
    </w:rPr>
  </w:style>
  <w:style w:type="character" w:customStyle="1" w:styleId="BoldandItalics">
    <w:name w:val="Bold and Italics"/>
    <w:qFormat/>
    <w:rsid w:val="001A6946"/>
    <w:rPr>
      <w:b/>
      <w:i/>
      <w:u w:val="none"/>
    </w:rPr>
  </w:style>
  <w:style w:type="paragraph" w:styleId="BalloonText">
    <w:name w:val="Balloon Text"/>
    <w:basedOn w:val="Normal"/>
    <w:link w:val="BalloonTextChar"/>
    <w:rsid w:val="001A6946"/>
    <w:rPr>
      <w:rFonts w:ascii="Tahoma" w:hAnsi="Tahoma" w:cs="Tahoma"/>
      <w:sz w:val="16"/>
      <w:szCs w:val="16"/>
    </w:rPr>
  </w:style>
  <w:style w:type="character" w:customStyle="1" w:styleId="BalloonTextChar">
    <w:name w:val="Balloon Text Char"/>
    <w:basedOn w:val="DefaultParagraphFont"/>
    <w:link w:val="BalloonText"/>
    <w:rsid w:val="001A69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69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9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898</Words>
  <Characters>5410</Characters>
  <Application>Microsoft Office Word</Application>
  <DocSecurity>0</DocSecurity>
  <Lines>212</Lines>
  <Paragraphs>88</Paragraphs>
  <ScaleCrop>false</ScaleCrop>
  <Company>Author-it Software Corporation Ltd.</Company>
  <LinksUpToDate>false</LinksUpToDate>
  <CharactersWithSpaces>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MEM30015A Develop recommendations for basic set up time improvements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2012-05-27T02:15:00Z</dcterms:created>
  <dcterms:modified xsi:type="dcterms:W3CDTF">2012-05-27T02:15:00Z</dcterms:modified>
</cp:coreProperties>
</file>