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2F8B" w:rsidP="00B22F8B">
      <w:pPr>
        <w:pStyle w:val="Title"/>
      </w:pPr>
      <w:r>
        <w:fldChar w:fldCharType="begin"/>
      </w:r>
      <w:r>
        <w:instrText xml:space="preserve"> TITLE   \* MERGEFORMAT </w:instrText>
      </w:r>
      <w:r>
        <w:fldChar w:fldCharType="separate"/>
      </w:r>
      <w:r>
        <w:t>MEM30007A Select common engineering materials</w:t>
      </w:r>
      <w:r>
        <w:fldChar w:fldCharType="end"/>
      </w:r>
    </w:p>
    <w:p w:rsidR="00B22F8B" w:rsidP="00B22F8B">
      <w:pPr>
        <w:pStyle w:val="Version"/>
        <w:sectPr w:rsidSect="00D859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5942" w:rsidP="00D85942">
      <w:pPr>
        <w:pStyle w:val="SuperHeading"/>
      </w:pPr>
      <w:r w:rsidRPr="00D85942">
        <w:t>MEM30007A Select common engineering materials</w:t>
      </w:r>
    </w:p>
    <w:p w:rsidR="00000000" w:rsidRPr="00D85942" w:rsidP="00D85942">
      <w:pPr>
        <w:pStyle w:val="Heading1"/>
      </w:pPr>
      <w:bookmarkStart w:id="1" w:name="O_272424"/>
      <w:bookmarkEnd w:id="1"/>
      <w:r w:rsidRPr="00D85942">
        <w:t>Modification History</w:t>
      </w:r>
    </w:p>
    <w:p w:rsidR="00000000" w:rsidRPr="00D85942" w:rsidP="00D85942">
      <w:pPr>
        <w:pStyle w:val="BodyText"/>
      </w:pPr>
      <w:r w:rsidRPr="00D85942">
        <w:t>Not Applicable</w:t>
      </w:r>
    </w:p>
    <w:p w:rsidR="00000000" w:rsidRPr="00D85942" w:rsidP="00D85942">
      <w:pPr>
        <w:pStyle w:val="AllowPageBreak"/>
      </w:pPr>
    </w:p>
    <w:p w:rsidR="00000000" w:rsidRPr="00D85942" w:rsidP="00D85942">
      <w:pPr>
        <w:pStyle w:val="Heading1"/>
      </w:pPr>
      <w:bookmarkStart w:id="2" w:name="O_213406"/>
      <w:bookmarkEnd w:id="2"/>
      <w:r w:rsidRPr="00D85942">
        <w:t>Unit Descriptor</w:t>
      </w:r>
    </w:p>
    <w:tbl>
      <w:tblPr>
        <w:tblW w:w="0" w:type="auto"/>
        <w:tblLayout w:type="fixed"/>
        <w:tblCellMar>
          <w:left w:w="62" w:type="dxa"/>
          <w:right w:w="62" w:type="dxa"/>
        </w:tblCellMar>
        <w:tblLook w:val="0000"/>
      </w:tblPr>
      <w:tblGrid>
        <w:gridCol w:w="2671"/>
        <w:gridCol w:w="5851"/>
      </w:tblGrid>
      <w:tr w:rsidTr="00B22F8B">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942">
            <w:pPr>
              <w:pStyle w:val="BodyText"/>
              <w:rPr>
                <w:lang w:val="en-NZ"/>
              </w:rPr>
            </w:pPr>
            <w:r w:rsidRPr="00D85942">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942" w:rsidP="00D85942">
            <w:pPr>
              <w:pStyle w:val="BodyText"/>
            </w:pPr>
            <w:r w:rsidRPr="00D85942">
              <w:t>This unit covers recognising common materials used in engineering, assisting in the selection</w:t>
            </w:r>
            <w:r w:rsidRPr="00D85942">
              <w:t xml:space="preserve"> of a material for a specific application, and using test results to evaluate the properties of materials.</w:t>
            </w:r>
          </w:p>
        </w:tc>
      </w:tr>
    </w:tbl>
    <w:p w:rsidR="00B22F8B" w:rsidP="00D85942">
      <w:pPr>
        <w:pStyle w:val="BodyText"/>
      </w:pPr>
    </w:p>
    <w:p w:rsidR="00B22F8B" w:rsidP="00D85942">
      <w:pPr>
        <w:pStyle w:val="BodyText"/>
      </w:pPr>
    </w:p>
    <w:p w:rsidR="00000000" w:rsidRPr="00D85942" w:rsidP="00D85942">
      <w:pPr>
        <w:pStyle w:val="Heading1"/>
      </w:pPr>
      <w:bookmarkStart w:id="3" w:name="O_213410"/>
      <w:bookmarkEnd w:id="3"/>
      <w:r w:rsidRPr="00D85942">
        <w:t>Application of the Unit</w:t>
      </w:r>
    </w:p>
    <w:tbl>
      <w:tblPr>
        <w:tblW w:w="0" w:type="auto"/>
        <w:tblLayout w:type="fixed"/>
        <w:tblCellMar>
          <w:left w:w="62" w:type="dxa"/>
          <w:right w:w="62" w:type="dxa"/>
        </w:tblCellMar>
        <w:tblLook w:val="0000"/>
      </w:tblPr>
      <w:tblGrid>
        <w:gridCol w:w="2745"/>
        <w:gridCol w:w="5777"/>
      </w:tblGrid>
      <w:tr w:rsidTr="00B22F8B">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942">
            <w:pPr>
              <w:pStyle w:val="BodyText"/>
              <w:rPr>
                <w:lang w:val="en-NZ"/>
              </w:rPr>
            </w:pPr>
            <w:r w:rsidRPr="00D85942">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942" w:rsidP="00D85942">
            <w:pPr>
              <w:pStyle w:val="BodyText"/>
            </w:pPr>
            <w:r w:rsidRPr="00D85942">
              <w:t>This</w:t>
            </w:r>
            <w:r w:rsidRPr="00D85942">
              <w:t xml:space="preserve"> unit applies to technician level activities in manufacturing and engineering environments.</w:t>
            </w:r>
          </w:p>
          <w:p w:rsidR="00000000" w:rsidRPr="00D85942" w:rsidP="00D85942">
            <w:pPr>
              <w:pStyle w:val="BodyText"/>
            </w:pPr>
            <w:r w:rsidRPr="00D85942">
              <w:t>Work is carried out under supervision.</w:t>
            </w:r>
          </w:p>
          <w:p w:rsidR="00000000" w:rsidRPr="00D85942" w:rsidP="00D85942">
            <w:pPr>
              <w:pStyle w:val="BodyText"/>
            </w:pPr>
          </w:p>
          <w:p w:rsidR="00000000" w:rsidRPr="00D85942" w:rsidP="00D85942">
            <w:pPr>
              <w:pStyle w:val="BodyText"/>
            </w:pPr>
            <w:r w:rsidRPr="00D85942">
              <w:rPr>
                <w:rStyle w:val="SpecialBold"/>
              </w:rPr>
              <w:t>Band</w:t>
            </w:r>
            <w:r w:rsidRPr="00D85942">
              <w:t>:</w:t>
            </w:r>
            <w:r w:rsidRPr="00D85942">
              <w:tab/>
            </w:r>
            <w:r w:rsidRPr="00D85942">
              <w:rPr>
                <w:rStyle w:val="SpecialBold"/>
              </w:rPr>
              <w:t>0</w:t>
            </w:r>
          </w:p>
          <w:p w:rsidR="00000000" w:rsidRPr="00D85942" w:rsidP="00D85942">
            <w:pPr>
              <w:pStyle w:val="BodyText"/>
            </w:pPr>
            <w:r w:rsidRPr="00D85942">
              <w:rPr>
                <w:rStyle w:val="SpecialBold"/>
              </w:rPr>
              <w:t>Unit Weight</w:t>
            </w:r>
            <w:r w:rsidRPr="00D85942">
              <w:t>:</w:t>
            </w:r>
            <w:r w:rsidRPr="00D85942">
              <w:tab/>
            </w:r>
            <w:r w:rsidRPr="00D85942">
              <w:rPr>
                <w:rStyle w:val="SpecialBold"/>
              </w:rPr>
              <w:t>0</w:t>
            </w:r>
          </w:p>
        </w:tc>
      </w:tr>
    </w:tbl>
    <w:p w:rsidR="00B22F8B" w:rsidP="00D85942">
      <w:pPr>
        <w:pStyle w:val="BodyText"/>
      </w:pPr>
    </w:p>
    <w:p w:rsidR="00B22F8B" w:rsidP="00D85942">
      <w:pPr>
        <w:pStyle w:val="BodyText"/>
      </w:pPr>
    </w:p>
    <w:p w:rsidR="00000000" w:rsidRPr="00D85942" w:rsidP="00D85942">
      <w:pPr>
        <w:pStyle w:val="Heading1"/>
      </w:pPr>
      <w:bookmarkStart w:id="4" w:name="O_280684"/>
      <w:bookmarkEnd w:id="4"/>
      <w:r w:rsidRPr="00D85942">
        <w:t>Licensing/Regulatory Information</w:t>
      </w:r>
    </w:p>
    <w:p w:rsidR="00000000" w:rsidRPr="00D85942" w:rsidP="00D85942">
      <w:pPr>
        <w:pStyle w:val="BodyText"/>
      </w:pPr>
      <w:r w:rsidRPr="00D85942">
        <w:t>Not Applicable</w:t>
      </w:r>
    </w:p>
    <w:p w:rsidR="00000000" w:rsidRPr="00D85942" w:rsidP="00D85942">
      <w:pPr>
        <w:pStyle w:val="AllowPageBreak"/>
      </w:pPr>
    </w:p>
    <w:p w:rsidR="00000000" w:rsidRPr="00D85942" w:rsidP="00D85942">
      <w:pPr>
        <w:pStyle w:val="Heading1"/>
      </w:pPr>
      <w:bookmarkStart w:id="5" w:name="O_213408"/>
      <w:bookmarkEnd w:id="5"/>
      <w:r w:rsidRPr="00D85942">
        <w:t>Pre-Requisites</w:t>
      </w:r>
    </w:p>
    <w:tbl>
      <w:tblPr>
        <w:tblW w:w="0" w:type="auto"/>
        <w:tblLayout w:type="fixed"/>
        <w:tblCellMar>
          <w:left w:w="62" w:type="dxa"/>
          <w:right w:w="62" w:type="dxa"/>
        </w:tblCellMar>
        <w:tblLook w:val="0000"/>
      </w:tblPr>
      <w:tblGrid>
        <w:gridCol w:w="2775"/>
        <w:gridCol w:w="1295"/>
        <w:gridCol w:w="4452"/>
      </w:tblGrid>
      <w:tr w:rsidTr="00B22F8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942">
            <w:pPr>
              <w:pStyle w:val="BodyText"/>
              <w:rPr>
                <w:lang w:val="en-NZ"/>
              </w:rPr>
            </w:pPr>
            <w:r w:rsidRPr="00D8594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942">
            <w:pPr>
              <w:pStyle w:val="BodyText"/>
              <w:rPr>
                <w:lang w:val="en-NZ"/>
              </w:rPr>
            </w:pPr>
          </w:p>
        </w:tc>
      </w:tr>
      <w:tr w:rsidTr="00B22F8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942">
            <w:pPr>
              <w:pStyle w:val="BodyText"/>
              <w:rPr>
                <w:lang w:val="en-NZ"/>
              </w:rPr>
            </w:pPr>
          </w:p>
        </w:tc>
      </w:tr>
      <w:tr w:rsidTr="00B22F8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942" w:rsidP="00D85942">
            <w:pPr>
              <w:pStyle w:val="BodyText"/>
            </w:pPr>
          </w:p>
        </w:tc>
      </w:tr>
    </w:tbl>
    <w:p w:rsidR="00B22F8B" w:rsidP="00D85942">
      <w:pPr>
        <w:pStyle w:val="BodyText"/>
      </w:pPr>
    </w:p>
    <w:p w:rsidR="00B22F8B" w:rsidP="00D85942">
      <w:pPr>
        <w:pStyle w:val="BodyText"/>
      </w:pPr>
    </w:p>
    <w:p w:rsidR="00000000" w:rsidRPr="00D85942" w:rsidP="00D85942">
      <w:pPr>
        <w:pStyle w:val="Heading1"/>
      </w:pPr>
      <w:bookmarkStart w:id="6" w:name="O_213407"/>
      <w:bookmarkEnd w:id="6"/>
      <w:r w:rsidRPr="00D85942">
        <w:t>Employability Skills Information</w:t>
      </w:r>
    </w:p>
    <w:tbl>
      <w:tblPr>
        <w:tblW w:w="0" w:type="auto"/>
        <w:tblLayout w:type="fixed"/>
        <w:tblCellMar>
          <w:left w:w="62" w:type="dxa"/>
          <w:right w:w="62" w:type="dxa"/>
        </w:tblCellMar>
        <w:tblLook w:val="0000"/>
      </w:tblPr>
      <w:tblGrid>
        <w:gridCol w:w="2802"/>
        <w:gridCol w:w="5720"/>
      </w:tblGrid>
      <w:tr w:rsidTr="00B22F8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942">
            <w:pPr>
              <w:pStyle w:val="BodyText"/>
              <w:rPr>
                <w:lang w:val="en-NZ"/>
              </w:rPr>
            </w:pPr>
            <w:r w:rsidRPr="00D8594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942" w:rsidP="00D85942">
            <w:pPr>
              <w:pStyle w:val="BodyText"/>
            </w:pPr>
            <w:r w:rsidRPr="00D85942">
              <w:t>This unit contains employability skills.</w:t>
            </w:r>
          </w:p>
        </w:tc>
      </w:tr>
    </w:tbl>
    <w:p w:rsidR="00B22F8B" w:rsidP="00D85942">
      <w:pPr>
        <w:pStyle w:val="BodyText"/>
      </w:pPr>
    </w:p>
    <w:p w:rsidR="00B22F8B" w:rsidP="00D85942">
      <w:pPr>
        <w:pStyle w:val="BodyText"/>
      </w:pPr>
    </w:p>
    <w:p w:rsidR="00000000" w:rsidRPr="00D85942" w:rsidP="00D85942">
      <w:pPr>
        <w:pStyle w:val="Heading1"/>
      </w:pPr>
      <w:bookmarkStart w:id="7" w:name="O_290470"/>
      <w:bookmarkEnd w:id="7"/>
      <w:r w:rsidRPr="00D85942">
        <w:t>Elements and Performance Criteria Pre-Content</w:t>
      </w:r>
    </w:p>
    <w:tbl>
      <w:tblPr>
        <w:tblW w:w="0" w:type="auto"/>
        <w:tblLayout w:type="fixed"/>
        <w:tblCellMar>
          <w:left w:w="62" w:type="dxa"/>
          <w:right w:w="62" w:type="dxa"/>
        </w:tblCellMar>
        <w:tblLook w:val="0000"/>
      </w:tblPr>
      <w:tblGrid>
        <w:gridCol w:w="2544"/>
        <w:gridCol w:w="5978"/>
      </w:tblGrid>
      <w:tr w:rsidTr="00B22F8B">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942">
            <w:pPr>
              <w:pStyle w:val="BodyText"/>
              <w:rPr>
                <w:lang w:val="en-NZ"/>
              </w:rPr>
            </w:pPr>
            <w:r w:rsidRPr="00D85942">
              <w:t>Elements describe the essential outcomes of a unit of competency.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942" w:rsidP="00D85942">
            <w:pPr>
              <w:pStyle w:val="BodyText"/>
            </w:pPr>
            <w:r w:rsidRPr="00D85942">
              <w:t>Performance criteria describe the performance needed to demonstrate achievement of the element. Where bold italicised text is used, further information is detailed in the required skills and</w:t>
            </w:r>
            <w:r w:rsidRPr="00D85942">
              <w:t xml:space="preserve"> knowledge section and the range statement. Assessment of performance is to be consistent with the evidence guide.</w:t>
            </w:r>
          </w:p>
        </w:tc>
      </w:tr>
    </w:tbl>
    <w:p w:rsidR="00000000" w:rsidRPr="00D85942" w:rsidP="00D85942">
      <w:pPr>
        <w:pStyle w:val="BodyText"/>
      </w:pPr>
    </w:p>
    <w:p w:rsidR="00000000" w:rsidRPr="00D85942" w:rsidP="00D85942">
      <w:pPr>
        <w:pStyle w:val="AllowPageBreak"/>
      </w:pPr>
    </w:p>
    <w:p w:rsidR="00000000" w:rsidRPr="00D85942" w:rsidP="00D85942">
      <w:pPr>
        <w:pStyle w:val="Heading1"/>
      </w:pPr>
      <w:bookmarkStart w:id="8" w:name="O_237137"/>
      <w:bookmarkEnd w:id="8"/>
      <w:r w:rsidRPr="00D85942">
        <w:t>Elements and Performance Criteria</w:t>
      </w:r>
    </w:p>
    <w:tbl>
      <w:tblPr>
        <w:tblW w:w="0" w:type="auto"/>
        <w:tblLayout w:type="fixed"/>
        <w:tblCellMar>
          <w:left w:w="62" w:type="dxa"/>
          <w:right w:w="62" w:type="dxa"/>
        </w:tblCellMar>
        <w:tblLook w:val="0000"/>
      </w:tblPr>
      <w:tblGrid>
        <w:gridCol w:w="2544"/>
        <w:gridCol w:w="5978"/>
      </w:tblGrid>
      <w:tr w:rsidTr="00B22F8B">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942" w:rsidP="00D85942">
            <w:pPr>
              <w:pStyle w:val="BodyText"/>
            </w:pPr>
            <w:r w:rsidRPr="00D85942">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942">
            <w:pPr>
              <w:pStyle w:val="BodyText"/>
              <w:rPr>
                <w:lang w:val="en-NZ"/>
              </w:rPr>
            </w:pPr>
            <w:r w:rsidRPr="00D85942">
              <w:rPr>
                <w:rStyle w:val="SpecialBold"/>
              </w:rPr>
              <w:t>PERFORMANCE CRITERIA</w:t>
            </w:r>
          </w:p>
        </w:tc>
      </w:tr>
      <w:tr w:rsidTr="00B22F8B">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942">
            <w:pPr>
              <w:pStyle w:val="List"/>
              <w:rPr>
                <w:lang w:val="en-NZ"/>
              </w:rPr>
            </w:pPr>
            <w:r w:rsidRPr="00D85942">
              <w:t>1.</w:t>
            </w:r>
            <w:r w:rsidRPr="00D85942">
              <w:tab/>
            </w:r>
            <w:r w:rsidRPr="00D85942">
              <w:t xml:space="preserve">Identify common engineering materials by their principal properties </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942" w:rsidP="00D85942">
            <w:pPr>
              <w:pStyle w:val="List2"/>
            </w:pPr>
            <w:r w:rsidRPr="00D85942">
              <w:t>1.1.</w:t>
            </w:r>
            <w:r w:rsidRPr="00D85942">
              <w:tab/>
              <w:t>The principal properties of ferrous and non-ferrous metals are identified.</w:t>
            </w:r>
          </w:p>
          <w:p w:rsidR="00000000" w:rsidRPr="00D85942" w:rsidP="00D85942">
            <w:pPr>
              <w:pStyle w:val="List2"/>
            </w:pPr>
            <w:r w:rsidRPr="00D85942">
              <w:t>1.2.</w:t>
            </w:r>
            <w:r w:rsidRPr="00D85942">
              <w:tab/>
              <w:t>The principal properties of thermosetting and thermoplastic polymers are identified.</w:t>
            </w:r>
          </w:p>
          <w:p w:rsidR="00000000" w:rsidRPr="00D85942" w:rsidP="00D85942">
            <w:pPr>
              <w:pStyle w:val="List2"/>
            </w:pPr>
            <w:r w:rsidRPr="00D85942">
              <w:t>1.3.</w:t>
            </w:r>
            <w:r w:rsidRPr="00D85942">
              <w:tab/>
              <w:t>The principa</w:t>
            </w:r>
            <w:r w:rsidRPr="00D85942">
              <w:t>l properties of ceramics and composite materials are identified.</w:t>
            </w:r>
          </w:p>
          <w:p w:rsidR="00000000" w:rsidRPr="00D85942" w:rsidP="00D85942">
            <w:pPr>
              <w:pStyle w:val="List2"/>
            </w:pPr>
            <w:r w:rsidRPr="00D85942">
              <w:t>1.4.</w:t>
            </w:r>
            <w:r w:rsidRPr="00D85942">
              <w:tab/>
              <w:t>The effects of different types of bonding in materials are identified.</w:t>
            </w:r>
          </w:p>
          <w:p w:rsidR="00000000" w:rsidP="00D85942">
            <w:pPr>
              <w:pStyle w:val="List2"/>
              <w:rPr>
                <w:lang w:val="en-NZ"/>
              </w:rPr>
            </w:pPr>
            <w:r w:rsidRPr="00D85942">
              <w:t>1.5.</w:t>
            </w:r>
            <w:r w:rsidRPr="00D85942">
              <w:tab/>
              <w:t>The effects of mechanical and thermal processes on the principal properties of materials are identified.</w:t>
            </w:r>
          </w:p>
        </w:tc>
      </w:tr>
      <w:tr w:rsidTr="00B22F8B">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942">
            <w:pPr>
              <w:pStyle w:val="List"/>
              <w:rPr>
                <w:lang w:val="en-NZ"/>
              </w:rPr>
            </w:pPr>
            <w:r w:rsidRPr="00D85942">
              <w:t>2.</w:t>
            </w:r>
            <w:r w:rsidRPr="00D85942">
              <w:tab/>
            </w:r>
            <w:r w:rsidRPr="00D85942">
              <w:t>Select materials for specific applications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942" w:rsidP="00D85942">
            <w:pPr>
              <w:pStyle w:val="List2"/>
            </w:pPr>
            <w:r w:rsidRPr="00D85942">
              <w:t>2.1.</w:t>
            </w:r>
            <w:r w:rsidRPr="00D85942">
              <w:tab/>
              <w:t>The engineering requirement for the specific application is determined in consultation with others.</w:t>
            </w:r>
          </w:p>
          <w:p w:rsidR="00000000" w:rsidRPr="00D85942" w:rsidP="00D85942">
            <w:pPr>
              <w:pStyle w:val="List2"/>
            </w:pPr>
            <w:r w:rsidRPr="00D85942">
              <w:t>2.2.</w:t>
            </w:r>
            <w:r w:rsidRPr="00D85942">
              <w:tab/>
              <w:t>Material is selected based on the requirement and consideration of principal properties and further pro</w:t>
            </w:r>
            <w:r w:rsidRPr="00D85942">
              <w:t>cessing.</w:t>
            </w:r>
          </w:p>
          <w:p w:rsidR="00000000" w:rsidP="00D85942">
            <w:pPr>
              <w:pStyle w:val="List2"/>
              <w:rPr>
                <w:lang w:val="en-NZ"/>
              </w:rPr>
            </w:pPr>
            <w:r w:rsidRPr="00D85942">
              <w:t>2.3.</w:t>
            </w:r>
            <w:r w:rsidRPr="00D85942">
              <w:tab/>
              <w:t>Selection is confirmed according to standard operating procedures.</w:t>
            </w:r>
          </w:p>
        </w:tc>
      </w:tr>
      <w:tr w:rsidTr="00B22F8B">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942">
            <w:pPr>
              <w:pStyle w:val="List"/>
              <w:rPr>
                <w:lang w:val="en-NZ"/>
              </w:rPr>
            </w:pPr>
            <w:r w:rsidRPr="00D85942">
              <w:t>3.</w:t>
            </w:r>
            <w:r w:rsidRPr="00D85942">
              <w:tab/>
              <w:t>Verify selected material as fit for purpose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942" w:rsidP="00D85942">
            <w:pPr>
              <w:pStyle w:val="List2"/>
            </w:pPr>
            <w:r w:rsidRPr="00D85942">
              <w:t>3.1.</w:t>
            </w:r>
            <w:r w:rsidRPr="00D85942">
              <w:tab/>
              <w:t>Appropriate tests for the required properties are identified.</w:t>
            </w:r>
          </w:p>
          <w:p w:rsidR="00000000" w:rsidRPr="00D85942" w:rsidP="00D85942">
            <w:pPr>
              <w:pStyle w:val="List2"/>
            </w:pPr>
            <w:r w:rsidRPr="00D85942">
              <w:t>3.2.</w:t>
            </w:r>
            <w:r w:rsidRPr="00D85942">
              <w:tab/>
              <w:t>Testing of materials is arranged with appropriate perso</w:t>
            </w:r>
            <w:r w:rsidRPr="00D85942">
              <w:t>ns, if necessary.</w:t>
            </w:r>
          </w:p>
          <w:p w:rsidR="00000000" w:rsidRPr="00D85942" w:rsidP="00D85942">
            <w:pPr>
              <w:pStyle w:val="List2"/>
            </w:pPr>
            <w:r w:rsidRPr="00D85942">
              <w:t>3.3.</w:t>
            </w:r>
            <w:r w:rsidRPr="00D85942">
              <w:tab/>
              <w:t>Test results are analysed and material choices are confirmed or modified as appropriate.</w:t>
            </w:r>
          </w:p>
        </w:tc>
      </w:tr>
    </w:tbl>
    <w:p w:rsidR="00B22F8B" w:rsidP="00D85942">
      <w:pPr>
        <w:pStyle w:val="BodyText"/>
      </w:pPr>
    </w:p>
    <w:p w:rsidR="00B22F8B" w:rsidP="00D85942">
      <w:pPr>
        <w:pStyle w:val="BodyText"/>
      </w:pPr>
    </w:p>
    <w:p w:rsidR="00000000" w:rsidRPr="00D85942" w:rsidP="00D85942">
      <w:pPr>
        <w:pStyle w:val="Heading1"/>
      </w:pPr>
      <w:bookmarkStart w:id="9" w:name="O_261087"/>
      <w:bookmarkEnd w:id="9"/>
      <w:r w:rsidRPr="00D85942">
        <w:t>Required Skills and Knowledge</w:t>
      </w:r>
    </w:p>
    <w:tbl>
      <w:tblPr>
        <w:tblW w:w="0" w:type="auto"/>
        <w:tblLayout w:type="fixed"/>
        <w:tblCellMar>
          <w:left w:w="62" w:type="dxa"/>
          <w:right w:w="62" w:type="dxa"/>
        </w:tblCellMar>
        <w:tblLook w:val="0000"/>
      </w:tblPr>
      <w:tblGrid>
        <w:gridCol w:w="8522"/>
      </w:tblGrid>
      <w:tr w:rsidTr="00B22F8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85942">
            <w:pPr>
              <w:pStyle w:val="BodyText"/>
              <w:rPr>
                <w:lang w:val="en-NZ"/>
              </w:rPr>
            </w:pPr>
            <w:r w:rsidRPr="00D85942">
              <w:rPr>
                <w:rStyle w:val="SpecialBold"/>
              </w:rPr>
              <w:t>REQUIRED SKILLS AND KNOWLEDGE</w:t>
            </w:r>
          </w:p>
        </w:tc>
      </w:tr>
      <w:tr w:rsidTr="00B22F8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85942">
            <w:pPr>
              <w:pStyle w:val="BodyText"/>
              <w:rPr>
                <w:lang w:val="en-NZ"/>
              </w:rPr>
            </w:pPr>
            <w:r w:rsidRPr="00D85942">
              <w:t>This section describes the skills and knowledge required for this unit.</w:t>
            </w:r>
          </w:p>
        </w:tc>
      </w:tr>
      <w:tr w:rsidTr="00B22F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942">
            <w:pPr>
              <w:pStyle w:val="BodyText"/>
              <w:rPr>
                <w:lang w:val="en-NZ"/>
              </w:rPr>
            </w:pPr>
            <w:r w:rsidRPr="00D85942">
              <w:rPr>
                <w:rStyle w:val="SpecialBold"/>
              </w:rPr>
              <w:t>Required skills</w:t>
            </w:r>
          </w:p>
        </w:tc>
      </w:tr>
      <w:tr w:rsidTr="00B22F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942" w:rsidP="00D85942">
            <w:pPr>
              <w:pStyle w:val="BodyText"/>
            </w:pPr>
            <w:r w:rsidRPr="00D85942">
              <w:t>Look for evidence that confirms skills in:</w:t>
            </w:r>
          </w:p>
          <w:p w:rsidR="00000000" w:rsidRPr="00D85942" w:rsidP="00D85942">
            <w:pPr>
              <w:pStyle w:val="ListBullet"/>
            </w:pPr>
            <w:r w:rsidRPr="00D85942">
              <w:t>undertaking research</w:t>
            </w:r>
          </w:p>
          <w:p w:rsidR="00000000" w:rsidRPr="00D85942" w:rsidP="00D85942">
            <w:pPr>
              <w:pStyle w:val="ListBullet"/>
            </w:pPr>
            <w:r w:rsidRPr="00D85942">
              <w:t>selecting/carrying out tests appropriate to the material</w:t>
            </w:r>
          </w:p>
          <w:p w:rsidR="00000000" w:rsidRPr="00D85942" w:rsidP="00D85942">
            <w:pPr>
              <w:pStyle w:val="ListBullet"/>
            </w:pPr>
            <w:r w:rsidRPr="00D85942">
              <w:t>communicating</w:t>
            </w:r>
          </w:p>
          <w:p w:rsidR="00000000" w:rsidRPr="00D85942" w:rsidP="00D85942">
            <w:pPr>
              <w:pStyle w:val="ListBullet"/>
            </w:pPr>
            <w:r w:rsidRPr="00D85942">
              <w:t>documenting</w:t>
            </w:r>
          </w:p>
          <w:p w:rsidR="00000000" w:rsidRPr="00D85942" w:rsidP="00D85942">
            <w:pPr>
              <w:pStyle w:val="ListBullet"/>
            </w:pPr>
            <w:r w:rsidRPr="00D85942">
              <w:t>planning and sequencing operations</w:t>
            </w:r>
          </w:p>
          <w:p w:rsidR="00000000" w:rsidP="00D85942">
            <w:pPr>
              <w:pStyle w:val="ListBullet"/>
              <w:rPr>
                <w:lang w:val="en-NZ"/>
              </w:rPr>
            </w:pPr>
            <w:r w:rsidRPr="00D85942">
              <w:t>reading, interpreting and following information on written job instructions, specifications, standard operating procedures, charts, lists, drawings and other applicable reference documents</w:t>
            </w:r>
          </w:p>
        </w:tc>
      </w:tr>
      <w:tr w:rsidTr="00B22F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942">
            <w:pPr>
              <w:pStyle w:val="BodyText"/>
              <w:rPr>
                <w:lang w:val="en-NZ"/>
              </w:rPr>
            </w:pPr>
            <w:r w:rsidRPr="00D85942">
              <w:rPr>
                <w:rStyle w:val="SpecialBold"/>
              </w:rPr>
              <w:t>Required knowledge</w:t>
            </w:r>
          </w:p>
        </w:tc>
      </w:tr>
      <w:tr w:rsidTr="00B22F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942" w:rsidP="00D85942">
            <w:pPr>
              <w:pStyle w:val="BodyText"/>
            </w:pPr>
            <w:r w:rsidRPr="00D85942">
              <w:t>Look for evidence that confirms knowledge of:</w:t>
            </w:r>
          </w:p>
          <w:p w:rsidR="00000000" w:rsidRPr="00D85942" w:rsidP="00D85942">
            <w:pPr>
              <w:pStyle w:val="ListBullet"/>
            </w:pPr>
            <w:r w:rsidRPr="00D85942">
              <w:t>classification of materials:</w:t>
            </w:r>
          </w:p>
          <w:p w:rsidR="00000000" w:rsidRPr="00D85942" w:rsidP="00D85942">
            <w:pPr>
              <w:pStyle w:val="ListBullet2"/>
            </w:pPr>
            <w:r w:rsidRPr="00D85942">
              <w:t>metals and non-metals</w:t>
            </w:r>
          </w:p>
          <w:p w:rsidR="00000000" w:rsidRPr="00D85942" w:rsidP="00D85942">
            <w:pPr>
              <w:pStyle w:val="ListBullet2"/>
            </w:pPr>
            <w:r w:rsidRPr="00D85942">
              <w:t>ferrous and non-ferrous metals</w:t>
            </w:r>
          </w:p>
          <w:p w:rsidR="00000000" w:rsidRPr="00D85942" w:rsidP="00D85942">
            <w:pPr>
              <w:pStyle w:val="ListBullet2"/>
            </w:pPr>
            <w:r w:rsidRPr="00D85942">
              <w:t>polymers (thermoplastics, thermosetting and elastomers)</w:t>
            </w:r>
          </w:p>
          <w:p w:rsidR="00000000" w:rsidRPr="00D85942" w:rsidP="00D85942">
            <w:pPr>
              <w:pStyle w:val="ListBullet2"/>
            </w:pPr>
            <w:r w:rsidRPr="00D85942">
              <w:t>ceramics</w:t>
            </w:r>
          </w:p>
          <w:p w:rsidR="00000000" w:rsidRPr="00D85942" w:rsidP="00D85942">
            <w:pPr>
              <w:pStyle w:val="ListBullet2"/>
            </w:pPr>
            <w:r w:rsidRPr="00D85942">
              <w:t>composite materials</w:t>
            </w:r>
          </w:p>
          <w:p w:rsidR="00000000" w:rsidRPr="00D85942" w:rsidP="00D85942">
            <w:pPr>
              <w:pStyle w:val="ListBullet"/>
            </w:pPr>
            <w:r w:rsidRPr="00D85942">
              <w:t>structure of materials</w:t>
            </w:r>
          </w:p>
          <w:p w:rsidR="00000000" w:rsidRPr="00D85942" w:rsidP="00D85942">
            <w:pPr>
              <w:pStyle w:val="ListBullet"/>
            </w:pPr>
            <w:r w:rsidRPr="00D85942">
              <w:t>physical properties of materials:</w:t>
            </w:r>
          </w:p>
          <w:p w:rsidR="00000000" w:rsidRPr="00D85942" w:rsidP="00D85942">
            <w:pPr>
              <w:pStyle w:val="ListBullet2"/>
            </w:pPr>
            <w:r w:rsidRPr="00D85942">
              <w:t>electrical conductivity/resistivity</w:t>
            </w:r>
          </w:p>
          <w:p w:rsidR="00000000" w:rsidRPr="00D85942" w:rsidP="00D85942">
            <w:pPr>
              <w:pStyle w:val="ListBullet2"/>
            </w:pPr>
            <w:r w:rsidRPr="00D85942">
              <w:t>specific gravity/density</w:t>
            </w:r>
          </w:p>
          <w:p w:rsidR="00000000" w:rsidRPr="00D85942" w:rsidP="00D85942">
            <w:pPr>
              <w:pStyle w:val="ListBullet2"/>
            </w:pPr>
            <w:r w:rsidRPr="00D85942">
              <w:t>thermal conductivity/expansion</w:t>
            </w:r>
          </w:p>
          <w:p w:rsidR="00000000" w:rsidRPr="00D85942" w:rsidP="00D85942">
            <w:pPr>
              <w:pStyle w:val="ListBullet2"/>
            </w:pPr>
            <w:r w:rsidRPr="00D85942">
              <w:t>specific heat</w:t>
            </w:r>
          </w:p>
          <w:p w:rsidR="00000000" w:rsidRPr="00D85942" w:rsidP="00D85942">
            <w:pPr>
              <w:pStyle w:val="ListBullet2"/>
            </w:pPr>
            <w:r w:rsidRPr="00D85942">
              <w:t>melting/boiling points</w:t>
            </w:r>
          </w:p>
          <w:p w:rsidR="00000000" w:rsidRPr="00D85942" w:rsidP="00D85942">
            <w:pPr>
              <w:pStyle w:val="ListBullet"/>
            </w:pPr>
            <w:r w:rsidRPr="00D85942">
              <w:t>magnetic properties</w:t>
            </w:r>
          </w:p>
          <w:p w:rsidR="00000000" w:rsidRPr="00D85942" w:rsidP="00D85942">
            <w:pPr>
              <w:pStyle w:val="ListBullet"/>
            </w:pPr>
            <w:r w:rsidRPr="00D85942">
              <w:t>optical properties</w:t>
            </w:r>
          </w:p>
          <w:p w:rsidR="00000000" w:rsidRPr="00D85942" w:rsidP="00D85942">
            <w:pPr>
              <w:pStyle w:val="ListBullet"/>
            </w:pPr>
            <w:r w:rsidRPr="00D85942">
              <w:t>mechanical properties:</w:t>
            </w:r>
          </w:p>
          <w:p w:rsidR="00000000" w:rsidRPr="00D85942" w:rsidP="00D85942">
            <w:pPr>
              <w:pStyle w:val="ListBullet2"/>
            </w:pPr>
            <w:r w:rsidRPr="00D85942">
              <w:t>strength - yield, tensile, compressive</w:t>
            </w:r>
          </w:p>
          <w:p w:rsidR="00000000" w:rsidRPr="00D85942" w:rsidP="00D85942">
            <w:pPr>
              <w:pStyle w:val="ListBullet2"/>
            </w:pPr>
            <w:r w:rsidRPr="00D85942">
              <w:t>stress/strain data</w:t>
            </w:r>
          </w:p>
          <w:p w:rsidR="00000000" w:rsidRPr="00D85942" w:rsidP="00D85942">
            <w:pPr>
              <w:pStyle w:val="ListBullet2"/>
            </w:pPr>
            <w:r w:rsidRPr="00D85942">
              <w:t>hardness</w:t>
            </w:r>
          </w:p>
          <w:p w:rsidR="00000000" w:rsidRPr="00D85942" w:rsidP="00D85942">
            <w:pPr>
              <w:pStyle w:val="ListBullet2"/>
            </w:pPr>
            <w:r w:rsidRPr="00D85942">
              <w:t>toughness (impact and slow strain)</w:t>
            </w:r>
          </w:p>
          <w:p w:rsidR="00000000" w:rsidRPr="00D85942" w:rsidP="00D85942">
            <w:pPr>
              <w:pStyle w:val="ListBullet2"/>
            </w:pPr>
            <w:r w:rsidRPr="00D85942">
              <w:t>elasticity</w:t>
            </w:r>
          </w:p>
          <w:p w:rsidR="00000000" w:rsidRPr="00D85942" w:rsidP="00D85942">
            <w:pPr>
              <w:pStyle w:val="ListBullet2"/>
            </w:pPr>
            <w:r w:rsidRPr="00D85942">
              <w:t>plasticity</w:t>
            </w:r>
          </w:p>
          <w:p w:rsidR="00000000" w:rsidRPr="00D85942" w:rsidP="00D85942">
            <w:pPr>
              <w:pStyle w:val="ListBullet2"/>
            </w:pPr>
            <w:r w:rsidRPr="00D85942">
              <w:t>ductility</w:t>
            </w:r>
          </w:p>
          <w:p w:rsidR="00000000" w:rsidRPr="00D85942" w:rsidP="00D85942">
            <w:pPr>
              <w:pStyle w:val="ListBullet2"/>
            </w:pPr>
            <w:r w:rsidRPr="00D85942">
              <w:t>malleability</w:t>
            </w:r>
          </w:p>
          <w:p w:rsidR="00000000" w:rsidRPr="00D85942" w:rsidP="00D85942">
            <w:pPr>
              <w:pStyle w:val="ListBullet2"/>
            </w:pPr>
            <w:r w:rsidRPr="00D85942">
              <w:t>fatigue</w:t>
            </w:r>
          </w:p>
          <w:p w:rsidR="00000000" w:rsidRPr="00D85942" w:rsidP="00D85942">
            <w:pPr>
              <w:pStyle w:val="ListBullet2"/>
            </w:pPr>
            <w:r w:rsidRPr="00D85942">
              <w:t>creep</w:t>
            </w:r>
          </w:p>
          <w:p w:rsidR="00000000" w:rsidRPr="00D85942" w:rsidP="00D85942">
            <w:pPr>
              <w:pStyle w:val="ListBullet"/>
            </w:pPr>
            <w:r w:rsidRPr="00D85942">
              <w:t>chemical properties:</w:t>
            </w:r>
          </w:p>
          <w:p w:rsidR="00000000" w:rsidRPr="00D85942" w:rsidP="00D85942">
            <w:pPr>
              <w:pStyle w:val="ListBullet2"/>
            </w:pPr>
            <w:r w:rsidRPr="00D85942">
              <w:t>corrosion of metals, corrosion processes, mechanisms</w:t>
            </w:r>
          </w:p>
          <w:p w:rsidR="00000000" w:rsidRPr="00D85942" w:rsidP="00D85942">
            <w:pPr>
              <w:pStyle w:val="ListBullet2"/>
            </w:pPr>
            <w:r w:rsidRPr="00D85942">
              <w:t>degradation of poly</w:t>
            </w:r>
            <w:r w:rsidRPr="00D85942">
              <w:t>mers</w:t>
            </w:r>
          </w:p>
          <w:p w:rsidR="00000000" w:rsidRPr="00D85942" w:rsidP="00D85942">
            <w:pPr>
              <w:pStyle w:val="ListBullet"/>
            </w:pPr>
            <w:r w:rsidRPr="00D85942">
              <w:t>materials testing methods - destructive testing and applications:</w:t>
            </w:r>
          </w:p>
          <w:p w:rsidR="00000000" w:rsidRPr="00D85942" w:rsidP="00D85942">
            <w:pPr>
              <w:pStyle w:val="ListBullet2"/>
            </w:pPr>
            <w:r w:rsidRPr="00D85942">
              <w:t>tensile</w:t>
            </w:r>
          </w:p>
          <w:p w:rsidR="00000000" w:rsidRPr="00D85942" w:rsidP="00D85942">
            <w:pPr>
              <w:pStyle w:val="ListBullet2"/>
            </w:pPr>
            <w:r w:rsidRPr="00D85942">
              <w:t>compressive</w:t>
            </w:r>
          </w:p>
          <w:p w:rsidR="00000000" w:rsidRPr="00D85942" w:rsidP="00D85942">
            <w:pPr>
              <w:pStyle w:val="ListBullet2"/>
            </w:pPr>
            <w:r w:rsidRPr="00D85942">
              <w:t>shear</w:t>
            </w:r>
          </w:p>
          <w:p w:rsidR="00000000" w:rsidRPr="00D85942" w:rsidP="00D85942">
            <w:pPr>
              <w:pStyle w:val="ListBullet2"/>
            </w:pPr>
            <w:r w:rsidRPr="00D85942">
              <w:t>torsion</w:t>
            </w:r>
          </w:p>
          <w:p w:rsidR="00000000" w:rsidRPr="00D85942" w:rsidP="00D85942">
            <w:pPr>
              <w:pStyle w:val="ListBullet2"/>
            </w:pPr>
            <w:r w:rsidRPr="00D85942">
              <w:t>hardness</w:t>
            </w:r>
          </w:p>
          <w:p w:rsidR="00000000" w:rsidRPr="00D85942" w:rsidP="00D85942">
            <w:pPr>
              <w:pStyle w:val="ListBullet2"/>
            </w:pPr>
            <w:r w:rsidRPr="00D85942">
              <w:t>impact</w:t>
            </w:r>
          </w:p>
          <w:p w:rsidR="00000000" w:rsidRPr="00D85942" w:rsidP="00D85942">
            <w:pPr>
              <w:pStyle w:val="ListBullet2"/>
            </w:pPr>
            <w:r w:rsidRPr="00D85942">
              <w:t>fatigue</w:t>
            </w:r>
          </w:p>
          <w:p w:rsidR="00000000" w:rsidRPr="00D85942" w:rsidP="00D85942">
            <w:pPr>
              <w:pStyle w:val="ListBullet2"/>
            </w:pPr>
            <w:r w:rsidRPr="00D85942">
              <w:t>creep</w:t>
            </w:r>
          </w:p>
          <w:p w:rsidR="00000000" w:rsidRPr="00D85942" w:rsidP="00D85942">
            <w:pPr>
              <w:pStyle w:val="ListBullet2"/>
            </w:pPr>
            <w:r w:rsidRPr="00D85942">
              <w:t>visual</w:t>
            </w:r>
          </w:p>
          <w:p w:rsidR="00000000" w:rsidRPr="00D85942" w:rsidP="00D85942">
            <w:pPr>
              <w:pStyle w:val="ListBullet2"/>
            </w:pPr>
            <w:r w:rsidRPr="00D85942">
              <w:t>corrosion testing</w:t>
            </w:r>
          </w:p>
          <w:p w:rsidR="00000000" w:rsidRPr="00D85942" w:rsidP="00D85942">
            <w:pPr>
              <w:pStyle w:val="ListBullet"/>
            </w:pPr>
            <w:r w:rsidRPr="00D85942">
              <w:t>engineering materials</w:t>
            </w:r>
          </w:p>
          <w:p w:rsidR="00000000" w:rsidRPr="00D85942" w:rsidP="00D85942">
            <w:pPr>
              <w:pStyle w:val="ListBullet"/>
            </w:pPr>
            <w:r w:rsidRPr="00D85942">
              <w:t>engineering applications of ferrous metals:</w:t>
            </w:r>
          </w:p>
          <w:p w:rsidR="00000000" w:rsidRPr="00D85942" w:rsidP="00D85942">
            <w:pPr>
              <w:pStyle w:val="ListBullet2"/>
            </w:pPr>
            <w:r w:rsidRPr="00D85942">
              <w:t>cast irons</w:t>
            </w:r>
          </w:p>
          <w:p w:rsidR="00000000" w:rsidRPr="00D85942" w:rsidP="00D85942">
            <w:pPr>
              <w:pStyle w:val="ListBullet2"/>
            </w:pPr>
            <w:r w:rsidRPr="00D85942">
              <w:t>carbon and alloy steels</w:t>
            </w:r>
          </w:p>
          <w:p w:rsidR="00000000" w:rsidRPr="00D85942" w:rsidP="00D85942">
            <w:pPr>
              <w:pStyle w:val="ListBullet2"/>
            </w:pPr>
            <w:r w:rsidRPr="00D85942">
              <w:t>stainless steels</w:t>
            </w:r>
          </w:p>
          <w:p w:rsidR="00000000" w:rsidRPr="00D85942" w:rsidP="00D85942">
            <w:pPr>
              <w:pStyle w:val="ListBullet"/>
            </w:pPr>
            <w:r w:rsidRPr="00D85942">
              <w:t>engineering applications of non-ferrous metals:</w:t>
            </w:r>
          </w:p>
          <w:p w:rsidR="00000000" w:rsidRPr="00D85942" w:rsidP="00D85942">
            <w:pPr>
              <w:pStyle w:val="ListBullet2"/>
            </w:pPr>
            <w:r w:rsidRPr="00D85942">
              <w:t>aluminium and its alloys</w:t>
            </w:r>
          </w:p>
          <w:p w:rsidR="00000000" w:rsidRPr="00D85942" w:rsidP="00D85942">
            <w:pPr>
              <w:pStyle w:val="ListBullet2"/>
            </w:pPr>
            <w:r w:rsidRPr="00D85942">
              <w:t>copper, brass and bronze</w:t>
            </w:r>
          </w:p>
          <w:p w:rsidR="00000000" w:rsidRPr="00D85942" w:rsidP="00D85942">
            <w:pPr>
              <w:pStyle w:val="ListBullet2"/>
            </w:pPr>
            <w:r w:rsidRPr="00D85942">
              <w:t>nickel alloys, zinc, titanium</w:t>
            </w:r>
          </w:p>
          <w:p w:rsidR="00000000" w:rsidRPr="00D85942" w:rsidP="00D85942">
            <w:pPr>
              <w:pStyle w:val="ListBullet2"/>
            </w:pPr>
            <w:r w:rsidRPr="00D85942">
              <w:t>magnesium</w:t>
            </w:r>
          </w:p>
          <w:p w:rsidR="00000000" w:rsidRPr="00D85942" w:rsidP="00D85942">
            <w:pPr>
              <w:pStyle w:val="ListBullet2"/>
            </w:pPr>
            <w:r w:rsidRPr="00D85942">
              <w:t>refractory metals</w:t>
            </w:r>
          </w:p>
          <w:p w:rsidR="00000000" w:rsidRPr="00D85942" w:rsidP="00D85942">
            <w:pPr>
              <w:pStyle w:val="ListBullet"/>
            </w:pPr>
            <w:r w:rsidRPr="00D85942">
              <w:t>engineering applications of polymers:</w:t>
            </w:r>
          </w:p>
          <w:p w:rsidR="00000000" w:rsidRPr="00D85942" w:rsidP="00D85942">
            <w:pPr>
              <w:pStyle w:val="ListBullet2"/>
            </w:pPr>
            <w:r w:rsidRPr="00D85942">
              <w:t>thermosetting pol</w:t>
            </w:r>
            <w:r w:rsidRPr="00D85942">
              <w:t>ymers</w:t>
            </w:r>
          </w:p>
          <w:p w:rsidR="00000000" w:rsidRPr="00D85942" w:rsidP="00D85942">
            <w:pPr>
              <w:pStyle w:val="ListBullet2"/>
            </w:pPr>
            <w:r w:rsidRPr="00D85942">
              <w:t>thermoplastic polymers</w:t>
            </w:r>
          </w:p>
          <w:p w:rsidR="00000000" w:rsidRPr="00D85942" w:rsidP="00D85942">
            <w:pPr>
              <w:pStyle w:val="ListBullet2"/>
            </w:pPr>
            <w:r w:rsidRPr="00D85942">
              <w:t>ceramics and glasses</w:t>
            </w:r>
          </w:p>
          <w:p w:rsidR="00000000" w:rsidRPr="00D85942" w:rsidP="00D85942">
            <w:pPr>
              <w:pStyle w:val="ListBullet"/>
            </w:pPr>
            <w:r w:rsidRPr="00D85942">
              <w:t>effects of mechanical and thermal processes on the properties of materials:</w:t>
            </w:r>
          </w:p>
          <w:p w:rsidR="00000000" w:rsidRPr="00D85942" w:rsidP="00D85942">
            <w:pPr>
              <w:pStyle w:val="ListBullet2"/>
            </w:pPr>
            <w:r w:rsidRPr="00D85942">
              <w:t>casting</w:t>
            </w:r>
          </w:p>
          <w:p w:rsidR="00000000" w:rsidRPr="00D85942" w:rsidP="00D85942">
            <w:pPr>
              <w:pStyle w:val="ListBullet2"/>
            </w:pPr>
            <w:r w:rsidRPr="00D85942">
              <w:t>forging, rolling and extrusion</w:t>
            </w:r>
          </w:p>
          <w:p w:rsidR="00000000" w:rsidRPr="00D85942" w:rsidP="00D85942">
            <w:pPr>
              <w:pStyle w:val="ListBullet2"/>
            </w:pPr>
            <w:r w:rsidRPr="00D85942">
              <w:t>cold forming</w:t>
            </w:r>
          </w:p>
          <w:p w:rsidR="00000000" w:rsidRPr="00D85942" w:rsidP="00D85942">
            <w:pPr>
              <w:pStyle w:val="ListBullet2"/>
            </w:pPr>
            <w:r w:rsidRPr="00D85942">
              <w:t>powder processes</w:t>
            </w:r>
          </w:p>
          <w:p w:rsidR="00000000" w:rsidRPr="00D85942" w:rsidP="00D85942">
            <w:pPr>
              <w:pStyle w:val="ListBullet2"/>
            </w:pPr>
            <w:r w:rsidRPr="00D85942">
              <w:t>heat treatment</w:t>
            </w:r>
          </w:p>
          <w:p w:rsidR="00000000" w:rsidRPr="00D85942" w:rsidP="00D85942">
            <w:pPr>
              <w:pStyle w:val="ListBullet2"/>
            </w:pPr>
            <w:r w:rsidRPr="00D85942">
              <w:t>joining - fasteners</w:t>
            </w:r>
          </w:p>
          <w:p w:rsidR="00000000" w:rsidRPr="00D85942" w:rsidP="00D85942">
            <w:pPr>
              <w:pStyle w:val="ListBullet2"/>
            </w:pPr>
            <w:r w:rsidRPr="00D85942">
              <w:t>soldering</w:t>
            </w:r>
          </w:p>
          <w:p w:rsidR="00000000" w:rsidRPr="00D85942" w:rsidP="00D85942">
            <w:pPr>
              <w:pStyle w:val="ListBullet2"/>
            </w:pPr>
            <w:r w:rsidRPr="00D85942">
              <w:t>brazing</w:t>
            </w:r>
          </w:p>
          <w:p w:rsidR="00000000" w:rsidRPr="00D85942" w:rsidP="00D85942">
            <w:pPr>
              <w:pStyle w:val="ListBullet2"/>
            </w:pPr>
            <w:r w:rsidRPr="00D85942">
              <w:t>welding</w:t>
            </w:r>
          </w:p>
          <w:p w:rsidR="00000000" w:rsidRPr="00D85942" w:rsidP="00D85942">
            <w:pPr>
              <w:pStyle w:val="ListBullet2"/>
            </w:pPr>
            <w:r w:rsidRPr="00D85942">
              <w:t>adhesives</w:t>
            </w:r>
          </w:p>
          <w:p w:rsidR="00000000" w:rsidRPr="00D85942" w:rsidP="00D85942">
            <w:pPr>
              <w:pStyle w:val="ListBullet2"/>
            </w:pPr>
            <w:r w:rsidRPr="00D85942">
              <w:t xml:space="preserve">finishing - coatings, metallic and non-metallic </w:t>
            </w:r>
          </w:p>
          <w:p w:rsidR="00000000" w:rsidRPr="00D85942" w:rsidP="00D85942">
            <w:pPr>
              <w:pStyle w:val="ListBullet"/>
            </w:pPr>
            <w:r w:rsidRPr="00D85942">
              <w:t>hazards and control measure associated with selecting common engineering materials, including housekeeping</w:t>
            </w:r>
          </w:p>
          <w:p w:rsidR="00000000" w:rsidRPr="00D85942" w:rsidP="00D85942">
            <w:pPr>
              <w:pStyle w:val="ListBullet"/>
            </w:pPr>
            <w:r w:rsidRPr="00D85942">
              <w:t>safe work practices and procedures</w:t>
            </w:r>
          </w:p>
        </w:tc>
      </w:tr>
    </w:tbl>
    <w:p w:rsidR="00B22F8B" w:rsidP="00D85942">
      <w:pPr>
        <w:pStyle w:val="BodyText"/>
      </w:pPr>
    </w:p>
    <w:p w:rsidR="00B22F8B" w:rsidP="00D85942">
      <w:pPr>
        <w:pStyle w:val="BodyText"/>
      </w:pPr>
    </w:p>
    <w:p w:rsidR="00000000" w:rsidRPr="00D85942" w:rsidP="00D85942">
      <w:pPr>
        <w:pStyle w:val="AllowPageBreak"/>
      </w:pPr>
    </w:p>
    <w:p w:rsidR="00000000" w:rsidRPr="00D85942" w:rsidP="00D85942">
      <w:pPr>
        <w:pStyle w:val="Heading1"/>
      </w:pPr>
      <w:bookmarkStart w:id="10" w:name="O_245121"/>
      <w:bookmarkEnd w:id="10"/>
      <w:r w:rsidRPr="00D85942">
        <w:t>Evidence Guide</w:t>
      </w:r>
    </w:p>
    <w:tbl>
      <w:tblPr>
        <w:tblW w:w="9570" w:type="dxa"/>
        <w:tblLayout w:type="fixed"/>
        <w:tblCellMar>
          <w:left w:w="62" w:type="dxa"/>
          <w:right w:w="62" w:type="dxa"/>
        </w:tblCellMar>
        <w:tblLook w:val="0000"/>
      </w:tblPr>
      <w:tblGrid>
        <w:gridCol w:w="3908"/>
        <w:gridCol w:w="5662"/>
      </w:tblGrid>
      <w:tr w:rsidTr="00B22F8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942">
            <w:pPr>
              <w:pStyle w:val="BodyText"/>
              <w:rPr>
                <w:lang w:val="en-NZ"/>
              </w:rPr>
            </w:pPr>
            <w:r w:rsidRPr="00D85942">
              <w:rPr>
                <w:rStyle w:val="SpecialBold"/>
              </w:rPr>
              <w:t>EVIDENCE GUIDE</w:t>
            </w:r>
          </w:p>
        </w:tc>
      </w:tr>
      <w:tr w:rsidTr="00B22F8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942">
            <w:pPr>
              <w:pStyle w:val="BodyText"/>
              <w:rPr>
                <w:lang w:val="en-NZ"/>
              </w:rPr>
            </w:pPr>
            <w:r w:rsidRPr="00D85942">
              <w:t>The evidence guide provides advice on assessment and must be read in conjunction with the performance criteria, required skills and knowledge, range statement and the Assessment Guidelines for the Training Package.</w:t>
            </w:r>
          </w:p>
        </w:tc>
      </w:tr>
      <w:tr w:rsidTr="00B22F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942">
            <w:pPr>
              <w:pStyle w:val="BodyText"/>
              <w:rPr>
                <w:lang w:val="en-NZ"/>
              </w:rPr>
            </w:pPr>
            <w:r w:rsidRPr="00D85942">
              <w:rPr>
                <w:rStyle w:val="SpecialBold"/>
              </w:rPr>
              <w:t>Overvie</w:t>
            </w:r>
            <w:r w:rsidRPr="00D85942">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942">
            <w:pPr>
              <w:pStyle w:val="BodyText"/>
              <w:rPr>
                <w:lang w:val="en-NZ"/>
              </w:rPr>
            </w:pPr>
            <w:r w:rsidRPr="00D85942">
              <w:t xml:space="preserve">A person who demonstrates competency in this unit must be able to select common engineering materials. </w:t>
            </w:r>
          </w:p>
        </w:tc>
      </w:tr>
      <w:tr w:rsidTr="00B22F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942">
            <w:pPr>
              <w:pStyle w:val="BodyText"/>
              <w:rPr>
                <w:lang w:val="en-NZ"/>
              </w:rPr>
            </w:pPr>
            <w:r w:rsidRPr="00D8594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942">
            <w:pPr>
              <w:pStyle w:val="BodyText"/>
              <w:rPr>
                <w:lang w:val="en-NZ"/>
              </w:rPr>
            </w:pPr>
            <w:r w:rsidRPr="00D85942">
              <w:t>Assessors must be satisfied that the candidate can competently and consistently perform all elements of the unit as specified by the criteria, including required knowledge, and be capable of applying the competency in new and different situations and conte</w:t>
            </w:r>
            <w:r w:rsidRPr="00D85942">
              <w:t>xts.</w:t>
            </w:r>
          </w:p>
        </w:tc>
      </w:tr>
      <w:tr w:rsidTr="00B22F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942">
            <w:pPr>
              <w:pStyle w:val="BodyText"/>
              <w:rPr>
                <w:lang w:val="en-NZ"/>
              </w:rPr>
            </w:pPr>
            <w:r w:rsidRPr="00D8594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942" w:rsidP="00D85942">
            <w:pPr>
              <w:pStyle w:val="BodyText"/>
            </w:pPr>
            <w:r w:rsidRPr="00D85942">
              <w:t xml:space="preserve">This unit may be assessed on the job, off the job or a combination of both on and off the job. Where assessment occurs off the job, that is the candidate is not in productive work, then an appropriate </w:t>
            </w:r>
            <w:r w:rsidRPr="00D85942">
              <w:t>simulation must be used where the range of conditions reflects realistic workplace situations. The competencies covered by this unit would be demonstrated by an individual working alone or as part of a team. The assessment environment should not disadvanta</w:t>
            </w:r>
            <w:r w:rsidRPr="00D85942">
              <w:t>ge the candidate.</w:t>
            </w:r>
          </w:p>
          <w:p w:rsidR="00000000" w:rsidP="00D85942">
            <w:pPr>
              <w:pStyle w:val="BodyText"/>
              <w:rPr>
                <w:lang w:val="en-NZ"/>
              </w:rPr>
            </w:pPr>
            <w:r w:rsidRPr="00D85942">
              <w:t>This unit could be assessed in conjunction with any other units addressing the safety, quality, communication, materials handling, recording and reporting associated with selecting common engineering materials, or other units requiring th</w:t>
            </w:r>
            <w:r w:rsidRPr="00D85942">
              <w:t>e exercise of the skills and knowledge covered by this unit.</w:t>
            </w:r>
          </w:p>
        </w:tc>
      </w:tr>
      <w:tr w:rsidTr="00B22F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942">
            <w:pPr>
              <w:pStyle w:val="BodyText"/>
              <w:rPr>
                <w:lang w:val="en-NZ"/>
              </w:rPr>
            </w:pPr>
            <w:r w:rsidRPr="00D8594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942">
            <w:pPr>
              <w:pStyle w:val="BodyText"/>
              <w:rPr>
                <w:lang w:val="en-NZ"/>
              </w:rPr>
            </w:pPr>
            <w:r w:rsidRPr="00D85942">
              <w:t>Assessors should gather a range of evidence that is valid, sufficient, current and authentic. Evidence can be gathered through a variety of ways including direct observation</w:t>
            </w:r>
            <w:r w:rsidRPr="00D85942">
              <w:t>, supervisor's reports, project work, samples and questioning. Questioning should not require language, literacy and numeracy skills beyond those required in this unit. The candidate must have access to all tools, equipment, materials and documentation req</w:t>
            </w:r>
            <w:r w:rsidRPr="00D85942">
              <w:t>uired and must be permitted to refer to any relevant workplace procedures, product and manufacturing specifications, codes, standards, manuals and reference materials.</w:t>
            </w:r>
          </w:p>
        </w:tc>
      </w:tr>
      <w:tr w:rsidTr="00B22F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942">
            <w:pPr>
              <w:pStyle w:val="BodyText"/>
              <w:rPr>
                <w:lang w:val="en-NZ"/>
              </w:rPr>
            </w:pPr>
            <w:r w:rsidRPr="00D8594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942" w:rsidP="00D85942">
            <w:pPr>
              <w:pStyle w:val="BodyText"/>
            </w:pPr>
          </w:p>
        </w:tc>
      </w:tr>
    </w:tbl>
    <w:p w:rsidR="00B22F8B" w:rsidP="00D85942">
      <w:pPr>
        <w:pStyle w:val="BodyText"/>
      </w:pPr>
    </w:p>
    <w:p w:rsidR="00B22F8B" w:rsidP="00D85942">
      <w:pPr>
        <w:pStyle w:val="BodyText"/>
      </w:pPr>
    </w:p>
    <w:p w:rsidR="00000000" w:rsidRPr="00D85942" w:rsidP="00D85942">
      <w:pPr>
        <w:pStyle w:val="Heading1"/>
      </w:pPr>
      <w:bookmarkStart w:id="11" w:name="O_253104"/>
      <w:bookmarkEnd w:id="11"/>
      <w:r w:rsidRPr="00D85942">
        <w:t>Range Statement</w:t>
      </w:r>
    </w:p>
    <w:tbl>
      <w:tblPr>
        <w:tblW w:w="0" w:type="auto"/>
        <w:tblLayout w:type="fixed"/>
        <w:tblCellMar>
          <w:left w:w="62" w:type="dxa"/>
          <w:right w:w="62" w:type="dxa"/>
        </w:tblCellMar>
        <w:tblLook w:val="0000"/>
      </w:tblPr>
      <w:tblGrid>
        <w:gridCol w:w="3509"/>
        <w:gridCol w:w="5013"/>
      </w:tblGrid>
      <w:tr w:rsidTr="00B22F8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942">
            <w:pPr>
              <w:pStyle w:val="BodyText"/>
              <w:rPr>
                <w:lang w:val="en-NZ"/>
              </w:rPr>
            </w:pPr>
            <w:r w:rsidRPr="00D85942">
              <w:rPr>
                <w:rStyle w:val="SpecialBold"/>
              </w:rPr>
              <w:t>RANGE STATEM</w:t>
            </w:r>
            <w:r w:rsidRPr="00D85942">
              <w:rPr>
                <w:rStyle w:val="SpecialBold"/>
              </w:rPr>
              <w:t>ENT</w:t>
            </w:r>
          </w:p>
        </w:tc>
      </w:tr>
      <w:tr w:rsidTr="00B22F8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942">
            <w:pPr>
              <w:pStyle w:val="BodyText"/>
              <w:rPr>
                <w:lang w:val="en-NZ"/>
              </w:rPr>
            </w:pPr>
            <w:r w:rsidRPr="00D85942">
              <w:t xml:space="preserve">The range statement relates to the unit of competency as a whole. It allows for different work environments and situations that may affect </w:t>
            </w:r>
            <w:r w:rsidRPr="00D85942">
              <w:t>performance. Bold italicised wording, if used in the performance criteria, is detailed below. Essential operating conditions that may be present with training and assessment (depending on the work situation, needs of the candidate, accessibility of the ite</w:t>
            </w:r>
            <w:r w:rsidRPr="00D85942">
              <w:t>m, and local industry and regional contexts) may also be included.</w:t>
            </w:r>
          </w:p>
        </w:tc>
      </w:tr>
      <w:tr w:rsidTr="00B22F8B">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942">
            <w:pPr>
              <w:pStyle w:val="BodyText"/>
              <w:rPr>
                <w:lang w:val="en-NZ"/>
              </w:rPr>
            </w:pPr>
            <w:r w:rsidRPr="00D85942">
              <w:rPr>
                <w:rStyle w:val="SpecialBold"/>
              </w:rPr>
              <w:t>Common engineering materials</w:t>
            </w:r>
            <w:r w:rsidRPr="00D85942">
              <w:t xml:space="preserve"> </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942">
            <w:pPr>
              <w:pStyle w:val="BodyText"/>
              <w:rPr>
                <w:lang w:val="en-NZ"/>
              </w:rPr>
            </w:pPr>
            <w:r w:rsidRPr="00D85942">
              <w:t>Includes ferrous metals, cast irons, carbon and alloy steels, stainless steels, coated steels, non-ferrous metals, aluminium and its alloys, copper and its a</w:t>
            </w:r>
            <w:r w:rsidRPr="00D85942">
              <w:t>lloys, nickel alloys, zinc, titanium, magnesium, refractory metals, polymers, thermosetting polymers, thermoplastic polymers, ceramics and glasses</w:t>
            </w:r>
          </w:p>
        </w:tc>
      </w:tr>
      <w:tr w:rsidTr="00B22F8B">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942">
            <w:pPr>
              <w:pStyle w:val="BodyText"/>
              <w:rPr>
                <w:lang w:val="en-NZ"/>
              </w:rPr>
            </w:pPr>
            <w:r w:rsidRPr="00D85942">
              <w:rPr>
                <w:rStyle w:val="SpecialBold"/>
              </w:rPr>
              <w:t>Appropriate tests</w:t>
            </w:r>
            <w:r w:rsidRPr="00D85942">
              <w:t xml:space="preserve"> </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942">
            <w:pPr>
              <w:pStyle w:val="BodyText"/>
              <w:rPr>
                <w:lang w:val="en-NZ"/>
              </w:rPr>
            </w:pPr>
            <w:r w:rsidRPr="00D85942">
              <w:t>Tests which can be undertaken by a technician within the organisation as well as those re</w:t>
            </w:r>
            <w:r w:rsidRPr="00D85942">
              <w:t xml:space="preserve">quired to be undertaken by external organisations, including simple tests </w:t>
            </w:r>
          </w:p>
        </w:tc>
      </w:tr>
      <w:tr w:rsidTr="00B22F8B">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942">
            <w:pPr>
              <w:pStyle w:val="BodyText"/>
              <w:rPr>
                <w:lang w:val="en-NZ"/>
              </w:rPr>
            </w:pPr>
            <w:r w:rsidRPr="00D85942">
              <w:rPr>
                <w:rStyle w:val="SpecialBold"/>
              </w:rPr>
              <w:t>Required properties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942">
            <w:pPr>
              <w:pStyle w:val="BodyText"/>
              <w:rPr>
                <w:lang w:val="en-NZ"/>
              </w:rPr>
            </w:pPr>
            <w:r w:rsidRPr="00D85942">
              <w:t>Properties to be tested include tensile strength, compression, shear characteristics, torsion, hardness, impact resistance, fatigue resistance, creep resistanc</w:t>
            </w:r>
            <w:r w:rsidRPr="00D85942">
              <w:t>e, visual appearance and colour, magnetic properties, corrosion resistance</w:t>
            </w:r>
          </w:p>
        </w:tc>
      </w:tr>
      <w:tr w:rsidTr="00B22F8B">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942">
            <w:pPr>
              <w:pStyle w:val="BodyText"/>
              <w:rPr>
                <w:lang w:val="en-NZ"/>
              </w:rPr>
            </w:pPr>
            <w:r w:rsidRPr="00D85942">
              <w:rPr>
                <w:rStyle w:val="SpecialBold"/>
              </w:rPr>
              <w:t>Appropriate persons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942" w:rsidP="00D85942">
            <w:pPr>
              <w:pStyle w:val="BodyText"/>
            </w:pPr>
            <w:r w:rsidRPr="00D85942">
              <w:t>Internal technicians and/or external organisations</w:t>
            </w:r>
          </w:p>
        </w:tc>
      </w:tr>
    </w:tbl>
    <w:p w:rsidR="00B22F8B" w:rsidP="00D85942">
      <w:pPr>
        <w:pStyle w:val="BodyText"/>
      </w:pPr>
    </w:p>
    <w:p w:rsidR="00B22F8B" w:rsidP="00D85942">
      <w:pPr>
        <w:pStyle w:val="BodyText"/>
      </w:pPr>
    </w:p>
    <w:p w:rsidR="00000000" w:rsidRPr="00D85942" w:rsidP="00D85942">
      <w:pPr>
        <w:pStyle w:val="Heading1"/>
      </w:pPr>
      <w:bookmarkStart w:id="12" w:name="O_213412"/>
      <w:bookmarkEnd w:id="12"/>
      <w:r w:rsidRPr="00D85942">
        <w:t>Unit Sector(s)</w:t>
      </w:r>
    </w:p>
    <w:tbl>
      <w:tblPr>
        <w:tblW w:w="0" w:type="auto"/>
        <w:tblLayout w:type="fixed"/>
        <w:tblCellMar>
          <w:left w:w="62" w:type="dxa"/>
          <w:right w:w="62" w:type="dxa"/>
        </w:tblCellMar>
        <w:tblLook w:val="0000"/>
      </w:tblPr>
      <w:tblGrid>
        <w:gridCol w:w="2654"/>
        <w:gridCol w:w="5868"/>
      </w:tblGrid>
      <w:tr w:rsidTr="00B22F8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942">
            <w:pPr>
              <w:pStyle w:val="BodyText"/>
              <w:rPr>
                <w:lang w:val="en-NZ"/>
              </w:rPr>
            </w:pPr>
            <w:r w:rsidRPr="00D8594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942" w:rsidP="00D85942">
            <w:pPr>
              <w:pStyle w:val="BodyText"/>
            </w:pPr>
          </w:p>
        </w:tc>
      </w:tr>
    </w:tbl>
    <w:p w:rsidR="00B22F8B" w:rsidP="00D85942">
      <w:pPr>
        <w:pStyle w:val="BodyText"/>
      </w:pPr>
    </w:p>
    <w:p w:rsidR="00B22F8B" w:rsidP="00D85942">
      <w:pPr>
        <w:pStyle w:val="BodyText"/>
      </w:pPr>
    </w:p>
    <w:p w:rsidR="00000000" w:rsidRPr="00D85942" w:rsidP="00D85942">
      <w:pPr>
        <w:pStyle w:val="Heading1"/>
      </w:pPr>
      <w:bookmarkStart w:id="13" w:name="O_213409"/>
      <w:bookmarkEnd w:id="13"/>
      <w:r w:rsidRPr="00D85942">
        <w:t>Co-requisite units</w:t>
      </w:r>
    </w:p>
    <w:tbl>
      <w:tblPr>
        <w:tblW w:w="0" w:type="auto"/>
        <w:tblLayout w:type="fixed"/>
        <w:tblCellMar>
          <w:left w:w="62" w:type="dxa"/>
          <w:right w:w="62" w:type="dxa"/>
        </w:tblCellMar>
        <w:tblLook w:val="0000"/>
      </w:tblPr>
      <w:tblGrid>
        <w:gridCol w:w="2641"/>
        <w:gridCol w:w="1322"/>
        <w:gridCol w:w="4559"/>
      </w:tblGrid>
      <w:tr w:rsidTr="00B22F8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942">
            <w:pPr>
              <w:pStyle w:val="BodyText"/>
              <w:rPr>
                <w:lang w:val="en-NZ"/>
              </w:rPr>
            </w:pPr>
            <w:r w:rsidRPr="00D8594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942">
            <w:pPr>
              <w:pStyle w:val="BodyText"/>
              <w:rPr>
                <w:lang w:val="en-NZ"/>
              </w:rPr>
            </w:pPr>
          </w:p>
        </w:tc>
      </w:tr>
      <w:tr w:rsidTr="00B22F8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942">
            <w:pPr>
              <w:pStyle w:val="BodyText"/>
              <w:rPr>
                <w:lang w:val="en-NZ"/>
              </w:rPr>
            </w:pPr>
          </w:p>
        </w:tc>
      </w:tr>
      <w:tr w:rsidTr="00B22F8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942" w:rsidP="00D85942">
            <w:pPr>
              <w:pStyle w:val="BodyText"/>
            </w:pPr>
          </w:p>
        </w:tc>
      </w:tr>
    </w:tbl>
    <w:p w:rsidR="00B22F8B" w:rsidP="00D85942">
      <w:pPr>
        <w:pStyle w:val="BodyText"/>
      </w:pPr>
    </w:p>
    <w:p w:rsidR="00B22F8B" w:rsidP="00D85942">
      <w:pPr>
        <w:pStyle w:val="BodyText"/>
      </w:pPr>
    </w:p>
    <w:p w:rsidR="00000000" w:rsidRPr="00D85942" w:rsidP="00D85942">
      <w:pPr>
        <w:pStyle w:val="Heading1"/>
      </w:pPr>
      <w:bookmarkStart w:id="14" w:name="O_213411"/>
      <w:bookmarkEnd w:id="14"/>
      <w:r w:rsidRPr="00D85942">
        <w:t>Competency field</w:t>
      </w:r>
    </w:p>
    <w:tbl>
      <w:tblPr>
        <w:tblW w:w="0" w:type="auto"/>
        <w:tblLayout w:type="fixed"/>
        <w:tblCellMar>
          <w:left w:w="62" w:type="dxa"/>
          <w:right w:w="62" w:type="dxa"/>
        </w:tblCellMar>
        <w:tblLook w:val="0000"/>
      </w:tblPr>
      <w:tblGrid>
        <w:gridCol w:w="2775"/>
        <w:gridCol w:w="5747"/>
      </w:tblGrid>
      <w:tr w:rsidTr="00B22F8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942">
            <w:pPr>
              <w:pStyle w:val="BodyText"/>
              <w:rPr>
                <w:lang w:val="en-NZ"/>
              </w:rPr>
            </w:pPr>
            <w:r w:rsidRPr="00D85942">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942" w:rsidP="00D85942">
            <w:pPr>
              <w:pStyle w:val="BodyText"/>
            </w:pPr>
            <w:r w:rsidRPr="00D85942">
              <w:t>Engineering technician</w:t>
            </w:r>
          </w:p>
        </w:tc>
      </w:tr>
    </w:tbl>
    <w:p w:rsidR="00B22F8B" w:rsidP="00D85942">
      <w:pPr>
        <w:pStyle w:val="BodyText"/>
      </w:pPr>
    </w:p>
    <w:p w:rsidR="00B22F8B" w:rsidP="00D85942">
      <w:pPr>
        <w:pStyle w:val="BodyText"/>
      </w:pPr>
    </w:p>
    <w:p w:rsidR="00000000" w:rsidRPr="00D85942" w:rsidP="00D85942"/>
    <w:sectPr w:rsidSect="00D859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9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2F8B" w:rsidP="00B22F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9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8B" w:rsidP="00D859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22F8B" w:rsidP="00D859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22F8B" w:rsidP="00D859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9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2F8B" w:rsidP="00B22F8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9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8B" w:rsidP="00D85942">
    <w:pPr>
      <w:pStyle w:val="Header"/>
      <w:framePr w:wrap="around"/>
    </w:pPr>
    <w:r>
      <w:fldChar w:fldCharType="begin"/>
    </w:r>
    <w:r>
      <w:instrText xml:space="preserve"> TITLE   \* MERGEFORMAT </w:instrText>
    </w:r>
    <w:r>
      <w:fldChar w:fldCharType="separate"/>
    </w:r>
    <w:r>
      <w:t>MEM30007A Select common engineering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22F8B" w:rsidP="00D859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7890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98E8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0E26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9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85942"/>
    <w:pPr>
      <w:spacing w:before="360" w:after="60"/>
      <w:outlineLvl w:val="0"/>
    </w:pPr>
    <w:rPr>
      <w:sz w:val="32"/>
    </w:rPr>
  </w:style>
  <w:style w:type="paragraph" w:styleId="Heading2">
    <w:name w:val="heading 2"/>
    <w:basedOn w:val="HeadingBase"/>
    <w:next w:val="BodyText"/>
    <w:link w:val="Heading2Char"/>
    <w:qFormat/>
    <w:rsid w:val="00D85942"/>
    <w:pPr>
      <w:keepLines/>
      <w:spacing w:before="240" w:after="120"/>
      <w:outlineLvl w:val="1"/>
    </w:pPr>
    <w:rPr>
      <w:sz w:val="28"/>
      <w:szCs w:val="40"/>
    </w:rPr>
  </w:style>
  <w:style w:type="paragraph" w:styleId="Heading3">
    <w:name w:val="heading 3"/>
    <w:basedOn w:val="HeadingBase"/>
    <w:next w:val="BodyText"/>
    <w:link w:val="Heading3Char"/>
    <w:qFormat/>
    <w:rsid w:val="00D85942"/>
    <w:pPr>
      <w:spacing w:before="180" w:after="120"/>
      <w:outlineLvl w:val="2"/>
    </w:pPr>
    <w:rPr>
      <w:spacing w:val="-10"/>
      <w:kern w:val="32"/>
    </w:rPr>
  </w:style>
  <w:style w:type="paragraph" w:styleId="Heading4">
    <w:name w:val="heading 4"/>
    <w:basedOn w:val="HeadingBase"/>
    <w:next w:val="BodyText"/>
    <w:link w:val="Heading4Char"/>
    <w:qFormat/>
    <w:rsid w:val="00D85942"/>
    <w:pPr>
      <w:spacing w:before="160" w:after="120"/>
      <w:outlineLvl w:val="3"/>
    </w:pPr>
    <w:rPr>
      <w:sz w:val="22"/>
    </w:rPr>
  </w:style>
  <w:style w:type="paragraph" w:styleId="Heading5">
    <w:name w:val="heading 5"/>
    <w:basedOn w:val="HeadingBase"/>
    <w:next w:val="Normal"/>
    <w:link w:val="Heading5Char"/>
    <w:qFormat/>
    <w:rsid w:val="00D85942"/>
    <w:pPr>
      <w:spacing w:before="80"/>
      <w:outlineLvl w:val="4"/>
    </w:pPr>
    <w:rPr>
      <w:color w:val="918585"/>
      <w:sz w:val="20"/>
    </w:rPr>
  </w:style>
  <w:style w:type="paragraph" w:styleId="Heading6">
    <w:name w:val="heading 6"/>
    <w:basedOn w:val="HeadingBase"/>
    <w:next w:val="Normal"/>
    <w:link w:val="Heading6Char"/>
    <w:qFormat/>
    <w:rsid w:val="00D85942"/>
    <w:pPr>
      <w:spacing w:before="60"/>
      <w:outlineLvl w:val="5"/>
    </w:pPr>
    <w:rPr>
      <w:color w:val="918585"/>
      <w:sz w:val="20"/>
    </w:rPr>
  </w:style>
  <w:style w:type="paragraph" w:styleId="Heading7">
    <w:name w:val="heading 7"/>
    <w:basedOn w:val="Normal"/>
    <w:next w:val="Normal"/>
    <w:link w:val="Heading7Char"/>
    <w:qFormat/>
    <w:rsid w:val="00D85942"/>
    <w:pPr>
      <w:ind w:left="720"/>
      <w:outlineLvl w:val="6"/>
    </w:pPr>
    <w:rPr>
      <w:i/>
    </w:rPr>
  </w:style>
  <w:style w:type="paragraph" w:styleId="Heading8">
    <w:name w:val="heading 8"/>
    <w:basedOn w:val="Normal"/>
    <w:next w:val="Normal"/>
    <w:link w:val="Heading8Char"/>
    <w:qFormat/>
    <w:rsid w:val="00D85942"/>
    <w:pPr>
      <w:ind w:left="720"/>
      <w:outlineLvl w:val="7"/>
    </w:pPr>
    <w:rPr>
      <w:i/>
    </w:rPr>
  </w:style>
  <w:style w:type="paragraph" w:styleId="Heading9">
    <w:name w:val="heading 9"/>
    <w:basedOn w:val="Normal"/>
    <w:next w:val="Normal"/>
    <w:link w:val="Heading9Char"/>
    <w:qFormat/>
    <w:rsid w:val="00D85942"/>
    <w:pPr>
      <w:ind w:left="720"/>
      <w:outlineLvl w:val="8"/>
    </w:pPr>
    <w:rPr>
      <w:i/>
    </w:rPr>
  </w:style>
  <w:style w:type="character" w:default="1" w:styleId="DefaultParagraphFont">
    <w:name w:val="Default Paragraph Font"/>
    <w:uiPriority w:val="1"/>
    <w:unhideWhenUsed/>
    <w:rsid w:val="00D859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5942"/>
  </w:style>
  <w:style w:type="character" w:customStyle="1" w:styleId="Heading1Char">
    <w:name w:val="Heading 1 Char"/>
    <w:link w:val="Heading1"/>
    <w:rsid w:val="00D85942"/>
    <w:rPr>
      <w:rFonts w:ascii="Times New Roman" w:eastAsia="Times New Roman" w:hAnsi="Times New Roman" w:cs="Times New Roman"/>
      <w:b/>
      <w:sz w:val="32"/>
      <w:szCs w:val="20"/>
      <w:lang w:eastAsia="en-US"/>
    </w:rPr>
  </w:style>
  <w:style w:type="paragraph" w:styleId="BodyText">
    <w:name w:val="Body Text"/>
    <w:basedOn w:val="Normal"/>
    <w:link w:val="BodyTextChar"/>
    <w:rsid w:val="00D85942"/>
    <w:pPr>
      <w:spacing w:before="120" w:after="120"/>
      <w:contextualSpacing/>
    </w:pPr>
    <w:rPr>
      <w:rFonts w:ascii="Times New Roman" w:hAnsi="Times New Roman"/>
      <w:sz w:val="24"/>
      <w:szCs w:val="22"/>
    </w:rPr>
  </w:style>
  <w:style w:type="character" w:customStyle="1" w:styleId="BodyTextChar">
    <w:name w:val="Body Text Char"/>
    <w:link w:val="BodyText"/>
    <w:rsid w:val="00D85942"/>
    <w:rPr>
      <w:rFonts w:ascii="Times New Roman" w:eastAsia="Times New Roman" w:hAnsi="Times New Roman" w:cs="Times New Roman"/>
      <w:sz w:val="24"/>
      <w:lang w:val="en-US" w:eastAsia="en-US"/>
    </w:rPr>
  </w:style>
  <w:style w:type="paragraph" w:styleId="Footer">
    <w:name w:val="footer"/>
    <w:basedOn w:val="Normal"/>
    <w:link w:val="FooterChar"/>
    <w:rsid w:val="00D859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85942"/>
    <w:rPr>
      <w:rFonts w:ascii="Times New Roman" w:eastAsia="Times New Roman" w:hAnsi="Times New Roman" w:cs="Times New Roman"/>
      <w:sz w:val="16"/>
      <w:lang w:val="en-US" w:eastAsia="en-US"/>
    </w:rPr>
  </w:style>
  <w:style w:type="paragraph" w:styleId="List">
    <w:name w:val="List"/>
    <w:basedOn w:val="BodyText"/>
    <w:next w:val="BodyText"/>
    <w:rsid w:val="00D85942"/>
    <w:pPr>
      <w:tabs>
        <w:tab w:val="left" w:pos="340"/>
      </w:tabs>
      <w:spacing w:before="60" w:after="60"/>
      <w:ind w:left="340" w:hanging="340"/>
    </w:pPr>
  </w:style>
  <w:style w:type="paragraph" w:styleId="ListBullet">
    <w:name w:val="List Bullet"/>
    <w:basedOn w:val="List"/>
    <w:rsid w:val="00D85942"/>
    <w:pPr>
      <w:numPr>
        <w:numId w:val="13"/>
      </w:numPr>
      <w:tabs>
        <w:tab w:val="clear" w:pos="340"/>
      </w:tabs>
      <w:spacing w:before="40" w:after="40"/>
    </w:pPr>
  </w:style>
  <w:style w:type="character" w:customStyle="1" w:styleId="SpecialBold">
    <w:name w:val="Special Bold"/>
    <w:rsid w:val="00D85942"/>
    <w:rPr>
      <w:b/>
      <w:spacing w:val="0"/>
    </w:rPr>
  </w:style>
  <w:style w:type="paragraph" w:styleId="ListBullet2">
    <w:name w:val="List Bullet 2"/>
    <w:basedOn w:val="List2"/>
    <w:rsid w:val="00D85942"/>
    <w:pPr>
      <w:numPr>
        <w:numId w:val="14"/>
      </w:numPr>
      <w:tabs>
        <w:tab w:val="clear" w:pos="680"/>
      </w:tabs>
    </w:pPr>
  </w:style>
  <w:style w:type="paragraph" w:styleId="Header">
    <w:name w:val="header"/>
    <w:basedOn w:val="Normal"/>
    <w:link w:val="HeaderChar"/>
    <w:rsid w:val="00D859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8594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85942"/>
    <w:pPr>
      <w:spacing w:before="240" w:after="120"/>
      <w:outlineLvl w:val="0"/>
    </w:pPr>
    <w:rPr>
      <w:rFonts w:ascii="Times New Roman" w:hAnsi="Times New Roman"/>
      <w:b/>
      <w:sz w:val="28"/>
    </w:rPr>
  </w:style>
  <w:style w:type="paragraph" w:customStyle="1" w:styleId="AllowPageBreak">
    <w:name w:val="AllowPageBreak"/>
    <w:rsid w:val="00D8594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85942"/>
    <w:pPr>
      <w:tabs>
        <w:tab w:val="left" w:pos="680"/>
      </w:tabs>
      <w:spacing w:before="60" w:after="60"/>
      <w:ind w:left="680" w:hanging="340"/>
    </w:pPr>
  </w:style>
  <w:style w:type="character" w:customStyle="1" w:styleId="Heading2Char">
    <w:name w:val="Heading 2 Char"/>
    <w:link w:val="Heading2"/>
    <w:rsid w:val="00D85942"/>
    <w:rPr>
      <w:rFonts w:ascii="Times New Roman" w:eastAsia="Times New Roman" w:hAnsi="Times New Roman" w:cs="Times New Roman"/>
      <w:b/>
      <w:sz w:val="28"/>
      <w:szCs w:val="40"/>
      <w:lang w:eastAsia="en-US"/>
    </w:rPr>
  </w:style>
  <w:style w:type="character" w:customStyle="1" w:styleId="Heading3Char">
    <w:name w:val="Heading 3 Char"/>
    <w:link w:val="Heading3"/>
    <w:rsid w:val="00D8594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85942"/>
    <w:rPr>
      <w:rFonts w:ascii="Times New Roman" w:eastAsia="Times New Roman" w:hAnsi="Times New Roman" w:cs="Times New Roman"/>
      <w:b/>
      <w:szCs w:val="20"/>
      <w:lang w:eastAsia="en-US"/>
    </w:rPr>
  </w:style>
  <w:style w:type="character" w:customStyle="1" w:styleId="Heading5Char">
    <w:name w:val="Heading 5 Char"/>
    <w:link w:val="Heading5"/>
    <w:rsid w:val="00D8594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859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59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859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85942"/>
    <w:rPr>
      <w:rFonts w:ascii="Courier New" w:eastAsia="Times New Roman" w:hAnsi="Courier New" w:cs="Times New Roman"/>
      <w:i/>
      <w:szCs w:val="20"/>
      <w:lang w:val="en-US" w:eastAsia="en-US"/>
    </w:rPr>
  </w:style>
  <w:style w:type="paragraph" w:customStyle="1" w:styleId="HeadingBase">
    <w:name w:val="Heading Base"/>
    <w:rsid w:val="00D859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5942"/>
    <w:pPr>
      <w:tabs>
        <w:tab w:val="right" w:leader="dot" w:pos="9072"/>
      </w:tabs>
      <w:ind w:left="567"/>
    </w:pPr>
    <w:rPr>
      <w:szCs w:val="22"/>
    </w:rPr>
  </w:style>
  <w:style w:type="paragraph" w:customStyle="1" w:styleId="TOCBase">
    <w:name w:val="TOC Base"/>
    <w:rsid w:val="00D859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5942"/>
    <w:pPr>
      <w:tabs>
        <w:tab w:val="right" w:leader="dot" w:pos="9072"/>
      </w:tabs>
      <w:spacing w:before="40" w:after="40"/>
      <w:ind w:left="284"/>
    </w:pPr>
    <w:rPr>
      <w:rFonts w:ascii="Times New Roman" w:hAnsi="Times New Roman"/>
    </w:rPr>
  </w:style>
  <w:style w:type="paragraph" w:styleId="TOC1">
    <w:name w:val="toc 1"/>
    <w:basedOn w:val="TOCBase"/>
    <w:next w:val="Normal"/>
    <w:rsid w:val="00D859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5942"/>
    <w:pPr>
      <w:spacing w:before="5040"/>
      <w:jc w:val="center"/>
    </w:pPr>
    <w:rPr>
      <w:sz w:val="48"/>
      <w:szCs w:val="72"/>
      <w:lang w:val="en-US"/>
    </w:rPr>
  </w:style>
  <w:style w:type="character" w:customStyle="1" w:styleId="TitleChar">
    <w:name w:val="Title Char"/>
    <w:link w:val="Title"/>
    <w:rsid w:val="00D859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5942"/>
    <w:pPr>
      <w:tabs>
        <w:tab w:val="left" w:pos="3600"/>
        <w:tab w:val="left" w:pos="3958"/>
      </w:tabs>
    </w:pPr>
  </w:style>
  <w:style w:type="paragraph" w:customStyle="1" w:styleId="Note">
    <w:name w:val="Note"/>
    <w:basedOn w:val="BodyText"/>
    <w:rsid w:val="00D859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5942"/>
    <w:pPr>
      <w:framePr w:wrap="auto" w:hAnchor="text" w:y="6049"/>
    </w:pPr>
    <w:rPr>
      <w:color w:val="000000"/>
      <w:sz w:val="40"/>
    </w:rPr>
  </w:style>
  <w:style w:type="paragraph" w:customStyle="1" w:styleId="TOCTitle">
    <w:name w:val="TOCTitle"/>
    <w:basedOn w:val="Heading1"/>
    <w:rsid w:val="00D85942"/>
    <w:pPr>
      <w:spacing w:after="240"/>
      <w:jc w:val="center"/>
      <w:outlineLvl w:val="9"/>
    </w:pPr>
    <w:rPr>
      <w:caps/>
    </w:rPr>
  </w:style>
  <w:style w:type="paragraph" w:customStyle="1" w:styleId="Version">
    <w:name w:val="Version"/>
    <w:rsid w:val="00D859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5942"/>
    <w:pPr>
      <w:keepNext w:val="0"/>
      <w:tabs>
        <w:tab w:val="right" w:pos="4176"/>
      </w:tabs>
      <w:ind w:left="198" w:hanging="198"/>
    </w:pPr>
    <w:rPr>
      <w:rFonts w:ascii="Garamond" w:hAnsi="Garamond"/>
    </w:rPr>
  </w:style>
  <w:style w:type="paragraph" w:styleId="IndexHeading">
    <w:name w:val="index heading"/>
    <w:basedOn w:val="Normal"/>
    <w:next w:val="Index1"/>
    <w:semiHidden/>
    <w:rsid w:val="00D85942"/>
    <w:pPr>
      <w:spacing w:before="120" w:after="120"/>
    </w:pPr>
    <w:rPr>
      <w:rFonts w:ascii="Arial" w:hAnsi="Arial"/>
      <w:b/>
      <w:color w:val="918585"/>
      <w:sz w:val="24"/>
    </w:rPr>
  </w:style>
  <w:style w:type="paragraph" w:customStyle="1" w:styleId="Chapter">
    <w:name w:val="Chapter"/>
    <w:basedOn w:val="Normal"/>
    <w:rsid w:val="00D85942"/>
    <w:pPr>
      <w:spacing w:before="240"/>
    </w:pPr>
    <w:rPr>
      <w:rFonts w:ascii="Times New Roman" w:hAnsi="Times New Roman"/>
      <w:smallCaps/>
      <w:spacing w:val="80"/>
      <w:sz w:val="28"/>
    </w:rPr>
  </w:style>
  <w:style w:type="paragraph" w:customStyle="1" w:styleId="InChapter">
    <w:name w:val="InChapter"/>
    <w:basedOn w:val="Heading3"/>
    <w:rsid w:val="00D85942"/>
    <w:pPr>
      <w:spacing w:after="240"/>
      <w:outlineLvl w:val="9"/>
    </w:pPr>
    <w:rPr>
      <w:noProof/>
    </w:rPr>
  </w:style>
  <w:style w:type="paragraph" w:styleId="Index2">
    <w:name w:val="index 2"/>
    <w:basedOn w:val="Normal"/>
    <w:next w:val="Normal"/>
    <w:semiHidden/>
    <w:rsid w:val="00D85942"/>
    <w:pPr>
      <w:tabs>
        <w:tab w:val="right" w:pos="4176"/>
      </w:tabs>
      <w:ind w:left="568" w:hanging="284"/>
    </w:pPr>
    <w:rPr>
      <w:rFonts w:ascii="Garamond" w:hAnsi="Garamond"/>
    </w:rPr>
  </w:style>
  <w:style w:type="paragraph" w:customStyle="1" w:styleId="Byline">
    <w:name w:val="Byline"/>
    <w:rsid w:val="00D859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5942"/>
    <w:pPr>
      <w:tabs>
        <w:tab w:val="clear" w:pos="3600"/>
        <w:tab w:val="clear" w:pos="3958"/>
      </w:tabs>
      <w:jc w:val="right"/>
    </w:pPr>
  </w:style>
  <w:style w:type="character" w:styleId="Emphasis">
    <w:name w:val="Emphasis"/>
    <w:qFormat/>
    <w:rsid w:val="00D85942"/>
    <w:rPr>
      <w:i/>
    </w:rPr>
  </w:style>
  <w:style w:type="paragraph" w:styleId="Caption">
    <w:name w:val="caption"/>
    <w:basedOn w:val="BodyText"/>
    <w:next w:val="Normal"/>
    <w:qFormat/>
    <w:rsid w:val="00D85942"/>
    <w:pPr>
      <w:framePr w:w="2268" w:hSpace="181" w:vSpace="181" w:wrap="around" w:vAnchor="text" w:hAnchor="page" w:x="1135" w:y="285" w:anchorLock="1"/>
    </w:pPr>
    <w:rPr>
      <w:i/>
    </w:rPr>
  </w:style>
  <w:style w:type="paragraph" w:customStyle="1" w:styleId="MiniTOCTitle">
    <w:name w:val="MiniTOCTitle"/>
    <w:basedOn w:val="Heading4"/>
    <w:rsid w:val="00D85942"/>
    <w:pPr>
      <w:spacing w:before="240"/>
      <w:outlineLvl w:val="9"/>
    </w:pPr>
    <w:rPr>
      <w:noProof/>
      <w:sz w:val="24"/>
    </w:rPr>
  </w:style>
  <w:style w:type="paragraph" w:customStyle="1" w:styleId="MiniTOCItem">
    <w:name w:val="MiniTOCItem"/>
    <w:basedOn w:val="ListBullet"/>
    <w:rsid w:val="00D85942"/>
    <w:pPr>
      <w:numPr>
        <w:numId w:val="0"/>
      </w:numPr>
      <w:tabs>
        <w:tab w:val="right" w:leader="dot" w:pos="6521"/>
      </w:tabs>
      <w:spacing w:before="0" w:after="0"/>
    </w:pPr>
  </w:style>
  <w:style w:type="paragraph" w:customStyle="1" w:styleId="TOFTitle">
    <w:name w:val="TOFTitle"/>
    <w:basedOn w:val="TOCTitle"/>
    <w:rsid w:val="00D85942"/>
  </w:style>
  <w:style w:type="paragraph" w:styleId="TableofFigures">
    <w:name w:val="table of figures"/>
    <w:basedOn w:val="Normal"/>
    <w:next w:val="Normal"/>
    <w:semiHidden/>
    <w:rsid w:val="00D85942"/>
    <w:pPr>
      <w:tabs>
        <w:tab w:val="right" w:leader="dot" w:pos="9072"/>
      </w:tabs>
      <w:ind w:left="970" w:hanging="403"/>
    </w:pPr>
    <w:rPr>
      <w:rFonts w:ascii="Times New Roman" w:hAnsi="Times New Roman"/>
      <w:b/>
    </w:rPr>
  </w:style>
  <w:style w:type="paragraph" w:styleId="ListNumber">
    <w:name w:val="List Number"/>
    <w:basedOn w:val="List"/>
    <w:rsid w:val="00D85942"/>
    <w:pPr>
      <w:numPr>
        <w:numId w:val="11"/>
      </w:numPr>
    </w:pPr>
  </w:style>
  <w:style w:type="character" w:customStyle="1" w:styleId="WingdingSymbols">
    <w:name w:val="Wingding Symbols"/>
    <w:rsid w:val="00D85942"/>
    <w:rPr>
      <w:rFonts w:ascii="Wingdings" w:hAnsi="Wingdings"/>
    </w:rPr>
  </w:style>
  <w:style w:type="paragraph" w:customStyle="1" w:styleId="TableHeading">
    <w:name w:val="Table Heading"/>
    <w:basedOn w:val="HeadingBase"/>
    <w:rsid w:val="00D85942"/>
    <w:pPr>
      <w:keepLines/>
      <w:pBdr>
        <w:bottom w:val="single" w:sz="6" w:space="1" w:color="918585"/>
      </w:pBdr>
      <w:spacing w:before="240"/>
    </w:pPr>
  </w:style>
  <w:style w:type="character" w:customStyle="1" w:styleId="HotSpot">
    <w:name w:val="HotSpot"/>
    <w:rsid w:val="00D85942"/>
    <w:rPr>
      <w:color w:val="0033CC"/>
      <w:u w:val="none"/>
    </w:rPr>
  </w:style>
  <w:style w:type="paragraph" w:customStyle="1" w:styleId="BodyTextRight">
    <w:name w:val="Body Text Right"/>
    <w:basedOn w:val="BodyText"/>
    <w:rsid w:val="00D85942"/>
    <w:pPr>
      <w:spacing w:before="0" w:after="0"/>
      <w:jc w:val="right"/>
    </w:pPr>
  </w:style>
  <w:style w:type="paragraph" w:styleId="Index3">
    <w:name w:val="index 3"/>
    <w:basedOn w:val="ListNumber2"/>
    <w:next w:val="Normal"/>
    <w:semiHidden/>
    <w:rsid w:val="00D85942"/>
    <w:pPr>
      <w:numPr>
        <w:numId w:val="0"/>
      </w:numPr>
      <w:tabs>
        <w:tab w:val="right" w:leader="dot" w:pos="4176"/>
      </w:tabs>
    </w:pPr>
  </w:style>
  <w:style w:type="paragraph" w:styleId="ListNumber2">
    <w:name w:val="List Number 2"/>
    <w:basedOn w:val="List2"/>
    <w:rsid w:val="00D85942"/>
    <w:pPr>
      <w:numPr>
        <w:numId w:val="10"/>
      </w:numPr>
      <w:tabs>
        <w:tab w:val="clear" w:pos="1060"/>
      </w:tabs>
    </w:pPr>
  </w:style>
  <w:style w:type="paragraph" w:customStyle="1" w:styleId="MarginNote">
    <w:name w:val="Margin Note"/>
    <w:basedOn w:val="BodyText"/>
    <w:rsid w:val="00D859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59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859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85942"/>
    <w:rPr>
      <w:sz w:val="32"/>
    </w:rPr>
  </w:style>
  <w:style w:type="paragraph" w:customStyle="1" w:styleId="HeadingProcedure">
    <w:name w:val="Heading Procedure"/>
    <w:basedOn w:val="HeadingBase"/>
    <w:next w:val="Normal"/>
    <w:rsid w:val="00D85942"/>
    <w:pPr>
      <w:tabs>
        <w:tab w:val="left" w:pos="0"/>
      </w:tabs>
      <w:spacing w:before="120" w:after="60"/>
    </w:pPr>
    <w:rPr>
      <w:i/>
      <w:color w:val="918585"/>
      <w:sz w:val="22"/>
    </w:rPr>
  </w:style>
  <w:style w:type="paragraph" w:customStyle="1" w:styleId="TableBodyText">
    <w:name w:val="Table Body Text"/>
    <w:basedOn w:val="BodyText"/>
    <w:rsid w:val="00D85942"/>
    <w:pPr>
      <w:spacing w:before="60" w:after="60"/>
    </w:pPr>
  </w:style>
  <w:style w:type="paragraph" w:styleId="ListContinue">
    <w:name w:val="List Continue"/>
    <w:basedOn w:val="List"/>
    <w:rsid w:val="00D85942"/>
    <w:pPr>
      <w:ind w:firstLine="0"/>
    </w:pPr>
  </w:style>
  <w:style w:type="paragraph" w:customStyle="1" w:styleId="ListNote">
    <w:name w:val="List Note"/>
    <w:basedOn w:val="List"/>
    <w:rsid w:val="00D85942"/>
    <w:pPr>
      <w:pBdr>
        <w:top w:val="single" w:sz="6" w:space="2" w:color="918585"/>
        <w:bottom w:val="single" w:sz="6" w:space="2" w:color="918585"/>
      </w:pBdr>
      <w:tabs>
        <w:tab w:val="left" w:pos="1021"/>
      </w:tabs>
      <w:ind w:firstLine="0"/>
    </w:pPr>
  </w:style>
  <w:style w:type="paragraph" w:customStyle="1" w:styleId="Warning">
    <w:name w:val="Warning"/>
    <w:basedOn w:val="BodyText"/>
    <w:rsid w:val="00D85942"/>
    <w:pPr>
      <w:shd w:val="clear" w:color="auto" w:fill="D9D9D9"/>
      <w:tabs>
        <w:tab w:val="left" w:pos="992"/>
      </w:tabs>
      <w:ind w:left="119" w:right="119"/>
    </w:pPr>
    <w:rPr>
      <w:sz w:val="20"/>
    </w:rPr>
  </w:style>
  <w:style w:type="paragraph" w:customStyle="1" w:styleId="MarginIcons">
    <w:name w:val="Margin Icons"/>
    <w:basedOn w:val="BodyText"/>
    <w:rsid w:val="00D8594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85942"/>
    <w:rPr>
      <w:rFonts w:ascii="Courier New" w:hAnsi="Courier New"/>
    </w:rPr>
  </w:style>
  <w:style w:type="paragraph" w:customStyle="1" w:styleId="NoteBullet">
    <w:name w:val="Note Bullet"/>
    <w:basedOn w:val="Note"/>
    <w:rsid w:val="00D85942"/>
    <w:pPr>
      <w:tabs>
        <w:tab w:val="clear" w:pos="680"/>
      </w:tabs>
      <w:spacing w:before="60" w:after="60"/>
    </w:pPr>
  </w:style>
  <w:style w:type="paragraph" w:customStyle="1" w:styleId="SubHeading2">
    <w:name w:val="SubHeading2"/>
    <w:basedOn w:val="HeadingBase"/>
    <w:rsid w:val="00D85942"/>
    <w:pPr>
      <w:spacing w:before="240" w:after="60"/>
    </w:pPr>
    <w:rPr>
      <w:sz w:val="20"/>
    </w:rPr>
  </w:style>
  <w:style w:type="paragraph" w:customStyle="1" w:styleId="SubHeading1">
    <w:name w:val="SubHeading1"/>
    <w:basedOn w:val="HeadingBase"/>
    <w:rsid w:val="00D85942"/>
    <w:pPr>
      <w:spacing w:before="240" w:after="60"/>
    </w:pPr>
    <w:rPr>
      <w:color w:val="918585"/>
      <w:sz w:val="22"/>
    </w:rPr>
  </w:style>
  <w:style w:type="paragraph" w:customStyle="1" w:styleId="SideHeading">
    <w:name w:val="Side Heading"/>
    <w:basedOn w:val="HeadingBase"/>
    <w:rsid w:val="00D859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5942"/>
    <w:pPr>
      <w:numPr>
        <w:numId w:val="12"/>
      </w:numPr>
    </w:pPr>
  </w:style>
  <w:style w:type="paragraph" w:styleId="PlainText">
    <w:name w:val="Plain Text"/>
    <w:basedOn w:val="Normal"/>
    <w:link w:val="PlainTextChar"/>
    <w:rsid w:val="00D85942"/>
    <w:rPr>
      <w:sz w:val="20"/>
    </w:rPr>
  </w:style>
  <w:style w:type="character" w:customStyle="1" w:styleId="PlainTextChar">
    <w:name w:val="Plain Text Char"/>
    <w:basedOn w:val="DefaultParagraphFont"/>
    <w:link w:val="PlainText"/>
    <w:rsid w:val="00D85942"/>
    <w:rPr>
      <w:rFonts w:ascii="Courier New" w:eastAsia="Times New Roman" w:hAnsi="Courier New" w:cs="Times New Roman"/>
      <w:sz w:val="20"/>
      <w:szCs w:val="20"/>
      <w:lang w:val="en-US" w:eastAsia="en-US"/>
    </w:rPr>
  </w:style>
  <w:style w:type="character" w:customStyle="1" w:styleId="MenuOption">
    <w:name w:val="Menu Option"/>
    <w:rsid w:val="00D85942"/>
    <w:rPr>
      <w:b/>
      <w:smallCaps/>
    </w:rPr>
  </w:style>
  <w:style w:type="paragraph" w:customStyle="1" w:styleId="TableListNumber">
    <w:name w:val="Table List Number"/>
    <w:basedOn w:val="ListNumber"/>
    <w:rsid w:val="00D85942"/>
    <w:pPr>
      <w:numPr>
        <w:numId w:val="0"/>
      </w:numPr>
    </w:pPr>
  </w:style>
  <w:style w:type="paragraph" w:styleId="TOC4">
    <w:name w:val="toc 4"/>
    <w:basedOn w:val="TOCBase"/>
    <w:next w:val="Normal"/>
    <w:semiHidden/>
    <w:rsid w:val="00D85942"/>
    <w:pPr>
      <w:tabs>
        <w:tab w:val="right" w:leader="dot" w:pos="9071"/>
      </w:tabs>
      <w:ind w:left="1701"/>
    </w:pPr>
  </w:style>
  <w:style w:type="paragraph" w:customStyle="1" w:styleId="ListAlpha">
    <w:name w:val="List Alpha"/>
    <w:basedOn w:val="List"/>
    <w:rsid w:val="00D85942"/>
    <w:pPr>
      <w:numPr>
        <w:numId w:val="9"/>
      </w:numPr>
    </w:pPr>
  </w:style>
  <w:style w:type="paragraph" w:customStyle="1" w:styleId="ListAlpha2">
    <w:name w:val="List Alpha 2"/>
    <w:basedOn w:val="List2"/>
    <w:rsid w:val="00D85942"/>
    <w:pPr>
      <w:numPr>
        <w:numId w:val="8"/>
      </w:numPr>
    </w:pPr>
  </w:style>
  <w:style w:type="paragraph" w:styleId="List3">
    <w:name w:val="List 3"/>
    <w:basedOn w:val="BodyText"/>
    <w:rsid w:val="00D85942"/>
    <w:pPr>
      <w:tabs>
        <w:tab w:val="left" w:pos="1021"/>
      </w:tabs>
      <w:spacing w:before="60" w:after="60"/>
      <w:ind w:left="1020" w:hanging="340"/>
    </w:pPr>
  </w:style>
  <w:style w:type="paragraph" w:styleId="List4">
    <w:name w:val="List 4"/>
    <w:basedOn w:val="BodyText"/>
    <w:rsid w:val="00D85942"/>
    <w:pPr>
      <w:tabs>
        <w:tab w:val="left" w:pos="1361"/>
      </w:tabs>
      <w:spacing w:before="60" w:after="60"/>
      <w:ind w:left="1361" w:hanging="340"/>
    </w:pPr>
  </w:style>
  <w:style w:type="paragraph" w:styleId="List5">
    <w:name w:val="List 5"/>
    <w:basedOn w:val="BodyText"/>
    <w:rsid w:val="00D85942"/>
    <w:pPr>
      <w:tabs>
        <w:tab w:val="left" w:pos="1701"/>
      </w:tabs>
      <w:spacing w:before="60" w:after="60"/>
      <w:ind w:left="1701" w:hanging="340"/>
    </w:pPr>
  </w:style>
  <w:style w:type="paragraph" w:styleId="ListBullet3">
    <w:name w:val="List Bullet 3"/>
    <w:basedOn w:val="List3"/>
    <w:rsid w:val="00D85942"/>
    <w:pPr>
      <w:numPr>
        <w:numId w:val="15"/>
      </w:numPr>
      <w:tabs>
        <w:tab w:val="clear" w:pos="1021"/>
      </w:tabs>
      <w:ind w:left="1037" w:hanging="357"/>
    </w:pPr>
  </w:style>
  <w:style w:type="paragraph" w:styleId="ListBullet4">
    <w:name w:val="List Bullet 4"/>
    <w:basedOn w:val="List4"/>
    <w:rsid w:val="00D85942"/>
    <w:pPr>
      <w:numPr>
        <w:numId w:val="3"/>
      </w:numPr>
    </w:pPr>
  </w:style>
  <w:style w:type="paragraph" w:styleId="ListBullet5">
    <w:name w:val="List Bullet 5"/>
    <w:basedOn w:val="List5"/>
    <w:rsid w:val="00D85942"/>
    <w:pPr>
      <w:numPr>
        <w:numId w:val="4"/>
      </w:numPr>
    </w:pPr>
  </w:style>
  <w:style w:type="paragraph" w:styleId="ListContinue2">
    <w:name w:val="List Continue 2"/>
    <w:basedOn w:val="List2"/>
    <w:rsid w:val="00D85942"/>
    <w:pPr>
      <w:ind w:firstLine="0"/>
    </w:pPr>
  </w:style>
  <w:style w:type="paragraph" w:styleId="ListContinue3">
    <w:name w:val="List Continue 3"/>
    <w:basedOn w:val="List3"/>
    <w:rsid w:val="00D85942"/>
    <w:pPr>
      <w:ind w:left="1021" w:firstLine="0"/>
    </w:pPr>
  </w:style>
  <w:style w:type="paragraph" w:styleId="ListContinue4">
    <w:name w:val="List Continue 4"/>
    <w:basedOn w:val="List4"/>
    <w:rsid w:val="00D85942"/>
    <w:pPr>
      <w:ind w:firstLine="0"/>
    </w:pPr>
  </w:style>
  <w:style w:type="paragraph" w:styleId="ListContinue5">
    <w:name w:val="List Continue 5"/>
    <w:basedOn w:val="List5"/>
    <w:rsid w:val="00D85942"/>
    <w:pPr>
      <w:ind w:firstLine="0"/>
    </w:pPr>
  </w:style>
  <w:style w:type="paragraph" w:styleId="ListNumber3">
    <w:name w:val="List Number 3"/>
    <w:basedOn w:val="List3"/>
    <w:rsid w:val="00D85942"/>
    <w:pPr>
      <w:numPr>
        <w:numId w:val="5"/>
      </w:numPr>
    </w:pPr>
  </w:style>
  <w:style w:type="paragraph" w:styleId="ListNumber4">
    <w:name w:val="List Number 4"/>
    <w:basedOn w:val="List4"/>
    <w:rsid w:val="00D85942"/>
    <w:pPr>
      <w:numPr>
        <w:numId w:val="6"/>
      </w:numPr>
    </w:pPr>
  </w:style>
  <w:style w:type="paragraph" w:styleId="ListNumber5">
    <w:name w:val="List Number 5"/>
    <w:basedOn w:val="List5"/>
    <w:rsid w:val="00D85942"/>
    <w:pPr>
      <w:numPr>
        <w:numId w:val="7"/>
      </w:numPr>
    </w:pPr>
  </w:style>
  <w:style w:type="paragraph" w:styleId="BlockText">
    <w:name w:val="Block Text"/>
    <w:basedOn w:val="Normal"/>
    <w:rsid w:val="00D85942"/>
    <w:pPr>
      <w:spacing w:after="120"/>
      <w:ind w:left="1440" w:right="1440"/>
    </w:pPr>
  </w:style>
  <w:style w:type="character" w:customStyle="1" w:styleId="Subscript">
    <w:name w:val="Subscript"/>
    <w:rsid w:val="00D85942"/>
    <w:rPr>
      <w:sz w:val="16"/>
      <w:vertAlign w:val="subscript"/>
    </w:rPr>
  </w:style>
  <w:style w:type="character" w:customStyle="1" w:styleId="Superscript">
    <w:name w:val="Superscript"/>
    <w:rsid w:val="00D85942"/>
    <w:rPr>
      <w:sz w:val="16"/>
      <w:vertAlign w:val="superscript"/>
    </w:rPr>
  </w:style>
  <w:style w:type="character" w:customStyle="1" w:styleId="Symbols">
    <w:name w:val="Symbols"/>
    <w:rsid w:val="00D85942"/>
    <w:rPr>
      <w:rFonts w:ascii="Symbol" w:hAnsi="Symbol"/>
    </w:rPr>
  </w:style>
  <w:style w:type="character" w:customStyle="1" w:styleId="MenuOptions">
    <w:name w:val="Menu Options"/>
    <w:rsid w:val="00D85942"/>
    <w:rPr>
      <w:rFonts w:ascii="Arial Narrow" w:hAnsi="Arial Narrow"/>
      <w:smallCaps/>
    </w:rPr>
  </w:style>
  <w:style w:type="character" w:customStyle="1" w:styleId="Buttons">
    <w:name w:val="Buttons"/>
    <w:rsid w:val="00D85942"/>
    <w:rPr>
      <w:b/>
    </w:rPr>
  </w:style>
  <w:style w:type="character" w:customStyle="1" w:styleId="Underlined">
    <w:name w:val="Underlined"/>
    <w:rsid w:val="00D85942"/>
    <w:rPr>
      <w:u w:val="single"/>
    </w:rPr>
  </w:style>
  <w:style w:type="paragraph" w:customStyle="1" w:styleId="TableBodyTextRight">
    <w:name w:val="Table Body Text Right"/>
    <w:basedOn w:val="TableBodyText"/>
    <w:rsid w:val="00D85942"/>
    <w:pPr>
      <w:widowControl w:val="0"/>
      <w:autoSpaceDE w:val="0"/>
      <w:autoSpaceDN w:val="0"/>
      <w:adjustRightInd w:val="0"/>
      <w:jc w:val="right"/>
    </w:pPr>
    <w:rPr>
      <w:rFonts w:cs="Arial"/>
      <w:szCs w:val="18"/>
    </w:rPr>
  </w:style>
  <w:style w:type="paragraph" w:customStyle="1" w:styleId="CopyrightText">
    <w:name w:val="Copyright Text"/>
    <w:basedOn w:val="BodyText"/>
    <w:rsid w:val="00D85942"/>
    <w:rPr>
      <w:sz w:val="18"/>
    </w:rPr>
  </w:style>
  <w:style w:type="paragraph" w:customStyle="1" w:styleId="BodySmallRight">
    <w:name w:val="Body Small Right"/>
    <w:basedOn w:val="BodyTextRight"/>
    <w:rsid w:val="00D85942"/>
    <w:rPr>
      <w:sz w:val="18"/>
      <w:szCs w:val="18"/>
    </w:rPr>
  </w:style>
  <w:style w:type="paragraph" w:customStyle="1" w:styleId="MarginEdition">
    <w:name w:val="Margin Edition"/>
    <w:basedOn w:val="MarginNote"/>
    <w:rsid w:val="00D85942"/>
    <w:pPr>
      <w:spacing w:before="0" w:after="0"/>
    </w:pPr>
    <w:rPr>
      <w:rFonts w:ascii="Times New Roman" w:hAnsi="Times New Roman"/>
      <w:color w:val="999999"/>
    </w:rPr>
  </w:style>
  <w:style w:type="paragraph" w:customStyle="1" w:styleId="Spacer">
    <w:name w:val="Spacer"/>
    <w:basedOn w:val="Normal"/>
    <w:rsid w:val="00D85942"/>
    <w:rPr>
      <w:sz w:val="2"/>
      <w:szCs w:val="2"/>
    </w:rPr>
  </w:style>
  <w:style w:type="character" w:customStyle="1" w:styleId="Small">
    <w:name w:val="Small"/>
    <w:rsid w:val="00D85942"/>
    <w:rPr>
      <w:sz w:val="16"/>
    </w:rPr>
  </w:style>
  <w:style w:type="paragraph" w:customStyle="1" w:styleId="WideTable">
    <w:name w:val="Wide Table"/>
    <w:basedOn w:val="Normal"/>
    <w:rsid w:val="00D85942"/>
    <w:pPr>
      <w:ind w:left="-1418"/>
    </w:pPr>
    <w:rPr>
      <w:sz w:val="2"/>
      <w:szCs w:val="2"/>
    </w:rPr>
  </w:style>
  <w:style w:type="character" w:styleId="PageNumber">
    <w:name w:val="page number"/>
    <w:rsid w:val="00D85942"/>
  </w:style>
  <w:style w:type="paragraph" w:styleId="Quote">
    <w:name w:val="Quote"/>
    <w:basedOn w:val="Heading1"/>
    <w:link w:val="QuoteChar"/>
    <w:qFormat/>
    <w:rsid w:val="00D85942"/>
    <w:rPr>
      <w:b w:val="0"/>
      <w:sz w:val="72"/>
      <w:szCs w:val="72"/>
      <w:lang w:val="en-NZ"/>
    </w:rPr>
  </w:style>
  <w:style w:type="character" w:customStyle="1" w:styleId="QuoteChar">
    <w:name w:val="Quote Char"/>
    <w:link w:val="Quote"/>
    <w:rsid w:val="00D859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5942"/>
    <w:pPr>
      <w:pageBreakBefore/>
    </w:pPr>
  </w:style>
  <w:style w:type="paragraph" w:customStyle="1" w:styleId="Border">
    <w:name w:val="Border"/>
    <w:basedOn w:val="Normal"/>
    <w:qFormat/>
    <w:rsid w:val="00D85942"/>
    <w:pPr>
      <w:pBdr>
        <w:top w:val="single" w:sz="18" w:space="1" w:color="auto"/>
      </w:pBdr>
    </w:pPr>
    <w:rPr>
      <w:rFonts w:ascii="Times New Roman" w:hAnsi="Times New Roman"/>
      <w:color w:val="FFFFFF"/>
      <w:sz w:val="2"/>
    </w:rPr>
  </w:style>
  <w:style w:type="character" w:styleId="IntenseEmphasis">
    <w:name w:val="Intense Emphasis"/>
    <w:uiPriority w:val="21"/>
    <w:qFormat/>
    <w:rsid w:val="00D85942"/>
    <w:rPr>
      <w:b/>
      <w:bCs/>
      <w:i/>
      <w:iCs/>
      <w:color w:val="auto"/>
    </w:rPr>
  </w:style>
  <w:style w:type="paragraph" w:styleId="IntenseQuote">
    <w:name w:val="Intense Quote"/>
    <w:basedOn w:val="Normal"/>
    <w:next w:val="Normal"/>
    <w:link w:val="IntenseQuoteChar"/>
    <w:uiPriority w:val="30"/>
    <w:qFormat/>
    <w:rsid w:val="00D8594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85942"/>
    <w:rPr>
      <w:rFonts w:ascii="Courier New" w:eastAsia="Times New Roman" w:hAnsi="Courier New" w:cs="Times New Roman"/>
      <w:b/>
      <w:bCs/>
      <w:i/>
      <w:iCs/>
      <w:szCs w:val="20"/>
      <w:lang w:val="en-US" w:eastAsia="en-US"/>
    </w:rPr>
  </w:style>
  <w:style w:type="character" w:styleId="SubtleReference">
    <w:name w:val="Subtle Reference"/>
    <w:uiPriority w:val="31"/>
    <w:qFormat/>
    <w:rsid w:val="00D85942"/>
    <w:rPr>
      <w:smallCaps/>
      <w:color w:val="auto"/>
      <w:u w:val="single"/>
    </w:rPr>
  </w:style>
  <w:style w:type="character" w:styleId="IntenseReference">
    <w:name w:val="Intense Reference"/>
    <w:uiPriority w:val="32"/>
    <w:qFormat/>
    <w:rsid w:val="00D85942"/>
    <w:rPr>
      <w:b/>
      <w:bCs/>
      <w:smallCaps/>
      <w:color w:val="auto"/>
      <w:spacing w:val="5"/>
      <w:u w:val="single"/>
    </w:rPr>
  </w:style>
  <w:style w:type="paragraph" w:customStyle="1" w:styleId="2ColumnHeading">
    <w:name w:val="2Column Heading"/>
    <w:basedOn w:val="BodyText"/>
    <w:qFormat/>
    <w:rsid w:val="00D85942"/>
    <w:pPr>
      <w:spacing w:after="60"/>
      <w:ind w:left="-2268"/>
    </w:pPr>
    <w:rPr>
      <w:b/>
    </w:rPr>
  </w:style>
  <w:style w:type="paragraph" w:customStyle="1" w:styleId="Heading1TOC">
    <w:name w:val="Heading1 TOC"/>
    <w:basedOn w:val="Normal"/>
    <w:qFormat/>
    <w:rsid w:val="00D85942"/>
    <w:pPr>
      <w:spacing w:before="240" w:after="120"/>
    </w:pPr>
    <w:rPr>
      <w:rFonts w:ascii="Times New Roman" w:hAnsi="Times New Roman"/>
      <w:b/>
      <w:sz w:val="32"/>
    </w:rPr>
  </w:style>
  <w:style w:type="paragraph" w:customStyle="1" w:styleId="Heading2TOC">
    <w:name w:val="Heading2 TOC"/>
    <w:basedOn w:val="Normal"/>
    <w:qFormat/>
    <w:rsid w:val="00D85942"/>
    <w:pPr>
      <w:spacing w:before="240" w:after="60"/>
    </w:pPr>
    <w:rPr>
      <w:rFonts w:ascii="Times New Roman" w:hAnsi="Times New Roman"/>
      <w:b/>
      <w:sz w:val="28"/>
    </w:rPr>
  </w:style>
  <w:style w:type="character" w:customStyle="1" w:styleId="Underline">
    <w:name w:val="Underline"/>
    <w:qFormat/>
    <w:rsid w:val="00D85942"/>
    <w:rPr>
      <w:u w:val="single"/>
    </w:rPr>
  </w:style>
  <w:style w:type="character" w:customStyle="1" w:styleId="BoldandItalics">
    <w:name w:val="Bold and Italics"/>
    <w:qFormat/>
    <w:rsid w:val="00D85942"/>
    <w:rPr>
      <w:b/>
      <w:i/>
      <w:u w:val="none"/>
    </w:rPr>
  </w:style>
  <w:style w:type="paragraph" w:styleId="BalloonText">
    <w:name w:val="Balloon Text"/>
    <w:basedOn w:val="Normal"/>
    <w:link w:val="BalloonTextChar"/>
    <w:rsid w:val="00D85942"/>
    <w:rPr>
      <w:rFonts w:ascii="Tahoma" w:hAnsi="Tahoma" w:cs="Tahoma"/>
      <w:sz w:val="16"/>
      <w:szCs w:val="16"/>
    </w:rPr>
  </w:style>
  <w:style w:type="character" w:customStyle="1" w:styleId="BalloonTextChar">
    <w:name w:val="Balloon Text Char"/>
    <w:link w:val="BalloonText"/>
    <w:rsid w:val="00D859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8594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8594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1097</Words>
  <Characters>7202</Characters>
  <Application>Microsoft Office Word</Application>
  <DocSecurity>0</DocSecurity>
  <Lines>285</Lines>
  <Paragraphs>154</Paragraphs>
  <ScaleCrop>false</ScaleCrop>
  <Company>Author-it Software Corporation Ltd.</Company>
  <LinksUpToDate>false</LinksUpToDate>
  <CharactersWithSpaces>8225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MEM30007A Select common engineering materials</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2012-05-27T02:14:00Z</dcterms:created>
  <dcterms:modified xsi:type="dcterms:W3CDTF">2012-05-27T02:14:00Z</dcterms:modified>
</cp:coreProperties>
</file>