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97E" w:rsidP="007C797E">
      <w:pPr>
        <w:pStyle w:val="Title"/>
      </w:pPr>
      <w:r>
        <w:fldChar w:fldCharType="begin"/>
      </w:r>
      <w:r>
        <w:instrText xml:space="preserve"> TITLE   \* MERGEFORMAT </w:instrText>
      </w:r>
      <w:r>
        <w:fldChar w:fldCharType="separate"/>
      </w:r>
      <w:r>
        <w:t>MEM30006A Calculate stresses in simple structures</w:t>
      </w:r>
      <w:r>
        <w:fldChar w:fldCharType="end"/>
      </w:r>
    </w:p>
    <w:p w:rsidR="007C797E" w:rsidP="007C797E">
      <w:pPr>
        <w:pStyle w:val="Version"/>
        <w:sectPr w:rsidSect="00DC1C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C7A" w:rsidP="00DC1C7A">
      <w:pPr>
        <w:pStyle w:val="SuperHeading"/>
      </w:pPr>
      <w:r w:rsidRPr="00DC1C7A">
        <w:t>MEM30006A Calculate stresses in simple structures</w:t>
      </w:r>
    </w:p>
    <w:p w:rsidR="00000000" w:rsidRPr="00DC1C7A" w:rsidP="00DC1C7A">
      <w:pPr>
        <w:pStyle w:val="Heading1"/>
      </w:pPr>
      <w:bookmarkStart w:id="1" w:name="O_272423"/>
      <w:bookmarkEnd w:id="1"/>
      <w:r w:rsidRPr="00DC1C7A">
        <w:t>Modification History</w:t>
      </w:r>
    </w:p>
    <w:p w:rsidR="00000000" w:rsidRPr="00DC1C7A" w:rsidP="00DC1C7A">
      <w:pPr>
        <w:pStyle w:val="BodyText"/>
      </w:pPr>
      <w:r w:rsidRPr="00DC1C7A">
        <w:t>Not Applicable</w:t>
      </w:r>
    </w:p>
    <w:p w:rsidR="00000000" w:rsidRPr="00DC1C7A" w:rsidP="00DC1C7A">
      <w:pPr>
        <w:pStyle w:val="AllowPageBreak"/>
      </w:pPr>
    </w:p>
    <w:p w:rsidR="00000000" w:rsidRPr="00DC1C7A" w:rsidP="00DC1C7A">
      <w:pPr>
        <w:pStyle w:val="Heading1"/>
      </w:pPr>
      <w:bookmarkStart w:id="2" w:name="O_213399"/>
      <w:bookmarkEnd w:id="2"/>
      <w:r w:rsidRPr="00DC1C7A">
        <w:t>Unit Descriptor</w:t>
      </w:r>
    </w:p>
    <w:tbl>
      <w:tblPr>
        <w:tblW w:w="0" w:type="auto"/>
        <w:tblLayout w:type="fixed"/>
        <w:tblCellMar>
          <w:left w:w="62" w:type="dxa"/>
          <w:right w:w="62" w:type="dxa"/>
        </w:tblCellMar>
        <w:tblLook w:val="0000"/>
      </w:tblPr>
      <w:tblGrid>
        <w:gridCol w:w="2670"/>
        <w:gridCol w:w="5852"/>
      </w:tblGrid>
      <w:tr w:rsidTr="007C797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This unit covers determining stresses and their effect on the strength and stability of simple struct</w:t>
            </w:r>
            <w:r w:rsidRPr="00DC1C7A">
              <w:t>ures and mechanical components.</w:t>
            </w:r>
          </w:p>
        </w:tc>
      </w:tr>
    </w:tbl>
    <w:p w:rsidR="007C797E" w:rsidP="00DC1C7A">
      <w:pPr>
        <w:pStyle w:val="BodyText"/>
      </w:pPr>
    </w:p>
    <w:p w:rsidR="007C797E" w:rsidP="00DC1C7A">
      <w:pPr>
        <w:pStyle w:val="BodyText"/>
      </w:pPr>
    </w:p>
    <w:p w:rsidR="00000000" w:rsidRPr="00DC1C7A" w:rsidP="00DC1C7A">
      <w:pPr>
        <w:pStyle w:val="Heading1"/>
      </w:pPr>
      <w:bookmarkStart w:id="3" w:name="O_213403"/>
      <w:bookmarkEnd w:id="3"/>
      <w:r w:rsidRPr="00DC1C7A">
        <w:t>Application of the Unit</w:t>
      </w:r>
    </w:p>
    <w:tbl>
      <w:tblPr>
        <w:tblW w:w="0" w:type="auto"/>
        <w:tblLayout w:type="fixed"/>
        <w:tblCellMar>
          <w:left w:w="62" w:type="dxa"/>
          <w:right w:w="62" w:type="dxa"/>
        </w:tblCellMar>
        <w:tblLook w:val="0000"/>
      </w:tblPr>
      <w:tblGrid>
        <w:gridCol w:w="2745"/>
        <w:gridCol w:w="5777"/>
      </w:tblGrid>
      <w:tr w:rsidTr="007C797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This unit applies to the calculation of stresses in centrally loaded bolted connections, fillet and butt welded connections.</w:t>
            </w:r>
          </w:p>
          <w:p w:rsidR="00000000" w:rsidRPr="00DC1C7A" w:rsidP="00DC1C7A">
            <w:pPr>
              <w:pStyle w:val="BodyText"/>
            </w:pPr>
            <w:r w:rsidRPr="00DC1C7A">
              <w:t>All work is carried out under supervision.</w:t>
            </w:r>
          </w:p>
          <w:p w:rsidR="00000000" w:rsidRPr="00DC1C7A" w:rsidP="00DC1C7A">
            <w:pPr>
              <w:pStyle w:val="BodyText"/>
            </w:pPr>
          </w:p>
          <w:p w:rsidR="00000000" w:rsidRPr="00DC1C7A" w:rsidP="00DC1C7A">
            <w:pPr>
              <w:pStyle w:val="BodyText"/>
            </w:pPr>
            <w:r w:rsidRPr="00DC1C7A">
              <w:rPr>
                <w:rStyle w:val="SpecialBold"/>
              </w:rPr>
              <w:t>Band</w:t>
            </w:r>
            <w:r w:rsidRPr="00DC1C7A">
              <w:t>:</w:t>
            </w:r>
            <w:r w:rsidRPr="00DC1C7A">
              <w:tab/>
            </w:r>
            <w:r w:rsidRPr="00DC1C7A">
              <w:rPr>
                <w:rStyle w:val="SpecialBold"/>
              </w:rPr>
              <w:t>0</w:t>
            </w:r>
          </w:p>
          <w:p w:rsidR="00000000" w:rsidRPr="00DC1C7A" w:rsidP="00DC1C7A">
            <w:pPr>
              <w:pStyle w:val="BodyText"/>
            </w:pPr>
            <w:r w:rsidRPr="00DC1C7A">
              <w:rPr>
                <w:rStyle w:val="SpecialBold"/>
              </w:rPr>
              <w:t>Unit Weight</w:t>
            </w:r>
            <w:r w:rsidRPr="00DC1C7A">
              <w:t>:</w:t>
            </w:r>
            <w:r w:rsidRPr="00DC1C7A">
              <w:tab/>
            </w:r>
            <w:r w:rsidRPr="00DC1C7A">
              <w:rPr>
                <w:rStyle w:val="SpecialBold"/>
              </w:rPr>
              <w:t>0</w:t>
            </w:r>
          </w:p>
        </w:tc>
      </w:tr>
    </w:tbl>
    <w:p w:rsidR="007C797E" w:rsidP="00DC1C7A">
      <w:pPr>
        <w:pStyle w:val="BodyText"/>
      </w:pPr>
    </w:p>
    <w:p w:rsidR="007C797E" w:rsidP="00DC1C7A">
      <w:pPr>
        <w:pStyle w:val="BodyText"/>
      </w:pPr>
    </w:p>
    <w:p w:rsidR="00000000" w:rsidRPr="00DC1C7A" w:rsidP="00DC1C7A">
      <w:pPr>
        <w:pStyle w:val="Heading1"/>
      </w:pPr>
      <w:bookmarkStart w:id="4" w:name="O_280683"/>
      <w:bookmarkEnd w:id="4"/>
      <w:r w:rsidRPr="00DC1C7A">
        <w:t>Licensing/Regulatory Information</w:t>
      </w:r>
    </w:p>
    <w:p w:rsidR="00000000" w:rsidRPr="00DC1C7A" w:rsidP="00DC1C7A">
      <w:pPr>
        <w:pStyle w:val="BodyText"/>
      </w:pPr>
      <w:r w:rsidRPr="00DC1C7A">
        <w:t>Not Applicable</w:t>
      </w:r>
    </w:p>
    <w:p w:rsidR="00000000" w:rsidRPr="00DC1C7A" w:rsidP="00DC1C7A">
      <w:pPr>
        <w:pStyle w:val="AllowPageBreak"/>
      </w:pPr>
    </w:p>
    <w:p w:rsidR="00000000" w:rsidRPr="00DC1C7A" w:rsidP="00DC1C7A">
      <w:pPr>
        <w:pStyle w:val="Heading1"/>
      </w:pPr>
      <w:bookmarkStart w:id="5" w:name="O_213401"/>
      <w:bookmarkEnd w:id="5"/>
      <w:r w:rsidRPr="00DC1C7A">
        <w:t>Pre-Requisites</w:t>
      </w:r>
    </w:p>
    <w:tbl>
      <w:tblPr>
        <w:tblW w:w="0" w:type="auto"/>
        <w:tblLayout w:type="fixed"/>
        <w:tblCellMar>
          <w:left w:w="62" w:type="dxa"/>
          <w:right w:w="62" w:type="dxa"/>
        </w:tblCellMar>
        <w:tblLook w:val="0000"/>
      </w:tblPr>
      <w:tblGrid>
        <w:gridCol w:w="2716"/>
        <w:gridCol w:w="2195"/>
        <w:gridCol w:w="3611"/>
      </w:tblGrid>
      <w:tr w:rsidTr="007C797E">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p>
        </w:tc>
      </w:tr>
      <w:tr w:rsidTr="007C797E">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MEM30012A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Apply mathematical techniques in a manufacturing engineering or related environment</w:t>
            </w:r>
          </w:p>
        </w:tc>
      </w:tr>
      <w:tr w:rsidTr="007C797E">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p>
        </w:tc>
      </w:tr>
    </w:tbl>
    <w:p w:rsidR="007C797E" w:rsidP="00DC1C7A">
      <w:pPr>
        <w:pStyle w:val="BodyText"/>
      </w:pPr>
    </w:p>
    <w:p w:rsidR="007C797E" w:rsidP="00DC1C7A">
      <w:pPr>
        <w:pStyle w:val="BodyText"/>
      </w:pPr>
    </w:p>
    <w:p w:rsidR="00000000" w:rsidRPr="00DC1C7A" w:rsidP="00DC1C7A">
      <w:pPr>
        <w:pStyle w:val="Heading1"/>
      </w:pPr>
      <w:bookmarkStart w:id="6" w:name="O_213400"/>
      <w:bookmarkEnd w:id="6"/>
      <w:r w:rsidRPr="00DC1C7A">
        <w:t>Employability Skills Information</w:t>
      </w:r>
    </w:p>
    <w:tbl>
      <w:tblPr>
        <w:tblW w:w="0" w:type="auto"/>
        <w:tblLayout w:type="fixed"/>
        <w:tblCellMar>
          <w:left w:w="62" w:type="dxa"/>
          <w:right w:w="62" w:type="dxa"/>
        </w:tblCellMar>
        <w:tblLook w:val="0000"/>
      </w:tblPr>
      <w:tblGrid>
        <w:gridCol w:w="2802"/>
        <w:gridCol w:w="5720"/>
      </w:tblGrid>
      <w:tr w:rsidTr="007C79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This unit contains employability skills.</w:t>
            </w:r>
          </w:p>
        </w:tc>
      </w:tr>
    </w:tbl>
    <w:p w:rsidR="007C797E" w:rsidP="00DC1C7A">
      <w:pPr>
        <w:pStyle w:val="BodyText"/>
      </w:pPr>
    </w:p>
    <w:p w:rsidR="007C797E" w:rsidP="00DC1C7A">
      <w:pPr>
        <w:pStyle w:val="BodyText"/>
      </w:pPr>
    </w:p>
    <w:p w:rsidR="00000000" w:rsidRPr="00DC1C7A" w:rsidP="00DC1C7A">
      <w:pPr>
        <w:pStyle w:val="Heading1"/>
      </w:pPr>
      <w:bookmarkStart w:id="7" w:name="O_290469"/>
      <w:bookmarkEnd w:id="7"/>
      <w:r w:rsidRPr="00DC1C7A">
        <w:t>Elements and Performance Criteri</w:t>
      </w:r>
      <w:r w:rsidRPr="00DC1C7A">
        <w:t>a Pre-Content</w:t>
      </w:r>
    </w:p>
    <w:tbl>
      <w:tblPr>
        <w:tblW w:w="0" w:type="auto"/>
        <w:tblLayout w:type="fixed"/>
        <w:tblCellMar>
          <w:left w:w="62" w:type="dxa"/>
          <w:right w:w="62" w:type="dxa"/>
        </w:tblCellMar>
        <w:tblLook w:val="0000"/>
      </w:tblPr>
      <w:tblGrid>
        <w:gridCol w:w="2575"/>
        <w:gridCol w:w="5947"/>
      </w:tblGrid>
      <w:tr w:rsidTr="007C797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Performance criteria describe the performance needed to demonstrate achievement of the element. Where bold italicised text is used, further information is detailed in the requi</w:t>
            </w:r>
            <w:r w:rsidRPr="00DC1C7A">
              <w:t>red skills and knowledge section and the range statement. Assessment of performance is to be consistent with the evidence guide.</w:t>
            </w:r>
          </w:p>
        </w:tc>
      </w:tr>
    </w:tbl>
    <w:p w:rsidR="00000000" w:rsidRPr="00DC1C7A" w:rsidP="00DC1C7A">
      <w:pPr>
        <w:pStyle w:val="BodyText"/>
      </w:pPr>
    </w:p>
    <w:p w:rsidR="00000000" w:rsidRPr="00DC1C7A" w:rsidP="00DC1C7A">
      <w:pPr>
        <w:pStyle w:val="AllowPageBreak"/>
      </w:pPr>
    </w:p>
    <w:p w:rsidR="00000000" w:rsidRPr="00DC1C7A" w:rsidP="00DC1C7A">
      <w:pPr>
        <w:pStyle w:val="Heading1"/>
      </w:pPr>
      <w:bookmarkStart w:id="8" w:name="O_237136"/>
      <w:bookmarkEnd w:id="8"/>
      <w:r w:rsidRPr="00DC1C7A">
        <w:t>Elements and Performance Criteria</w:t>
      </w:r>
    </w:p>
    <w:tbl>
      <w:tblPr>
        <w:tblW w:w="0" w:type="auto"/>
        <w:tblLayout w:type="fixed"/>
        <w:tblCellMar>
          <w:left w:w="62" w:type="dxa"/>
          <w:right w:w="62" w:type="dxa"/>
        </w:tblCellMar>
        <w:tblLook w:val="0000"/>
      </w:tblPr>
      <w:tblGrid>
        <w:gridCol w:w="2575"/>
        <w:gridCol w:w="5947"/>
      </w:tblGrid>
      <w:tr w:rsidTr="007C797E">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PERFORMANCE CRITERIA</w:t>
            </w:r>
          </w:p>
        </w:tc>
      </w:tr>
      <w:tr w:rsidTr="007C797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List"/>
              <w:rPr>
                <w:lang w:val="en-NZ"/>
              </w:rPr>
            </w:pPr>
            <w:r w:rsidRPr="00DC1C7A">
              <w:t>1.</w:t>
            </w:r>
            <w:r w:rsidRPr="00DC1C7A">
              <w:tab/>
            </w:r>
            <w:r w:rsidRPr="00DC1C7A">
              <w:t>Determine stresses in simple structures and mechanical components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List2"/>
            </w:pPr>
            <w:r w:rsidRPr="00DC1C7A">
              <w:t>1.1.</w:t>
            </w:r>
            <w:r w:rsidRPr="00DC1C7A">
              <w:tab/>
              <w:t>The shear stresses in simple bolted connections are determined.</w:t>
            </w:r>
          </w:p>
          <w:p w:rsidR="00000000" w:rsidRPr="00DC1C7A" w:rsidP="00DC1C7A">
            <w:pPr>
              <w:pStyle w:val="List2"/>
            </w:pPr>
            <w:r w:rsidRPr="00DC1C7A">
              <w:t>1.2.</w:t>
            </w:r>
            <w:r w:rsidRPr="00DC1C7A">
              <w:tab/>
              <w:t>The nominal weld size or length of weld required on simple welded connections is determined to meet load requirement</w:t>
            </w:r>
            <w:r w:rsidRPr="00DC1C7A">
              <w:t>s.</w:t>
            </w:r>
          </w:p>
          <w:p w:rsidR="00000000" w:rsidP="00DC1C7A">
            <w:pPr>
              <w:pStyle w:val="List2"/>
              <w:rPr>
                <w:lang w:val="en-NZ"/>
              </w:rPr>
            </w:pPr>
            <w:r w:rsidRPr="00DC1C7A">
              <w:t>1.3.</w:t>
            </w:r>
            <w:r w:rsidRPr="00DC1C7A">
              <w:tab/>
              <w:t>Torque distribution diagrams are drawn and used to calculate torsional shear stress and angle of twist on threaded bolts subjected to torques.</w:t>
            </w:r>
          </w:p>
        </w:tc>
      </w:tr>
      <w:tr w:rsidTr="007C797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List"/>
              <w:rPr>
                <w:lang w:val="en-NZ"/>
              </w:rPr>
            </w:pPr>
            <w:r w:rsidRPr="00DC1C7A">
              <w:t>2.</w:t>
            </w:r>
            <w:r w:rsidRPr="00DC1C7A">
              <w:tab/>
              <w:t xml:space="preserve">Verify stress levels using appropriate reference material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List2"/>
            </w:pPr>
            <w:r w:rsidRPr="00DC1C7A">
              <w:t>2.1.</w:t>
            </w:r>
            <w:r w:rsidRPr="00DC1C7A">
              <w:tab/>
            </w:r>
            <w:r w:rsidRPr="00DC1C7A">
              <w:t>Appropriate reference materials are used to verify that stress loading is acceptable and in accordance with standard operational procedures.</w:t>
            </w:r>
          </w:p>
          <w:p w:rsidR="00000000" w:rsidRPr="00DC1C7A" w:rsidP="00DC1C7A">
            <w:pPr>
              <w:pStyle w:val="List2"/>
            </w:pPr>
            <w:r w:rsidRPr="00DC1C7A">
              <w:t>2.2.</w:t>
            </w:r>
            <w:r w:rsidRPr="00DC1C7A">
              <w:tab/>
              <w:t>Verification results are reported according to standard operational procedures.</w:t>
            </w:r>
          </w:p>
        </w:tc>
      </w:tr>
    </w:tbl>
    <w:p w:rsidR="007C797E" w:rsidP="00DC1C7A">
      <w:pPr>
        <w:pStyle w:val="BodyText"/>
      </w:pPr>
    </w:p>
    <w:p w:rsidR="007C797E" w:rsidP="00DC1C7A">
      <w:pPr>
        <w:pStyle w:val="BodyText"/>
      </w:pPr>
    </w:p>
    <w:p w:rsidR="00000000" w:rsidRPr="00DC1C7A" w:rsidP="00DC1C7A">
      <w:pPr>
        <w:pStyle w:val="Heading1"/>
      </w:pPr>
      <w:bookmarkStart w:id="9" w:name="O_261086"/>
      <w:bookmarkEnd w:id="9"/>
      <w:r w:rsidRPr="00DC1C7A">
        <w:t>Required Skills and Knowledge</w:t>
      </w:r>
    </w:p>
    <w:tbl>
      <w:tblPr>
        <w:tblW w:w="0" w:type="auto"/>
        <w:tblLayout w:type="fixed"/>
        <w:tblCellMar>
          <w:left w:w="62" w:type="dxa"/>
          <w:right w:w="62" w:type="dxa"/>
        </w:tblCellMar>
        <w:tblLook w:val="0000"/>
      </w:tblPr>
      <w:tblGrid>
        <w:gridCol w:w="8522"/>
      </w:tblGrid>
      <w:tr w:rsidTr="007C79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REQUIRED SKILLS AND KNOWLEDGE</w:t>
            </w:r>
          </w:p>
        </w:tc>
      </w:tr>
      <w:tr w:rsidTr="007C79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This section describes the skills and knowledge required for this unit.</w:t>
            </w:r>
          </w:p>
        </w:tc>
      </w:tr>
      <w:tr w:rsidTr="007C7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Required skills</w:t>
            </w:r>
          </w:p>
        </w:tc>
      </w:tr>
      <w:tr w:rsidTr="007C7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Look for evidence that confirms skills in:</w:t>
            </w:r>
          </w:p>
          <w:p w:rsidR="00000000" w:rsidRPr="00DC1C7A" w:rsidP="00DC1C7A">
            <w:pPr>
              <w:pStyle w:val="ListBullet"/>
            </w:pPr>
            <w:r w:rsidRPr="00DC1C7A">
              <w:t>interpreting drawings and graphical representations</w:t>
            </w:r>
          </w:p>
          <w:p w:rsidR="00000000" w:rsidRPr="00DC1C7A" w:rsidP="00DC1C7A">
            <w:pPr>
              <w:pStyle w:val="ListBullet"/>
            </w:pPr>
            <w:r w:rsidRPr="00DC1C7A">
              <w:t>calculating stresses using given formulas</w:t>
            </w:r>
          </w:p>
          <w:p w:rsidR="00000000" w:rsidRPr="00DC1C7A" w:rsidP="00DC1C7A">
            <w:pPr>
              <w:pStyle w:val="ListBullet"/>
            </w:pPr>
            <w:r w:rsidRPr="00DC1C7A">
              <w:t>construction of torque distribution diagrams</w:t>
            </w:r>
          </w:p>
          <w:p w:rsidR="00000000" w:rsidRPr="00DC1C7A" w:rsidP="00DC1C7A">
            <w:pPr>
              <w:pStyle w:val="ListBullet"/>
            </w:pPr>
            <w:r w:rsidRPr="00DC1C7A">
              <w:t>accessing relevant codes and reference material</w:t>
            </w:r>
          </w:p>
          <w:p w:rsidR="00000000" w:rsidP="00DC1C7A">
            <w:pPr>
              <w:pStyle w:val="ListBullet"/>
              <w:rPr>
                <w:lang w:val="en-NZ"/>
              </w:rPr>
            </w:pPr>
            <w:r w:rsidRPr="00DC1C7A">
              <w:t>interpreting results against reference materials</w:t>
            </w:r>
          </w:p>
        </w:tc>
      </w:tr>
      <w:tr w:rsidTr="007C7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Required knowledge</w:t>
            </w:r>
          </w:p>
        </w:tc>
      </w:tr>
      <w:tr w:rsidTr="007C7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Look for evidence that confirms knowledge of:</w:t>
            </w:r>
          </w:p>
          <w:p w:rsidR="00000000" w:rsidRPr="00DC1C7A" w:rsidP="00DC1C7A">
            <w:pPr>
              <w:pStyle w:val="ListBullet"/>
            </w:pPr>
            <w:r w:rsidRPr="00DC1C7A">
              <w:t>stre</w:t>
            </w:r>
            <w:r w:rsidRPr="00DC1C7A">
              <w:t>ss and strain:</w:t>
            </w:r>
          </w:p>
          <w:p w:rsidR="00000000" w:rsidRPr="00DC1C7A" w:rsidP="00DC1C7A">
            <w:pPr>
              <w:pStyle w:val="ListBullet2"/>
            </w:pPr>
            <w:r w:rsidRPr="00DC1C7A">
              <w:t>normal stress and strain</w:t>
            </w:r>
          </w:p>
          <w:p w:rsidR="00000000" w:rsidRPr="00DC1C7A" w:rsidP="00DC1C7A">
            <w:pPr>
              <w:pStyle w:val="ListBullet2"/>
            </w:pPr>
            <w:r w:rsidRPr="00DC1C7A">
              <w:t>modules of elasticity</w:t>
            </w:r>
          </w:p>
          <w:p w:rsidR="00000000" w:rsidRPr="00DC1C7A" w:rsidP="00DC1C7A">
            <w:pPr>
              <w:pStyle w:val="ListBullet2"/>
            </w:pPr>
            <w:r w:rsidRPr="00DC1C7A">
              <w:t>deformation</w:t>
            </w:r>
          </w:p>
          <w:p w:rsidR="00000000" w:rsidRPr="00DC1C7A" w:rsidP="00DC1C7A">
            <w:pPr>
              <w:pStyle w:val="ListBullet2"/>
            </w:pPr>
            <w:r w:rsidRPr="00DC1C7A">
              <w:t>Poisson's Ratio</w:t>
            </w:r>
          </w:p>
          <w:p w:rsidR="00000000" w:rsidRPr="00DC1C7A" w:rsidP="00DC1C7A">
            <w:pPr>
              <w:pStyle w:val="ListBullet2"/>
            </w:pPr>
            <w:r w:rsidRPr="00DC1C7A">
              <w:t>shear stress and strain</w:t>
            </w:r>
          </w:p>
          <w:p w:rsidR="00000000" w:rsidRPr="00DC1C7A" w:rsidP="00DC1C7A">
            <w:pPr>
              <w:pStyle w:val="ListBullet2"/>
            </w:pPr>
            <w:r w:rsidRPr="00DC1C7A">
              <w:t>modulus of rigidity</w:t>
            </w:r>
          </w:p>
          <w:p w:rsidR="00000000" w:rsidRPr="00DC1C7A" w:rsidP="00DC1C7A">
            <w:pPr>
              <w:pStyle w:val="ListBullet2"/>
            </w:pPr>
            <w:r w:rsidRPr="00DC1C7A">
              <w:t>yield stress, ultimate stress, proportional limit, factor of safety, allowable stress</w:t>
            </w:r>
          </w:p>
          <w:p w:rsidR="00000000" w:rsidRPr="00DC1C7A" w:rsidP="00DC1C7A">
            <w:pPr>
              <w:pStyle w:val="ListBullet"/>
            </w:pPr>
            <w:r w:rsidRPr="00DC1C7A">
              <w:t>centrally loaded connections</w:t>
            </w:r>
          </w:p>
          <w:p w:rsidR="00000000" w:rsidRPr="00DC1C7A" w:rsidP="00DC1C7A">
            <w:pPr>
              <w:pStyle w:val="ListBullet"/>
            </w:pPr>
            <w:r w:rsidRPr="00DC1C7A">
              <w:t>bolted connections</w:t>
            </w:r>
          </w:p>
          <w:p w:rsidR="00000000" w:rsidRPr="00DC1C7A" w:rsidP="00DC1C7A">
            <w:pPr>
              <w:pStyle w:val="ListBullet"/>
            </w:pPr>
            <w:r w:rsidRPr="00DC1C7A">
              <w:t>shear, tensile, torque and bearing stresses</w:t>
            </w:r>
          </w:p>
          <w:p w:rsidR="00000000" w:rsidRPr="00DC1C7A" w:rsidP="00DC1C7A">
            <w:pPr>
              <w:pStyle w:val="ListBullet"/>
            </w:pPr>
            <w:r w:rsidRPr="00DC1C7A">
              <w:t>centrally loaded welded connections</w:t>
            </w:r>
          </w:p>
          <w:p w:rsidR="00000000" w:rsidRPr="00DC1C7A" w:rsidP="00DC1C7A">
            <w:pPr>
              <w:pStyle w:val="ListBullet"/>
            </w:pPr>
            <w:r w:rsidRPr="00DC1C7A">
              <w:t>fillet and butt welds, method of failure</w:t>
            </w:r>
          </w:p>
          <w:p w:rsidR="00000000" w:rsidRPr="00DC1C7A" w:rsidP="00DC1C7A">
            <w:pPr>
              <w:pStyle w:val="ListBullet"/>
            </w:pPr>
            <w:r w:rsidRPr="00DC1C7A">
              <w:t>size and length of weld</w:t>
            </w:r>
          </w:p>
          <w:p w:rsidR="00000000" w:rsidRPr="00DC1C7A" w:rsidP="00DC1C7A">
            <w:pPr>
              <w:pStyle w:val="ListBullet"/>
            </w:pPr>
            <w:r w:rsidRPr="00DC1C7A">
              <w:t xml:space="preserve">effect of hole punching </w:t>
            </w:r>
          </w:p>
          <w:p w:rsidR="00000000" w:rsidRPr="00DC1C7A" w:rsidP="00DC1C7A">
            <w:pPr>
              <w:pStyle w:val="ListBullet"/>
            </w:pPr>
            <w:r w:rsidRPr="00DC1C7A">
              <w:t>longitudinal stress</w:t>
            </w:r>
          </w:p>
          <w:p w:rsidR="00000000" w:rsidRPr="00DC1C7A" w:rsidP="00DC1C7A">
            <w:pPr>
              <w:pStyle w:val="ListBullet"/>
            </w:pPr>
            <w:r w:rsidRPr="00DC1C7A">
              <w:t>how to access and use relevant codes and reference material</w:t>
            </w:r>
          </w:p>
        </w:tc>
      </w:tr>
    </w:tbl>
    <w:p w:rsidR="007C797E" w:rsidP="00DC1C7A">
      <w:pPr>
        <w:pStyle w:val="BodyText"/>
      </w:pPr>
    </w:p>
    <w:p w:rsidR="007C797E" w:rsidP="00DC1C7A">
      <w:pPr>
        <w:pStyle w:val="BodyText"/>
      </w:pPr>
    </w:p>
    <w:p w:rsidR="00000000" w:rsidRPr="00DC1C7A" w:rsidP="00DC1C7A">
      <w:pPr>
        <w:pStyle w:val="AllowPageBreak"/>
      </w:pPr>
    </w:p>
    <w:p w:rsidR="00000000" w:rsidRPr="00DC1C7A" w:rsidP="00DC1C7A">
      <w:pPr>
        <w:pStyle w:val="Heading1"/>
      </w:pPr>
      <w:bookmarkStart w:id="10" w:name="O_245120"/>
      <w:bookmarkEnd w:id="10"/>
      <w:r w:rsidRPr="00DC1C7A">
        <w:t>Evidence Guide</w:t>
      </w:r>
    </w:p>
    <w:tbl>
      <w:tblPr>
        <w:tblW w:w="9570" w:type="dxa"/>
        <w:tblLayout w:type="fixed"/>
        <w:tblCellMar>
          <w:left w:w="62" w:type="dxa"/>
          <w:right w:w="62" w:type="dxa"/>
        </w:tblCellMar>
        <w:tblLook w:val="0000"/>
      </w:tblPr>
      <w:tblGrid>
        <w:gridCol w:w="3908"/>
        <w:gridCol w:w="5662"/>
      </w:tblGrid>
      <w:tr w:rsidTr="007C79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EVIDENCE GUIDE</w:t>
            </w:r>
          </w:p>
        </w:tc>
      </w:tr>
      <w:tr w:rsidTr="007C79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The evidence guide provides advice on assessment and must be read in conjunction with the performance criteria, required skills and knowledge, range statement and the Assessment Guidelines for the Training Package.</w:t>
            </w:r>
          </w:p>
        </w:tc>
      </w:tr>
      <w:tr w:rsidTr="007C7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A person who demonstrates competency in this unit must be able to calculate stresses in simple structures as defined. Competency in this unit cannot be claimed until all prerequisites have been satisfied.</w:t>
            </w:r>
          </w:p>
        </w:tc>
      </w:tr>
      <w:tr w:rsidTr="007C7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Critical aspects for assessment and evidence requi</w:t>
            </w:r>
            <w:r w:rsidRPr="00DC1C7A">
              <w:rPr>
                <w:rStyle w:val="SpecialBold"/>
              </w:rPr>
              <w:t>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Assessors must be satisfied that the candidate can competently and consistently perform all elements of the unit as specified by the criteria, including required knowledge, and be capable of applying the competenc</w:t>
            </w:r>
            <w:r w:rsidRPr="00DC1C7A">
              <w:t>y in new and different situations and contexts.</w:t>
            </w:r>
          </w:p>
        </w:tc>
      </w:tr>
      <w:tr w:rsidTr="007C7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This unit may be assessed on the job, off the job or a combination of both on and off the job. Where assessment occurs off the job, that is the candidate is n</w:t>
            </w:r>
            <w:r w:rsidRPr="00DC1C7A">
              <w:t>ot in productive work, then an appropriate simulation must be used where the range of conditions reflects realistic workplace situations. The competencies covered by this unit would be demonstrated by an individual working alone or as part of a team. The a</w:t>
            </w:r>
            <w:r w:rsidRPr="00DC1C7A">
              <w:t>ssessment environment should not disadvantage the candidate.</w:t>
            </w:r>
          </w:p>
          <w:p w:rsidR="00000000" w:rsidP="00DC1C7A">
            <w:pPr>
              <w:pStyle w:val="BodyText"/>
              <w:rPr>
                <w:lang w:val="en-NZ"/>
              </w:rPr>
            </w:pPr>
            <w:r w:rsidRPr="00DC1C7A">
              <w:t xml:space="preserve">This unit could be assessed in conjunction with any other units addressing the safety, quality, communication, materials handling, recording and reporting associated with calculating stresses in </w:t>
            </w:r>
            <w:r w:rsidRPr="00DC1C7A">
              <w:t>simple structures, or other units requiring the exercise of the skills and knowledge covered by this unit.</w:t>
            </w:r>
          </w:p>
        </w:tc>
      </w:tr>
      <w:tr w:rsidTr="007C7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 xml:space="preserve">Assessors should gather a range of evidence that is valid, sufficient, current and authentic. Evidence can be gathered through </w:t>
            </w:r>
            <w:r w:rsidRPr="00DC1C7A">
              <w:t>a variety of ways including direct observation, supervisor's reports, project work, samples and questioning. Questioning techniques should not require language, literacy and numeracy skills beyond those required in this unit of competency. The candidate mu</w:t>
            </w:r>
            <w:r w:rsidRPr="00DC1C7A">
              <w:t>st have access to all tools, equipment, materials and documentation required. The candidate must be permitted to refer to any relevant workplace procedures, product and manufacturing specifications, codes, standards, manuals and reference materials.</w:t>
            </w:r>
          </w:p>
        </w:tc>
      </w:tr>
      <w:tr w:rsidTr="007C7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Guida</w:t>
            </w:r>
            <w:r w:rsidRPr="00DC1C7A">
              <w:rPr>
                <w:rStyle w:val="SpecialBold"/>
              </w:rPr>
              <w:t>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p>
        </w:tc>
      </w:tr>
    </w:tbl>
    <w:p w:rsidR="007C797E" w:rsidP="00DC1C7A">
      <w:pPr>
        <w:pStyle w:val="BodyText"/>
      </w:pPr>
    </w:p>
    <w:p w:rsidR="007C797E" w:rsidP="00DC1C7A">
      <w:pPr>
        <w:pStyle w:val="BodyText"/>
      </w:pPr>
    </w:p>
    <w:p w:rsidR="00000000" w:rsidRPr="00DC1C7A" w:rsidP="00DC1C7A">
      <w:pPr>
        <w:pStyle w:val="Heading1"/>
      </w:pPr>
      <w:bookmarkStart w:id="11" w:name="O_253103"/>
      <w:bookmarkEnd w:id="11"/>
      <w:r w:rsidRPr="00DC1C7A">
        <w:t>Range Statement</w:t>
      </w:r>
    </w:p>
    <w:tbl>
      <w:tblPr>
        <w:tblW w:w="0" w:type="auto"/>
        <w:tblLayout w:type="fixed"/>
        <w:tblCellMar>
          <w:left w:w="62" w:type="dxa"/>
          <w:right w:w="62" w:type="dxa"/>
        </w:tblCellMar>
        <w:tblLook w:val="0000"/>
      </w:tblPr>
      <w:tblGrid>
        <w:gridCol w:w="3493"/>
        <w:gridCol w:w="5029"/>
      </w:tblGrid>
      <w:tr w:rsidTr="007C79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RANGE STATEMENT</w:t>
            </w:r>
          </w:p>
        </w:tc>
      </w:tr>
      <w:tr w:rsidTr="007C79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 xml:space="preserve">The range statement relates to the unit of competency as a whole. It allows for different work environments and situations that may affect </w:t>
            </w:r>
            <w:r w:rsidRPr="00DC1C7A">
              <w:t>performance. Bold italicised wording, if used in the performance criteria, is detailed below. Essential operating conditions that may be present with training and assessment (depending on the work situation, needs of the candidate, accessibility of the ite</w:t>
            </w:r>
            <w:r w:rsidRPr="00DC1C7A">
              <w:t>m, and local industry and regional contexts) may also be included.</w:t>
            </w:r>
          </w:p>
        </w:tc>
      </w:tr>
      <w:tr w:rsidTr="007C797E">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Simple structures</w:t>
            </w:r>
            <w:r w:rsidRPr="00DC1C7A">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t>Limited to consideration of centrally loaded bolted connections, fillet and butt welded connections</w:t>
            </w:r>
          </w:p>
        </w:tc>
      </w:tr>
      <w:tr w:rsidTr="007C797E">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Reference materials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May include design manuals, handbooks, relevant codes and regulations, databases and manufacturers' references</w:t>
            </w:r>
          </w:p>
        </w:tc>
      </w:tr>
    </w:tbl>
    <w:p w:rsidR="007C797E" w:rsidP="00DC1C7A">
      <w:pPr>
        <w:pStyle w:val="BodyText"/>
      </w:pPr>
    </w:p>
    <w:p w:rsidR="007C797E" w:rsidP="00DC1C7A">
      <w:pPr>
        <w:pStyle w:val="BodyText"/>
      </w:pPr>
    </w:p>
    <w:p w:rsidR="00000000" w:rsidRPr="00DC1C7A" w:rsidP="00DC1C7A">
      <w:pPr>
        <w:pStyle w:val="Heading1"/>
      </w:pPr>
      <w:bookmarkStart w:id="12" w:name="O_213405"/>
      <w:bookmarkEnd w:id="12"/>
      <w:r w:rsidRPr="00DC1C7A">
        <w:t>Unit Sector(s)</w:t>
      </w:r>
    </w:p>
    <w:tbl>
      <w:tblPr>
        <w:tblW w:w="0" w:type="auto"/>
        <w:tblLayout w:type="fixed"/>
        <w:tblCellMar>
          <w:left w:w="62" w:type="dxa"/>
          <w:right w:w="62" w:type="dxa"/>
        </w:tblCellMar>
        <w:tblLook w:val="0000"/>
      </w:tblPr>
      <w:tblGrid>
        <w:gridCol w:w="2654"/>
        <w:gridCol w:w="5868"/>
      </w:tblGrid>
      <w:tr w:rsidTr="007C79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p>
        </w:tc>
      </w:tr>
    </w:tbl>
    <w:p w:rsidR="007C797E" w:rsidP="00DC1C7A">
      <w:pPr>
        <w:pStyle w:val="BodyText"/>
      </w:pPr>
    </w:p>
    <w:p w:rsidR="007C797E" w:rsidP="00DC1C7A">
      <w:pPr>
        <w:pStyle w:val="BodyText"/>
      </w:pPr>
    </w:p>
    <w:p w:rsidR="00000000" w:rsidRPr="00DC1C7A" w:rsidP="00DC1C7A">
      <w:pPr>
        <w:pStyle w:val="Heading1"/>
      </w:pPr>
      <w:bookmarkStart w:id="13" w:name="O_213402"/>
      <w:bookmarkEnd w:id="13"/>
      <w:r w:rsidRPr="00DC1C7A">
        <w:t>Co-requisite units</w:t>
      </w:r>
    </w:p>
    <w:tbl>
      <w:tblPr>
        <w:tblW w:w="0" w:type="auto"/>
        <w:tblLayout w:type="fixed"/>
        <w:tblCellMar>
          <w:left w:w="62" w:type="dxa"/>
          <w:right w:w="62" w:type="dxa"/>
        </w:tblCellMar>
        <w:tblLook w:val="0000"/>
      </w:tblPr>
      <w:tblGrid>
        <w:gridCol w:w="2641"/>
        <w:gridCol w:w="1322"/>
        <w:gridCol w:w="4559"/>
      </w:tblGrid>
      <w:tr w:rsidTr="007C79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p>
        </w:tc>
      </w:tr>
      <w:tr w:rsidTr="007C79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p>
        </w:tc>
      </w:tr>
      <w:tr w:rsidTr="007C79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p>
        </w:tc>
      </w:tr>
    </w:tbl>
    <w:p w:rsidR="007C797E" w:rsidP="00DC1C7A">
      <w:pPr>
        <w:pStyle w:val="BodyText"/>
      </w:pPr>
    </w:p>
    <w:p w:rsidR="007C797E" w:rsidP="00DC1C7A">
      <w:pPr>
        <w:pStyle w:val="BodyText"/>
      </w:pPr>
    </w:p>
    <w:p w:rsidR="00000000" w:rsidRPr="00DC1C7A" w:rsidP="00DC1C7A">
      <w:pPr>
        <w:pStyle w:val="Heading1"/>
      </w:pPr>
      <w:bookmarkStart w:id="14" w:name="O_213404"/>
      <w:bookmarkEnd w:id="14"/>
      <w:r w:rsidRPr="00DC1C7A">
        <w:t>Competency field</w:t>
      </w:r>
    </w:p>
    <w:tbl>
      <w:tblPr>
        <w:tblW w:w="0" w:type="auto"/>
        <w:tblLayout w:type="fixed"/>
        <w:tblCellMar>
          <w:left w:w="62" w:type="dxa"/>
          <w:right w:w="62" w:type="dxa"/>
        </w:tblCellMar>
        <w:tblLook w:val="0000"/>
      </w:tblPr>
      <w:tblGrid>
        <w:gridCol w:w="2775"/>
        <w:gridCol w:w="5747"/>
      </w:tblGrid>
      <w:tr w:rsidTr="007C79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1C7A">
            <w:pPr>
              <w:pStyle w:val="BodyText"/>
              <w:rPr>
                <w:lang w:val="en-NZ"/>
              </w:rPr>
            </w:pPr>
            <w:r w:rsidRPr="00DC1C7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1C7A" w:rsidP="00DC1C7A">
            <w:pPr>
              <w:pStyle w:val="BodyText"/>
            </w:pPr>
            <w:r w:rsidRPr="00DC1C7A">
              <w:t>Engineering technician</w:t>
            </w:r>
          </w:p>
        </w:tc>
      </w:tr>
    </w:tbl>
    <w:p w:rsidR="007C797E" w:rsidP="00DC1C7A">
      <w:pPr>
        <w:pStyle w:val="BodyText"/>
      </w:pPr>
    </w:p>
    <w:p w:rsidR="007C797E" w:rsidP="00DC1C7A">
      <w:pPr>
        <w:pStyle w:val="BodyText"/>
      </w:pPr>
    </w:p>
    <w:p w:rsidR="00000000" w:rsidRPr="00DC1C7A" w:rsidP="00DC1C7A"/>
    <w:sectPr w:rsidSect="00DC1C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97E" w:rsidP="007C7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7E" w:rsidP="00DC1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797E" w:rsidP="00DC1C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797E" w:rsidP="00DC1C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97E" w:rsidP="007C79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7E" w:rsidP="00DC1C7A">
    <w:pPr>
      <w:pStyle w:val="Header"/>
      <w:framePr w:wrap="around"/>
    </w:pPr>
    <w:r>
      <w:fldChar w:fldCharType="begin"/>
    </w:r>
    <w:r>
      <w:instrText xml:space="preserve"> TITLE   \* MERGEFORMAT </w:instrText>
    </w:r>
    <w:r>
      <w:fldChar w:fldCharType="separate"/>
    </w:r>
    <w:r>
      <w:t>MEM30006A Calculate stresses in simple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797E" w:rsidP="00DC1C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CCA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0E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A8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C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1C7A"/>
    <w:pPr>
      <w:spacing w:before="360" w:after="60"/>
      <w:outlineLvl w:val="0"/>
    </w:pPr>
    <w:rPr>
      <w:sz w:val="32"/>
    </w:rPr>
  </w:style>
  <w:style w:type="paragraph" w:styleId="Heading2">
    <w:name w:val="heading 2"/>
    <w:basedOn w:val="HeadingBase"/>
    <w:next w:val="BodyText"/>
    <w:link w:val="Heading2Char"/>
    <w:qFormat/>
    <w:rsid w:val="00DC1C7A"/>
    <w:pPr>
      <w:keepLines/>
      <w:spacing w:before="240" w:after="120"/>
      <w:outlineLvl w:val="1"/>
    </w:pPr>
    <w:rPr>
      <w:sz w:val="28"/>
      <w:szCs w:val="40"/>
    </w:rPr>
  </w:style>
  <w:style w:type="paragraph" w:styleId="Heading3">
    <w:name w:val="heading 3"/>
    <w:basedOn w:val="HeadingBase"/>
    <w:next w:val="BodyText"/>
    <w:link w:val="Heading3Char"/>
    <w:qFormat/>
    <w:rsid w:val="00DC1C7A"/>
    <w:pPr>
      <w:spacing w:before="180" w:after="120"/>
      <w:outlineLvl w:val="2"/>
    </w:pPr>
    <w:rPr>
      <w:spacing w:val="-10"/>
      <w:kern w:val="32"/>
    </w:rPr>
  </w:style>
  <w:style w:type="paragraph" w:styleId="Heading4">
    <w:name w:val="heading 4"/>
    <w:basedOn w:val="HeadingBase"/>
    <w:next w:val="BodyText"/>
    <w:link w:val="Heading4Char"/>
    <w:qFormat/>
    <w:rsid w:val="00DC1C7A"/>
    <w:pPr>
      <w:spacing w:before="160" w:after="120"/>
      <w:outlineLvl w:val="3"/>
    </w:pPr>
    <w:rPr>
      <w:sz w:val="22"/>
    </w:rPr>
  </w:style>
  <w:style w:type="paragraph" w:styleId="Heading5">
    <w:name w:val="heading 5"/>
    <w:basedOn w:val="HeadingBase"/>
    <w:next w:val="Normal"/>
    <w:link w:val="Heading5Char"/>
    <w:qFormat/>
    <w:rsid w:val="00DC1C7A"/>
    <w:pPr>
      <w:spacing w:before="80"/>
      <w:outlineLvl w:val="4"/>
    </w:pPr>
    <w:rPr>
      <w:color w:val="918585"/>
      <w:sz w:val="20"/>
    </w:rPr>
  </w:style>
  <w:style w:type="paragraph" w:styleId="Heading6">
    <w:name w:val="heading 6"/>
    <w:basedOn w:val="HeadingBase"/>
    <w:next w:val="Normal"/>
    <w:link w:val="Heading6Char"/>
    <w:qFormat/>
    <w:rsid w:val="00DC1C7A"/>
    <w:pPr>
      <w:spacing w:before="60"/>
      <w:outlineLvl w:val="5"/>
    </w:pPr>
    <w:rPr>
      <w:color w:val="918585"/>
      <w:sz w:val="20"/>
    </w:rPr>
  </w:style>
  <w:style w:type="paragraph" w:styleId="Heading7">
    <w:name w:val="heading 7"/>
    <w:basedOn w:val="Normal"/>
    <w:next w:val="Normal"/>
    <w:link w:val="Heading7Char"/>
    <w:qFormat/>
    <w:rsid w:val="00DC1C7A"/>
    <w:pPr>
      <w:ind w:left="720"/>
      <w:outlineLvl w:val="6"/>
    </w:pPr>
    <w:rPr>
      <w:i/>
    </w:rPr>
  </w:style>
  <w:style w:type="paragraph" w:styleId="Heading8">
    <w:name w:val="heading 8"/>
    <w:basedOn w:val="Normal"/>
    <w:next w:val="Normal"/>
    <w:link w:val="Heading8Char"/>
    <w:qFormat/>
    <w:rsid w:val="00DC1C7A"/>
    <w:pPr>
      <w:ind w:left="720"/>
      <w:outlineLvl w:val="7"/>
    </w:pPr>
    <w:rPr>
      <w:i/>
    </w:rPr>
  </w:style>
  <w:style w:type="paragraph" w:styleId="Heading9">
    <w:name w:val="heading 9"/>
    <w:basedOn w:val="Normal"/>
    <w:next w:val="Normal"/>
    <w:link w:val="Heading9Char"/>
    <w:qFormat/>
    <w:rsid w:val="00DC1C7A"/>
    <w:pPr>
      <w:ind w:left="720"/>
      <w:outlineLvl w:val="8"/>
    </w:pPr>
    <w:rPr>
      <w:i/>
    </w:rPr>
  </w:style>
  <w:style w:type="character" w:default="1" w:styleId="DefaultParagraphFont">
    <w:name w:val="Default Paragraph Font"/>
    <w:uiPriority w:val="1"/>
    <w:unhideWhenUsed/>
    <w:rsid w:val="00DC1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C7A"/>
  </w:style>
  <w:style w:type="character" w:customStyle="1" w:styleId="Heading1Char">
    <w:name w:val="Heading 1 Char"/>
    <w:basedOn w:val="DefaultParagraphFont"/>
    <w:link w:val="Heading1"/>
    <w:rsid w:val="00DC1C7A"/>
    <w:rPr>
      <w:rFonts w:ascii="Times New Roman" w:eastAsia="Times New Roman" w:hAnsi="Times New Roman" w:cs="Times New Roman"/>
      <w:b/>
      <w:sz w:val="32"/>
      <w:szCs w:val="20"/>
      <w:lang w:eastAsia="en-US"/>
    </w:rPr>
  </w:style>
  <w:style w:type="paragraph" w:styleId="BodyText">
    <w:name w:val="Body Text"/>
    <w:basedOn w:val="Normal"/>
    <w:link w:val="BodyTextChar"/>
    <w:rsid w:val="00DC1C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C7A"/>
    <w:rPr>
      <w:rFonts w:ascii="Times New Roman" w:eastAsia="Times New Roman" w:hAnsi="Times New Roman" w:cs="Times New Roman"/>
      <w:sz w:val="24"/>
      <w:lang w:val="en-US" w:eastAsia="en-US"/>
    </w:rPr>
  </w:style>
  <w:style w:type="paragraph" w:styleId="Footer">
    <w:name w:val="footer"/>
    <w:basedOn w:val="Normal"/>
    <w:link w:val="FooterChar"/>
    <w:rsid w:val="00DC1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C7A"/>
    <w:rPr>
      <w:rFonts w:ascii="Times New Roman" w:eastAsia="Times New Roman" w:hAnsi="Times New Roman" w:cs="Times New Roman"/>
      <w:sz w:val="16"/>
      <w:lang w:val="en-US" w:eastAsia="en-US"/>
    </w:rPr>
  </w:style>
  <w:style w:type="paragraph" w:styleId="List">
    <w:name w:val="List"/>
    <w:basedOn w:val="BodyText"/>
    <w:next w:val="BodyText"/>
    <w:rsid w:val="00DC1C7A"/>
    <w:pPr>
      <w:tabs>
        <w:tab w:val="left" w:pos="340"/>
      </w:tabs>
      <w:spacing w:before="60" w:after="60"/>
      <w:ind w:left="340" w:hanging="340"/>
    </w:pPr>
  </w:style>
  <w:style w:type="paragraph" w:styleId="ListBullet">
    <w:name w:val="List Bullet"/>
    <w:basedOn w:val="List"/>
    <w:rsid w:val="00DC1C7A"/>
    <w:pPr>
      <w:numPr>
        <w:numId w:val="13"/>
      </w:numPr>
      <w:tabs>
        <w:tab w:val="clear" w:pos="340"/>
      </w:tabs>
      <w:spacing w:before="40" w:after="40"/>
    </w:pPr>
  </w:style>
  <w:style w:type="character" w:customStyle="1" w:styleId="SpecialBold">
    <w:name w:val="Special Bold"/>
    <w:basedOn w:val="DefaultParagraphFont"/>
    <w:rsid w:val="00DC1C7A"/>
    <w:rPr>
      <w:b/>
      <w:spacing w:val="0"/>
    </w:rPr>
  </w:style>
  <w:style w:type="paragraph" w:styleId="ListBullet2">
    <w:name w:val="List Bullet 2"/>
    <w:basedOn w:val="List2"/>
    <w:rsid w:val="00DC1C7A"/>
    <w:pPr>
      <w:numPr>
        <w:numId w:val="14"/>
      </w:numPr>
      <w:tabs>
        <w:tab w:val="clear" w:pos="680"/>
      </w:tabs>
    </w:pPr>
  </w:style>
  <w:style w:type="paragraph" w:styleId="Header">
    <w:name w:val="header"/>
    <w:basedOn w:val="Normal"/>
    <w:link w:val="HeaderChar"/>
    <w:rsid w:val="00DC1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C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1C7A"/>
    <w:pPr>
      <w:spacing w:before="240" w:after="120"/>
      <w:outlineLvl w:val="0"/>
    </w:pPr>
    <w:rPr>
      <w:rFonts w:ascii="Times New Roman" w:hAnsi="Times New Roman"/>
      <w:b/>
      <w:sz w:val="28"/>
    </w:rPr>
  </w:style>
  <w:style w:type="paragraph" w:customStyle="1" w:styleId="AllowPageBreak">
    <w:name w:val="AllowPageBreak"/>
    <w:rsid w:val="00DC1C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1C7A"/>
    <w:pPr>
      <w:tabs>
        <w:tab w:val="left" w:pos="680"/>
      </w:tabs>
      <w:spacing w:before="60" w:after="60"/>
      <w:ind w:left="680" w:hanging="340"/>
    </w:pPr>
  </w:style>
  <w:style w:type="character" w:customStyle="1" w:styleId="Heading2Char">
    <w:name w:val="Heading 2 Char"/>
    <w:basedOn w:val="DefaultParagraphFont"/>
    <w:link w:val="Heading2"/>
    <w:rsid w:val="00DC1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C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1C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1C7A"/>
    <w:rPr>
      <w:rFonts w:ascii="Courier New" w:eastAsia="Times New Roman" w:hAnsi="Courier New" w:cs="Times New Roman"/>
      <w:i/>
      <w:szCs w:val="20"/>
      <w:lang w:val="en-US" w:eastAsia="en-US"/>
    </w:rPr>
  </w:style>
  <w:style w:type="paragraph" w:customStyle="1" w:styleId="HeadingBase">
    <w:name w:val="Heading Base"/>
    <w:rsid w:val="00DC1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C7A"/>
    <w:pPr>
      <w:tabs>
        <w:tab w:val="right" w:leader="dot" w:pos="9072"/>
      </w:tabs>
      <w:ind w:left="567"/>
    </w:pPr>
    <w:rPr>
      <w:szCs w:val="22"/>
    </w:rPr>
  </w:style>
  <w:style w:type="paragraph" w:customStyle="1" w:styleId="TOCBase">
    <w:name w:val="TOC Base"/>
    <w:rsid w:val="00DC1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C7A"/>
    <w:pPr>
      <w:tabs>
        <w:tab w:val="right" w:leader="dot" w:pos="9072"/>
      </w:tabs>
      <w:spacing w:before="40" w:after="40"/>
      <w:ind w:left="284"/>
    </w:pPr>
    <w:rPr>
      <w:rFonts w:ascii="Times New Roman" w:hAnsi="Times New Roman"/>
    </w:rPr>
  </w:style>
  <w:style w:type="paragraph" w:styleId="TOC1">
    <w:name w:val="toc 1"/>
    <w:basedOn w:val="TOCBase"/>
    <w:next w:val="Normal"/>
    <w:rsid w:val="00DC1C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1C7A"/>
    <w:pPr>
      <w:spacing w:before="5040"/>
      <w:jc w:val="center"/>
    </w:pPr>
    <w:rPr>
      <w:sz w:val="48"/>
      <w:szCs w:val="72"/>
      <w:lang w:val="en-US"/>
    </w:rPr>
  </w:style>
  <w:style w:type="character" w:customStyle="1" w:styleId="TitleChar">
    <w:name w:val="Title Char"/>
    <w:basedOn w:val="DefaultParagraphFont"/>
    <w:link w:val="Title"/>
    <w:rsid w:val="00DC1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C7A"/>
    <w:pPr>
      <w:tabs>
        <w:tab w:val="left" w:pos="3600"/>
        <w:tab w:val="left" w:pos="3958"/>
      </w:tabs>
    </w:pPr>
  </w:style>
  <w:style w:type="paragraph" w:customStyle="1" w:styleId="Note">
    <w:name w:val="Note"/>
    <w:basedOn w:val="BodyText"/>
    <w:rsid w:val="00DC1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C7A"/>
    <w:pPr>
      <w:framePr w:wrap="auto" w:hAnchor="text" w:y="6049"/>
    </w:pPr>
    <w:rPr>
      <w:color w:val="000000"/>
      <w:sz w:val="40"/>
    </w:rPr>
  </w:style>
  <w:style w:type="paragraph" w:customStyle="1" w:styleId="TOCTitle">
    <w:name w:val="TOCTitle"/>
    <w:basedOn w:val="Heading1"/>
    <w:rsid w:val="00DC1C7A"/>
    <w:pPr>
      <w:spacing w:after="240"/>
      <w:jc w:val="center"/>
      <w:outlineLvl w:val="9"/>
    </w:pPr>
    <w:rPr>
      <w:caps/>
    </w:rPr>
  </w:style>
  <w:style w:type="paragraph" w:customStyle="1" w:styleId="Version">
    <w:name w:val="Version"/>
    <w:rsid w:val="00DC1C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C7A"/>
    <w:pPr>
      <w:keepNext w:val="0"/>
      <w:tabs>
        <w:tab w:val="right" w:pos="4176"/>
      </w:tabs>
      <w:ind w:left="198" w:hanging="198"/>
    </w:pPr>
    <w:rPr>
      <w:rFonts w:ascii="Garamond" w:hAnsi="Garamond"/>
    </w:rPr>
  </w:style>
  <w:style w:type="paragraph" w:styleId="IndexHeading">
    <w:name w:val="index heading"/>
    <w:basedOn w:val="Normal"/>
    <w:next w:val="Index1"/>
    <w:semiHidden/>
    <w:rsid w:val="00DC1C7A"/>
    <w:pPr>
      <w:spacing w:before="120" w:after="120"/>
    </w:pPr>
    <w:rPr>
      <w:rFonts w:ascii="Arial" w:hAnsi="Arial"/>
      <w:b/>
      <w:color w:val="918585"/>
      <w:sz w:val="24"/>
    </w:rPr>
  </w:style>
  <w:style w:type="paragraph" w:customStyle="1" w:styleId="Chapter">
    <w:name w:val="Chapter"/>
    <w:basedOn w:val="Normal"/>
    <w:rsid w:val="00DC1C7A"/>
    <w:pPr>
      <w:spacing w:before="240"/>
    </w:pPr>
    <w:rPr>
      <w:rFonts w:ascii="Times New Roman" w:hAnsi="Times New Roman"/>
      <w:smallCaps/>
      <w:spacing w:val="80"/>
      <w:sz w:val="28"/>
    </w:rPr>
  </w:style>
  <w:style w:type="paragraph" w:customStyle="1" w:styleId="InChapter">
    <w:name w:val="InChapter"/>
    <w:basedOn w:val="Heading3"/>
    <w:rsid w:val="00DC1C7A"/>
    <w:pPr>
      <w:spacing w:after="240"/>
      <w:outlineLvl w:val="9"/>
    </w:pPr>
    <w:rPr>
      <w:noProof/>
    </w:rPr>
  </w:style>
  <w:style w:type="paragraph" w:styleId="Index2">
    <w:name w:val="index 2"/>
    <w:basedOn w:val="Normal"/>
    <w:next w:val="Normal"/>
    <w:semiHidden/>
    <w:rsid w:val="00DC1C7A"/>
    <w:pPr>
      <w:tabs>
        <w:tab w:val="right" w:pos="4176"/>
      </w:tabs>
      <w:ind w:left="568" w:hanging="284"/>
    </w:pPr>
    <w:rPr>
      <w:rFonts w:ascii="Garamond" w:hAnsi="Garamond"/>
    </w:rPr>
  </w:style>
  <w:style w:type="paragraph" w:customStyle="1" w:styleId="Byline">
    <w:name w:val="Byline"/>
    <w:rsid w:val="00DC1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C7A"/>
    <w:pPr>
      <w:tabs>
        <w:tab w:val="clear" w:pos="3600"/>
        <w:tab w:val="clear" w:pos="3958"/>
      </w:tabs>
      <w:jc w:val="right"/>
    </w:pPr>
  </w:style>
  <w:style w:type="character" w:styleId="Emphasis">
    <w:name w:val="Emphasis"/>
    <w:basedOn w:val="DefaultParagraphFont"/>
    <w:qFormat/>
    <w:rsid w:val="00DC1C7A"/>
    <w:rPr>
      <w:i/>
    </w:rPr>
  </w:style>
  <w:style w:type="paragraph" w:styleId="Caption">
    <w:name w:val="caption"/>
    <w:basedOn w:val="BodyText"/>
    <w:next w:val="Normal"/>
    <w:qFormat/>
    <w:rsid w:val="00DC1C7A"/>
    <w:pPr>
      <w:framePr w:w="2268" w:hSpace="181" w:vSpace="181" w:wrap="around" w:vAnchor="text" w:hAnchor="page" w:x="1135" w:y="285" w:anchorLock="1"/>
    </w:pPr>
    <w:rPr>
      <w:i/>
    </w:rPr>
  </w:style>
  <w:style w:type="paragraph" w:customStyle="1" w:styleId="MiniTOCTitle">
    <w:name w:val="MiniTOCTitle"/>
    <w:basedOn w:val="Heading4"/>
    <w:rsid w:val="00DC1C7A"/>
    <w:pPr>
      <w:spacing w:before="240"/>
      <w:outlineLvl w:val="9"/>
    </w:pPr>
    <w:rPr>
      <w:noProof/>
      <w:sz w:val="24"/>
    </w:rPr>
  </w:style>
  <w:style w:type="paragraph" w:customStyle="1" w:styleId="MiniTOCItem">
    <w:name w:val="MiniTOCItem"/>
    <w:basedOn w:val="ListBullet"/>
    <w:rsid w:val="00DC1C7A"/>
    <w:pPr>
      <w:numPr>
        <w:numId w:val="0"/>
      </w:numPr>
      <w:tabs>
        <w:tab w:val="right" w:leader="dot" w:pos="6521"/>
      </w:tabs>
      <w:spacing w:before="0" w:after="0"/>
    </w:pPr>
  </w:style>
  <w:style w:type="paragraph" w:customStyle="1" w:styleId="TOFTitle">
    <w:name w:val="TOFTitle"/>
    <w:basedOn w:val="TOCTitle"/>
    <w:rsid w:val="00DC1C7A"/>
  </w:style>
  <w:style w:type="paragraph" w:styleId="TableofFigures">
    <w:name w:val="table of figures"/>
    <w:basedOn w:val="Normal"/>
    <w:next w:val="Normal"/>
    <w:semiHidden/>
    <w:rsid w:val="00DC1C7A"/>
    <w:pPr>
      <w:tabs>
        <w:tab w:val="right" w:leader="dot" w:pos="9072"/>
      </w:tabs>
      <w:ind w:left="970" w:hanging="403"/>
    </w:pPr>
    <w:rPr>
      <w:rFonts w:ascii="Times New Roman" w:hAnsi="Times New Roman"/>
      <w:b/>
    </w:rPr>
  </w:style>
  <w:style w:type="paragraph" w:styleId="ListNumber">
    <w:name w:val="List Number"/>
    <w:basedOn w:val="List"/>
    <w:rsid w:val="00DC1C7A"/>
    <w:pPr>
      <w:numPr>
        <w:numId w:val="11"/>
      </w:numPr>
    </w:pPr>
  </w:style>
  <w:style w:type="character" w:customStyle="1" w:styleId="WingdingSymbols">
    <w:name w:val="Wingding Symbols"/>
    <w:rsid w:val="00DC1C7A"/>
    <w:rPr>
      <w:rFonts w:ascii="Wingdings" w:hAnsi="Wingdings"/>
    </w:rPr>
  </w:style>
  <w:style w:type="paragraph" w:customStyle="1" w:styleId="TableHeading">
    <w:name w:val="Table Heading"/>
    <w:basedOn w:val="HeadingBase"/>
    <w:rsid w:val="00DC1C7A"/>
    <w:pPr>
      <w:keepLines/>
      <w:pBdr>
        <w:bottom w:val="single" w:sz="6" w:space="1" w:color="918585"/>
      </w:pBdr>
      <w:spacing w:before="240"/>
    </w:pPr>
  </w:style>
  <w:style w:type="character" w:customStyle="1" w:styleId="HotSpot">
    <w:name w:val="HotSpot"/>
    <w:rsid w:val="00DC1C7A"/>
    <w:rPr>
      <w:color w:val="0033CC"/>
      <w:u w:val="none"/>
    </w:rPr>
  </w:style>
  <w:style w:type="paragraph" w:customStyle="1" w:styleId="BodyTextRight">
    <w:name w:val="Body Text Right"/>
    <w:basedOn w:val="BodyText"/>
    <w:rsid w:val="00DC1C7A"/>
    <w:pPr>
      <w:spacing w:before="0" w:after="0"/>
      <w:jc w:val="right"/>
    </w:pPr>
  </w:style>
  <w:style w:type="paragraph" w:styleId="Index3">
    <w:name w:val="index 3"/>
    <w:basedOn w:val="ListNumber2"/>
    <w:next w:val="Normal"/>
    <w:semiHidden/>
    <w:rsid w:val="00DC1C7A"/>
    <w:pPr>
      <w:numPr>
        <w:numId w:val="0"/>
      </w:numPr>
      <w:tabs>
        <w:tab w:val="right" w:leader="dot" w:pos="4176"/>
      </w:tabs>
    </w:pPr>
  </w:style>
  <w:style w:type="paragraph" w:styleId="ListNumber2">
    <w:name w:val="List Number 2"/>
    <w:basedOn w:val="List2"/>
    <w:rsid w:val="00DC1C7A"/>
    <w:pPr>
      <w:numPr>
        <w:numId w:val="10"/>
      </w:numPr>
      <w:tabs>
        <w:tab w:val="clear" w:pos="1060"/>
      </w:tabs>
    </w:pPr>
  </w:style>
  <w:style w:type="paragraph" w:customStyle="1" w:styleId="MarginNote">
    <w:name w:val="Margin Note"/>
    <w:basedOn w:val="BodyText"/>
    <w:rsid w:val="00DC1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C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1C7A"/>
    <w:rPr>
      <w:sz w:val="32"/>
    </w:rPr>
  </w:style>
  <w:style w:type="paragraph" w:customStyle="1" w:styleId="HeadingProcedure">
    <w:name w:val="Heading Procedure"/>
    <w:basedOn w:val="HeadingBase"/>
    <w:next w:val="Normal"/>
    <w:rsid w:val="00DC1C7A"/>
    <w:pPr>
      <w:tabs>
        <w:tab w:val="left" w:pos="0"/>
      </w:tabs>
      <w:spacing w:before="120" w:after="60"/>
    </w:pPr>
    <w:rPr>
      <w:i/>
      <w:color w:val="918585"/>
      <w:sz w:val="22"/>
    </w:rPr>
  </w:style>
  <w:style w:type="paragraph" w:customStyle="1" w:styleId="TableBodyText">
    <w:name w:val="Table Body Text"/>
    <w:basedOn w:val="BodyText"/>
    <w:rsid w:val="00DC1C7A"/>
    <w:pPr>
      <w:spacing w:before="60" w:after="60"/>
    </w:pPr>
  </w:style>
  <w:style w:type="paragraph" w:styleId="ListContinue">
    <w:name w:val="List Continue"/>
    <w:basedOn w:val="List"/>
    <w:rsid w:val="00DC1C7A"/>
    <w:pPr>
      <w:ind w:firstLine="0"/>
    </w:pPr>
  </w:style>
  <w:style w:type="paragraph" w:customStyle="1" w:styleId="ListNote">
    <w:name w:val="List Note"/>
    <w:basedOn w:val="List"/>
    <w:rsid w:val="00DC1C7A"/>
    <w:pPr>
      <w:pBdr>
        <w:top w:val="single" w:sz="6" w:space="2" w:color="918585"/>
        <w:bottom w:val="single" w:sz="6" w:space="2" w:color="918585"/>
      </w:pBdr>
      <w:tabs>
        <w:tab w:val="left" w:pos="1021"/>
      </w:tabs>
      <w:ind w:firstLine="0"/>
    </w:pPr>
  </w:style>
  <w:style w:type="paragraph" w:customStyle="1" w:styleId="Warning">
    <w:name w:val="Warning"/>
    <w:basedOn w:val="BodyText"/>
    <w:rsid w:val="00DC1C7A"/>
    <w:pPr>
      <w:shd w:val="clear" w:color="auto" w:fill="D9D9D9"/>
      <w:tabs>
        <w:tab w:val="left" w:pos="992"/>
      </w:tabs>
      <w:ind w:left="119" w:right="119"/>
    </w:pPr>
    <w:rPr>
      <w:sz w:val="20"/>
    </w:rPr>
  </w:style>
  <w:style w:type="paragraph" w:customStyle="1" w:styleId="MarginIcons">
    <w:name w:val="Margin Icons"/>
    <w:basedOn w:val="BodyText"/>
    <w:rsid w:val="00DC1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C7A"/>
    <w:rPr>
      <w:rFonts w:ascii="Courier New" w:hAnsi="Courier New"/>
    </w:rPr>
  </w:style>
  <w:style w:type="paragraph" w:customStyle="1" w:styleId="NoteBullet">
    <w:name w:val="Note Bullet"/>
    <w:basedOn w:val="Note"/>
    <w:rsid w:val="00DC1C7A"/>
    <w:pPr>
      <w:tabs>
        <w:tab w:val="clear" w:pos="680"/>
      </w:tabs>
      <w:spacing w:before="60" w:after="60"/>
    </w:pPr>
  </w:style>
  <w:style w:type="paragraph" w:customStyle="1" w:styleId="SubHeading2">
    <w:name w:val="SubHeading2"/>
    <w:basedOn w:val="HeadingBase"/>
    <w:rsid w:val="00DC1C7A"/>
    <w:pPr>
      <w:spacing w:before="240" w:after="60"/>
    </w:pPr>
    <w:rPr>
      <w:sz w:val="20"/>
    </w:rPr>
  </w:style>
  <w:style w:type="paragraph" w:customStyle="1" w:styleId="SubHeading1">
    <w:name w:val="SubHeading1"/>
    <w:basedOn w:val="HeadingBase"/>
    <w:rsid w:val="00DC1C7A"/>
    <w:pPr>
      <w:spacing w:before="240" w:after="60"/>
    </w:pPr>
    <w:rPr>
      <w:color w:val="918585"/>
      <w:sz w:val="22"/>
    </w:rPr>
  </w:style>
  <w:style w:type="paragraph" w:customStyle="1" w:styleId="SideHeading">
    <w:name w:val="Side Heading"/>
    <w:basedOn w:val="HeadingBase"/>
    <w:rsid w:val="00DC1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C7A"/>
    <w:pPr>
      <w:numPr>
        <w:numId w:val="12"/>
      </w:numPr>
    </w:pPr>
  </w:style>
  <w:style w:type="paragraph" w:styleId="PlainText">
    <w:name w:val="Plain Text"/>
    <w:basedOn w:val="Normal"/>
    <w:link w:val="PlainTextChar"/>
    <w:rsid w:val="00DC1C7A"/>
    <w:rPr>
      <w:sz w:val="20"/>
    </w:rPr>
  </w:style>
  <w:style w:type="character" w:customStyle="1" w:styleId="PlainTextChar">
    <w:name w:val="Plain Text Char"/>
    <w:basedOn w:val="DefaultParagraphFont"/>
    <w:link w:val="PlainText"/>
    <w:rsid w:val="00DC1C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1C7A"/>
    <w:rPr>
      <w:b/>
      <w:smallCaps/>
    </w:rPr>
  </w:style>
  <w:style w:type="paragraph" w:customStyle="1" w:styleId="TableListNumber">
    <w:name w:val="Table List Number"/>
    <w:basedOn w:val="ListNumber"/>
    <w:rsid w:val="00DC1C7A"/>
    <w:pPr>
      <w:numPr>
        <w:numId w:val="0"/>
      </w:numPr>
    </w:pPr>
  </w:style>
  <w:style w:type="paragraph" w:styleId="TOC4">
    <w:name w:val="toc 4"/>
    <w:basedOn w:val="TOCBase"/>
    <w:next w:val="Normal"/>
    <w:semiHidden/>
    <w:rsid w:val="00DC1C7A"/>
    <w:pPr>
      <w:tabs>
        <w:tab w:val="right" w:leader="dot" w:pos="9071"/>
      </w:tabs>
      <w:ind w:left="1701"/>
    </w:pPr>
  </w:style>
  <w:style w:type="paragraph" w:customStyle="1" w:styleId="ListAlpha">
    <w:name w:val="List Alpha"/>
    <w:basedOn w:val="List"/>
    <w:rsid w:val="00DC1C7A"/>
    <w:pPr>
      <w:numPr>
        <w:numId w:val="9"/>
      </w:numPr>
    </w:pPr>
  </w:style>
  <w:style w:type="paragraph" w:customStyle="1" w:styleId="ListAlpha2">
    <w:name w:val="List Alpha 2"/>
    <w:basedOn w:val="List2"/>
    <w:rsid w:val="00DC1C7A"/>
    <w:pPr>
      <w:numPr>
        <w:numId w:val="8"/>
      </w:numPr>
    </w:pPr>
  </w:style>
  <w:style w:type="paragraph" w:styleId="List3">
    <w:name w:val="List 3"/>
    <w:basedOn w:val="BodyText"/>
    <w:rsid w:val="00DC1C7A"/>
    <w:pPr>
      <w:tabs>
        <w:tab w:val="left" w:pos="1021"/>
      </w:tabs>
      <w:spacing w:before="60" w:after="60"/>
      <w:ind w:left="1020" w:hanging="340"/>
    </w:pPr>
  </w:style>
  <w:style w:type="paragraph" w:styleId="List4">
    <w:name w:val="List 4"/>
    <w:basedOn w:val="BodyText"/>
    <w:rsid w:val="00DC1C7A"/>
    <w:pPr>
      <w:tabs>
        <w:tab w:val="left" w:pos="1361"/>
      </w:tabs>
      <w:spacing w:before="60" w:after="60"/>
      <w:ind w:left="1361" w:hanging="340"/>
    </w:pPr>
  </w:style>
  <w:style w:type="paragraph" w:styleId="List5">
    <w:name w:val="List 5"/>
    <w:basedOn w:val="BodyText"/>
    <w:rsid w:val="00DC1C7A"/>
    <w:pPr>
      <w:tabs>
        <w:tab w:val="left" w:pos="1701"/>
      </w:tabs>
      <w:spacing w:before="60" w:after="60"/>
      <w:ind w:left="1701" w:hanging="340"/>
    </w:pPr>
  </w:style>
  <w:style w:type="paragraph" w:styleId="ListBullet3">
    <w:name w:val="List Bullet 3"/>
    <w:basedOn w:val="List3"/>
    <w:rsid w:val="00DC1C7A"/>
    <w:pPr>
      <w:numPr>
        <w:numId w:val="15"/>
      </w:numPr>
      <w:tabs>
        <w:tab w:val="clear" w:pos="1021"/>
      </w:tabs>
      <w:ind w:left="1037" w:hanging="357"/>
    </w:pPr>
  </w:style>
  <w:style w:type="paragraph" w:styleId="ListBullet4">
    <w:name w:val="List Bullet 4"/>
    <w:basedOn w:val="List4"/>
    <w:rsid w:val="00DC1C7A"/>
    <w:pPr>
      <w:numPr>
        <w:numId w:val="3"/>
      </w:numPr>
    </w:pPr>
  </w:style>
  <w:style w:type="paragraph" w:styleId="ListBullet5">
    <w:name w:val="List Bullet 5"/>
    <w:basedOn w:val="List5"/>
    <w:rsid w:val="00DC1C7A"/>
    <w:pPr>
      <w:numPr>
        <w:numId w:val="4"/>
      </w:numPr>
    </w:pPr>
  </w:style>
  <w:style w:type="paragraph" w:styleId="ListContinue2">
    <w:name w:val="List Continue 2"/>
    <w:basedOn w:val="List2"/>
    <w:rsid w:val="00DC1C7A"/>
    <w:pPr>
      <w:ind w:firstLine="0"/>
    </w:pPr>
  </w:style>
  <w:style w:type="paragraph" w:styleId="ListContinue3">
    <w:name w:val="List Continue 3"/>
    <w:basedOn w:val="List3"/>
    <w:rsid w:val="00DC1C7A"/>
    <w:pPr>
      <w:ind w:left="1021" w:firstLine="0"/>
    </w:pPr>
  </w:style>
  <w:style w:type="paragraph" w:styleId="ListContinue4">
    <w:name w:val="List Continue 4"/>
    <w:basedOn w:val="List4"/>
    <w:rsid w:val="00DC1C7A"/>
    <w:pPr>
      <w:ind w:firstLine="0"/>
    </w:pPr>
  </w:style>
  <w:style w:type="paragraph" w:styleId="ListContinue5">
    <w:name w:val="List Continue 5"/>
    <w:basedOn w:val="List5"/>
    <w:rsid w:val="00DC1C7A"/>
    <w:pPr>
      <w:ind w:firstLine="0"/>
    </w:pPr>
  </w:style>
  <w:style w:type="paragraph" w:styleId="ListNumber3">
    <w:name w:val="List Number 3"/>
    <w:basedOn w:val="List3"/>
    <w:rsid w:val="00DC1C7A"/>
    <w:pPr>
      <w:numPr>
        <w:numId w:val="5"/>
      </w:numPr>
    </w:pPr>
  </w:style>
  <w:style w:type="paragraph" w:styleId="ListNumber4">
    <w:name w:val="List Number 4"/>
    <w:basedOn w:val="List4"/>
    <w:rsid w:val="00DC1C7A"/>
    <w:pPr>
      <w:numPr>
        <w:numId w:val="6"/>
      </w:numPr>
    </w:pPr>
  </w:style>
  <w:style w:type="paragraph" w:styleId="ListNumber5">
    <w:name w:val="List Number 5"/>
    <w:basedOn w:val="List5"/>
    <w:rsid w:val="00DC1C7A"/>
    <w:pPr>
      <w:numPr>
        <w:numId w:val="7"/>
      </w:numPr>
    </w:pPr>
  </w:style>
  <w:style w:type="paragraph" w:styleId="BlockText">
    <w:name w:val="Block Text"/>
    <w:basedOn w:val="Normal"/>
    <w:rsid w:val="00DC1C7A"/>
    <w:pPr>
      <w:spacing w:after="120"/>
      <w:ind w:left="1440" w:right="1440"/>
    </w:pPr>
  </w:style>
  <w:style w:type="character" w:customStyle="1" w:styleId="Subscript">
    <w:name w:val="Subscript"/>
    <w:basedOn w:val="DefaultParagraphFont"/>
    <w:rsid w:val="00DC1C7A"/>
    <w:rPr>
      <w:sz w:val="16"/>
      <w:vertAlign w:val="subscript"/>
    </w:rPr>
  </w:style>
  <w:style w:type="character" w:customStyle="1" w:styleId="Superscript">
    <w:name w:val="Superscript"/>
    <w:basedOn w:val="DefaultParagraphFont"/>
    <w:rsid w:val="00DC1C7A"/>
    <w:rPr>
      <w:sz w:val="16"/>
      <w:vertAlign w:val="superscript"/>
    </w:rPr>
  </w:style>
  <w:style w:type="character" w:customStyle="1" w:styleId="Symbols">
    <w:name w:val="Symbols"/>
    <w:basedOn w:val="DefaultParagraphFont"/>
    <w:rsid w:val="00DC1C7A"/>
    <w:rPr>
      <w:rFonts w:ascii="Symbol" w:hAnsi="Symbol"/>
    </w:rPr>
  </w:style>
  <w:style w:type="character" w:customStyle="1" w:styleId="MenuOptions">
    <w:name w:val="Menu Options"/>
    <w:basedOn w:val="DefaultParagraphFont"/>
    <w:rsid w:val="00DC1C7A"/>
    <w:rPr>
      <w:rFonts w:ascii="Arial Narrow" w:hAnsi="Arial Narrow"/>
      <w:smallCaps/>
    </w:rPr>
  </w:style>
  <w:style w:type="character" w:customStyle="1" w:styleId="Buttons">
    <w:name w:val="Buttons"/>
    <w:basedOn w:val="DefaultParagraphFont"/>
    <w:rsid w:val="00DC1C7A"/>
    <w:rPr>
      <w:b/>
    </w:rPr>
  </w:style>
  <w:style w:type="character" w:customStyle="1" w:styleId="Underlined">
    <w:name w:val="Underlined"/>
    <w:basedOn w:val="DefaultParagraphFont"/>
    <w:rsid w:val="00DC1C7A"/>
    <w:rPr>
      <w:u w:val="single"/>
    </w:rPr>
  </w:style>
  <w:style w:type="paragraph" w:customStyle="1" w:styleId="TableBodyTextRight">
    <w:name w:val="Table Body Text Right"/>
    <w:basedOn w:val="TableBodyText"/>
    <w:rsid w:val="00DC1C7A"/>
    <w:pPr>
      <w:widowControl w:val="0"/>
      <w:autoSpaceDE w:val="0"/>
      <w:autoSpaceDN w:val="0"/>
      <w:adjustRightInd w:val="0"/>
      <w:jc w:val="right"/>
    </w:pPr>
    <w:rPr>
      <w:rFonts w:cs="Arial"/>
      <w:szCs w:val="18"/>
    </w:rPr>
  </w:style>
  <w:style w:type="paragraph" w:customStyle="1" w:styleId="CopyrightText">
    <w:name w:val="Copyright Text"/>
    <w:basedOn w:val="BodyText"/>
    <w:rsid w:val="00DC1C7A"/>
    <w:rPr>
      <w:sz w:val="18"/>
    </w:rPr>
  </w:style>
  <w:style w:type="paragraph" w:customStyle="1" w:styleId="BodySmallRight">
    <w:name w:val="Body Small Right"/>
    <w:basedOn w:val="BodyTextRight"/>
    <w:rsid w:val="00DC1C7A"/>
    <w:rPr>
      <w:sz w:val="18"/>
      <w:szCs w:val="18"/>
    </w:rPr>
  </w:style>
  <w:style w:type="paragraph" w:customStyle="1" w:styleId="MarginEdition">
    <w:name w:val="Margin Edition"/>
    <w:basedOn w:val="MarginNote"/>
    <w:rsid w:val="00DC1C7A"/>
    <w:pPr>
      <w:spacing w:before="0" w:after="0"/>
    </w:pPr>
    <w:rPr>
      <w:rFonts w:ascii="Times New Roman" w:hAnsi="Times New Roman"/>
      <w:color w:val="999999"/>
    </w:rPr>
  </w:style>
  <w:style w:type="paragraph" w:customStyle="1" w:styleId="Spacer">
    <w:name w:val="Spacer"/>
    <w:basedOn w:val="Normal"/>
    <w:rsid w:val="00DC1C7A"/>
    <w:rPr>
      <w:sz w:val="2"/>
      <w:szCs w:val="2"/>
    </w:rPr>
  </w:style>
  <w:style w:type="character" w:customStyle="1" w:styleId="Small">
    <w:name w:val="Small"/>
    <w:basedOn w:val="DefaultParagraphFont"/>
    <w:rsid w:val="00DC1C7A"/>
    <w:rPr>
      <w:sz w:val="16"/>
    </w:rPr>
  </w:style>
  <w:style w:type="paragraph" w:customStyle="1" w:styleId="WideTable">
    <w:name w:val="Wide Table"/>
    <w:basedOn w:val="Normal"/>
    <w:rsid w:val="00DC1C7A"/>
    <w:pPr>
      <w:ind w:left="-1418"/>
    </w:pPr>
    <w:rPr>
      <w:sz w:val="2"/>
      <w:szCs w:val="2"/>
    </w:rPr>
  </w:style>
  <w:style w:type="character" w:styleId="PageNumber">
    <w:name w:val="page number"/>
    <w:basedOn w:val="DefaultParagraphFont"/>
    <w:rsid w:val="00DC1C7A"/>
  </w:style>
  <w:style w:type="paragraph" w:styleId="Quote">
    <w:name w:val="Quote"/>
    <w:basedOn w:val="Heading1"/>
    <w:link w:val="QuoteChar"/>
    <w:qFormat/>
    <w:rsid w:val="00DC1C7A"/>
    <w:rPr>
      <w:b w:val="0"/>
      <w:sz w:val="72"/>
      <w:szCs w:val="72"/>
      <w:lang w:val="en-NZ"/>
    </w:rPr>
  </w:style>
  <w:style w:type="character" w:customStyle="1" w:styleId="QuoteChar">
    <w:name w:val="Quote Char"/>
    <w:basedOn w:val="DefaultParagraphFont"/>
    <w:link w:val="Quote"/>
    <w:rsid w:val="00DC1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C7A"/>
    <w:pPr>
      <w:pageBreakBefore/>
    </w:pPr>
  </w:style>
  <w:style w:type="paragraph" w:customStyle="1" w:styleId="Border">
    <w:name w:val="Border"/>
    <w:basedOn w:val="Normal"/>
    <w:qFormat/>
    <w:rsid w:val="00DC1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C7A"/>
    <w:rPr>
      <w:b/>
      <w:bCs/>
      <w:i/>
      <w:iCs/>
      <w:color w:val="auto"/>
    </w:rPr>
  </w:style>
  <w:style w:type="paragraph" w:styleId="IntenseQuote">
    <w:name w:val="Intense Quote"/>
    <w:basedOn w:val="Normal"/>
    <w:next w:val="Normal"/>
    <w:link w:val="IntenseQuoteChar"/>
    <w:uiPriority w:val="30"/>
    <w:qFormat/>
    <w:rsid w:val="00DC1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C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1C7A"/>
    <w:rPr>
      <w:smallCaps/>
      <w:color w:val="auto"/>
      <w:u w:val="single"/>
    </w:rPr>
  </w:style>
  <w:style w:type="character" w:styleId="IntenseReference">
    <w:name w:val="Intense Reference"/>
    <w:basedOn w:val="DefaultParagraphFont"/>
    <w:uiPriority w:val="32"/>
    <w:qFormat/>
    <w:rsid w:val="00DC1C7A"/>
    <w:rPr>
      <w:b/>
      <w:bCs/>
      <w:smallCaps/>
      <w:color w:val="auto"/>
      <w:spacing w:val="5"/>
      <w:u w:val="single"/>
    </w:rPr>
  </w:style>
  <w:style w:type="paragraph" w:customStyle="1" w:styleId="2ColumnHeading">
    <w:name w:val="2Column Heading"/>
    <w:basedOn w:val="BodyText"/>
    <w:qFormat/>
    <w:rsid w:val="00DC1C7A"/>
    <w:pPr>
      <w:spacing w:after="60"/>
      <w:ind w:left="-2268"/>
    </w:pPr>
    <w:rPr>
      <w:b/>
    </w:rPr>
  </w:style>
  <w:style w:type="paragraph" w:customStyle="1" w:styleId="Heading1TOC">
    <w:name w:val="Heading1 TOC"/>
    <w:basedOn w:val="Normal"/>
    <w:qFormat/>
    <w:rsid w:val="00DC1C7A"/>
    <w:pPr>
      <w:spacing w:before="240" w:after="120"/>
    </w:pPr>
    <w:rPr>
      <w:rFonts w:ascii="Times New Roman" w:hAnsi="Times New Roman"/>
      <w:b/>
      <w:sz w:val="32"/>
    </w:rPr>
  </w:style>
  <w:style w:type="paragraph" w:customStyle="1" w:styleId="Heading2TOC">
    <w:name w:val="Heading2 TOC"/>
    <w:basedOn w:val="Normal"/>
    <w:qFormat/>
    <w:rsid w:val="00DC1C7A"/>
    <w:pPr>
      <w:spacing w:before="240" w:after="60"/>
    </w:pPr>
    <w:rPr>
      <w:rFonts w:ascii="Times New Roman" w:hAnsi="Times New Roman"/>
      <w:b/>
      <w:sz w:val="28"/>
    </w:rPr>
  </w:style>
  <w:style w:type="character" w:customStyle="1" w:styleId="Underline">
    <w:name w:val="Underline"/>
    <w:basedOn w:val="DefaultParagraphFont"/>
    <w:qFormat/>
    <w:rsid w:val="00DC1C7A"/>
    <w:rPr>
      <w:u w:val="single"/>
    </w:rPr>
  </w:style>
  <w:style w:type="character" w:customStyle="1" w:styleId="BoldandItalics">
    <w:name w:val="Bold and Italics"/>
    <w:qFormat/>
    <w:rsid w:val="00DC1C7A"/>
    <w:rPr>
      <w:b/>
      <w:i/>
      <w:u w:val="none"/>
    </w:rPr>
  </w:style>
  <w:style w:type="paragraph" w:styleId="BalloonText">
    <w:name w:val="Balloon Text"/>
    <w:basedOn w:val="Normal"/>
    <w:link w:val="BalloonTextChar"/>
    <w:rsid w:val="00DC1C7A"/>
    <w:rPr>
      <w:rFonts w:ascii="Tahoma" w:hAnsi="Tahoma" w:cs="Tahoma"/>
      <w:sz w:val="16"/>
      <w:szCs w:val="16"/>
    </w:rPr>
  </w:style>
  <w:style w:type="character" w:customStyle="1" w:styleId="BalloonTextChar">
    <w:name w:val="Balloon Text Char"/>
    <w:basedOn w:val="DefaultParagraphFont"/>
    <w:link w:val="BalloonText"/>
    <w:rsid w:val="00DC1C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1C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C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875</Words>
  <Characters>5379</Characters>
  <Application>Microsoft Office Word</Application>
  <DocSecurity>0</DocSecurity>
  <Lines>207</Lines>
  <Paragraphs>93</Paragraphs>
  <ScaleCrop>false</ScaleCrop>
  <Company>Author-it Software Corporation Ltd.</Company>
  <LinksUpToDate>false</LinksUpToDate>
  <CharactersWithSpaces>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MEM30006A Calculate stresses in simple structures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2012-05-27T02:14:00Z</dcterms:created>
  <dcterms:modified xsi:type="dcterms:W3CDTF">2012-05-27T02:14:00Z</dcterms:modified>
</cp:coreProperties>
</file>