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10AA" w:rsidP="00D610AA">
      <w:pPr>
        <w:pStyle w:val="Title"/>
      </w:pPr>
      <w:r>
        <w:fldChar w:fldCharType="begin"/>
      </w:r>
      <w:r>
        <w:instrText xml:space="preserve"> TITLE   \* MERGEFORMAT </w:instrText>
      </w:r>
      <w:r>
        <w:fldChar w:fldCharType="separate"/>
      </w:r>
      <w:r>
        <w:t>MEM26016A Select and use joining techniques</w:t>
      </w:r>
      <w:r>
        <w:fldChar w:fldCharType="end"/>
      </w:r>
    </w:p>
    <w:p w:rsidR="00D610AA" w:rsidP="00D610AA">
      <w:pPr>
        <w:pStyle w:val="Version"/>
        <w:sectPr w:rsidSect="007856A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856AB" w:rsidP="007856AB">
      <w:pPr>
        <w:pStyle w:val="SuperHeading"/>
      </w:pPr>
      <w:r w:rsidRPr="007856AB">
        <w:t>MEM26016A Select and use joining techniques</w:t>
      </w:r>
    </w:p>
    <w:p w:rsidR="00000000" w:rsidRPr="007856AB" w:rsidP="007856AB">
      <w:pPr>
        <w:pStyle w:val="Heading1"/>
      </w:pPr>
      <w:bookmarkStart w:id="1" w:name="O_442311"/>
      <w:bookmarkEnd w:id="1"/>
      <w:r w:rsidRPr="007856AB">
        <w:t>Modification History</w:t>
      </w:r>
    </w:p>
    <w:tbl>
      <w:tblPr>
        <w:tblW w:w="0" w:type="auto"/>
        <w:tblLayout w:type="fixed"/>
        <w:tblCellMar>
          <w:left w:w="62" w:type="dxa"/>
          <w:right w:w="62" w:type="dxa"/>
        </w:tblCellMar>
        <w:tblLook w:val="0000"/>
      </w:tblPr>
      <w:tblGrid>
        <w:gridCol w:w="1192"/>
        <w:gridCol w:w="7878"/>
      </w:tblGrid>
      <w:tr w:rsidTr="007856AB">
        <w:tblPrEx>
          <w:tblW w:w="0" w:type="auto"/>
          <w:tblLayout w:type="fixed"/>
          <w:tblCellMar>
            <w:left w:w="62" w:type="dxa"/>
            <w:right w:w="62" w:type="dxa"/>
          </w:tblCellMar>
          <w:tblLook w:val="0000"/>
        </w:tblPrEx>
        <w:tc>
          <w:tcPr>
            <w:tcW w:w="1192" w:type="dxa"/>
            <w:tcBorders>
              <w:top w:val="nil"/>
              <w:left w:val="nil"/>
              <w:bottom w:val="nil"/>
              <w:right w:val="nil"/>
            </w:tcBorders>
            <w:tcMar>
              <w:top w:w="0" w:type="dxa"/>
              <w:left w:w="62" w:type="dxa"/>
              <w:bottom w:w="0" w:type="dxa"/>
              <w:right w:w="62" w:type="dxa"/>
            </w:tcMar>
          </w:tcPr>
          <w:p w:rsidR="00000000" w:rsidP="007856AB">
            <w:pPr>
              <w:pStyle w:val="BodyText"/>
              <w:rPr>
                <w:lang w:val="en-NZ"/>
              </w:rPr>
            </w:pPr>
            <w:r w:rsidRPr="007856AB">
              <w:t>Release 1</w:t>
            </w:r>
          </w:p>
        </w:tc>
        <w:tc>
          <w:tcPr>
            <w:tcW w:w="7878" w:type="dxa"/>
            <w:tcBorders>
              <w:top w:val="nil"/>
              <w:left w:val="nil"/>
              <w:bottom w:val="nil"/>
              <w:right w:val="nil"/>
            </w:tcBorders>
            <w:tcMar>
              <w:top w:w="0" w:type="dxa"/>
              <w:left w:w="62" w:type="dxa"/>
              <w:bottom w:w="0" w:type="dxa"/>
              <w:right w:w="62" w:type="dxa"/>
            </w:tcMar>
          </w:tcPr>
          <w:p w:rsidR="00000000" w:rsidRPr="007856AB" w:rsidP="007856AB">
            <w:pPr>
              <w:pStyle w:val="BodyText"/>
            </w:pPr>
            <w:r w:rsidRPr="007856AB">
              <w:t>New unit</w:t>
            </w:r>
          </w:p>
        </w:tc>
      </w:tr>
    </w:tbl>
    <w:p w:rsidR="00000000" w:rsidRPr="007856AB" w:rsidP="007856AB">
      <w:pPr>
        <w:pStyle w:val="BodyText"/>
      </w:pPr>
    </w:p>
    <w:p w:rsidR="00000000" w:rsidRPr="007856AB" w:rsidP="007856AB">
      <w:pPr>
        <w:pStyle w:val="AllowPageBreak"/>
      </w:pPr>
    </w:p>
    <w:p w:rsidR="00000000" w:rsidRPr="007856AB" w:rsidP="007856AB">
      <w:pPr>
        <w:pStyle w:val="Heading1"/>
      </w:pPr>
      <w:bookmarkStart w:id="2" w:name="O_442312"/>
      <w:bookmarkEnd w:id="2"/>
      <w:r w:rsidRPr="007856AB">
        <w:t>Unit Descriptor</w:t>
      </w:r>
    </w:p>
    <w:p w:rsidR="00000000" w:rsidRPr="007856AB" w:rsidP="007856AB">
      <w:pPr>
        <w:pStyle w:val="BodyText"/>
      </w:pPr>
      <w:r w:rsidRPr="007856AB">
        <w:t>This unit of competency covers the skills and knowledge required to join composites to other composite components or other materials, either as part of manufacturing or for a repair. The join will need to conform to the requirements of the job and so may n</w:t>
      </w:r>
      <w:r w:rsidRPr="007856AB">
        <w:t>eed to be rigid or flexible, water, ultraviolet (UV), chemical or fire resistant, or have other properties, as well as the required strength.</w:t>
      </w:r>
    </w:p>
    <w:p w:rsidR="00000000" w:rsidRPr="007856AB" w:rsidP="007856AB">
      <w:pPr>
        <w:pStyle w:val="AllowPageBreak"/>
      </w:pPr>
    </w:p>
    <w:p w:rsidR="00000000" w:rsidRPr="007856AB" w:rsidP="007856AB">
      <w:pPr>
        <w:pStyle w:val="Heading1"/>
      </w:pPr>
      <w:bookmarkStart w:id="3" w:name="O_442313"/>
      <w:bookmarkEnd w:id="3"/>
      <w:r w:rsidRPr="007856AB">
        <w:t>Application of the Unit</w:t>
      </w:r>
    </w:p>
    <w:p w:rsidR="00000000" w:rsidRPr="007856AB" w:rsidP="007856AB">
      <w:pPr>
        <w:pStyle w:val="BodyText"/>
      </w:pPr>
      <w:r w:rsidRPr="007856AB">
        <w:t>This unit covers joining which may include:</w:t>
      </w:r>
    </w:p>
    <w:p w:rsidR="00000000" w:rsidRPr="007856AB" w:rsidP="007856AB">
      <w:pPr>
        <w:pStyle w:val="ListBullet"/>
      </w:pPr>
      <w:r w:rsidRPr="007856AB">
        <w:t>bonding (e.g. adhesive, glui</w:t>
      </w:r>
      <w:r w:rsidRPr="007856AB">
        <w:t>ng, methacrylate, sikaflex and epoxy)</w:t>
      </w:r>
    </w:p>
    <w:p w:rsidR="00000000" w:rsidRPr="007856AB" w:rsidP="007856AB">
      <w:pPr>
        <w:pStyle w:val="ListBullet"/>
      </w:pPr>
      <w:r w:rsidRPr="007856AB">
        <w:t>using composite materials (e.g. Probond, Divelett, K-Lite and Eurmere)</w:t>
      </w:r>
    </w:p>
    <w:p w:rsidR="00000000" w:rsidRPr="007856AB" w:rsidP="007856AB">
      <w:pPr>
        <w:pStyle w:val="ListBullet"/>
      </w:pPr>
      <w:r w:rsidRPr="007856AB">
        <w:t>secondary bonding (e.g. cured composite to cured composite)</w:t>
      </w:r>
    </w:p>
    <w:p w:rsidR="00000000" w:rsidRPr="007856AB" w:rsidP="007856AB">
      <w:pPr>
        <w:pStyle w:val="ListBullet"/>
      </w:pPr>
      <w:r w:rsidRPr="007856AB">
        <w:t>using mechanical fasteners (e.g. bolts and rivets).</w:t>
      </w:r>
    </w:p>
    <w:p w:rsidR="00000000" w:rsidRPr="007856AB" w:rsidP="007856AB">
      <w:pPr>
        <w:pStyle w:val="BodyText"/>
      </w:pPr>
      <w:r w:rsidRPr="007856AB">
        <w:t xml:space="preserve">Selection of the joining technique </w:t>
      </w:r>
      <w:r w:rsidRPr="007856AB">
        <w:t>may typically be undertaken by an individual in liaison with relevant stakeholders or it may be undertaken by a team. Selection may be undertaken in an office environment or at the worksite.</w:t>
      </w:r>
    </w:p>
    <w:p w:rsidR="00000000" w:rsidRPr="007856AB" w:rsidP="007856AB">
      <w:pPr>
        <w:pStyle w:val="BodyText"/>
      </w:pPr>
      <w:r w:rsidRPr="007856AB">
        <w:t>Use of the joining technique may be undertaken by an individual o</w:t>
      </w:r>
      <w:r w:rsidRPr="007856AB">
        <w:t>r a team. It may be undertaken in a workshop or factory environment or in the field and may be used to manufacture new products, prototypes and samples, or to make repairs.</w:t>
      </w:r>
    </w:p>
    <w:p w:rsidR="00000000" w:rsidRPr="007856AB" w:rsidP="007856AB">
      <w:pPr>
        <w:pStyle w:val="AllowPageBreak"/>
      </w:pPr>
    </w:p>
    <w:p w:rsidR="00000000" w:rsidRPr="007856AB" w:rsidP="007856AB">
      <w:pPr>
        <w:pStyle w:val="Heading1"/>
      </w:pPr>
      <w:bookmarkStart w:id="4" w:name="O_442314"/>
      <w:bookmarkEnd w:id="4"/>
      <w:r w:rsidRPr="007856AB">
        <w:t>Licensing/Regulatory Information</w:t>
      </w:r>
    </w:p>
    <w:p w:rsidR="00000000" w:rsidRPr="007856AB" w:rsidP="007856AB">
      <w:pPr>
        <w:pStyle w:val="BodyText"/>
      </w:pPr>
      <w:r w:rsidRPr="007856AB">
        <w:t>Not applicable.</w:t>
      </w:r>
    </w:p>
    <w:p w:rsidR="00000000" w:rsidRPr="007856AB" w:rsidP="007856AB">
      <w:pPr>
        <w:pStyle w:val="AllowPageBreak"/>
      </w:pPr>
    </w:p>
    <w:p w:rsidR="00000000" w:rsidRPr="007856AB" w:rsidP="007856AB">
      <w:pPr>
        <w:pStyle w:val="Heading1"/>
      </w:pPr>
      <w:bookmarkStart w:id="5" w:name="O_442315"/>
      <w:bookmarkEnd w:id="5"/>
      <w:r w:rsidRPr="007856AB">
        <w:t>Pre-Requisites</w:t>
      </w:r>
    </w:p>
    <w:p w:rsidR="00000000" w:rsidRPr="007856AB" w:rsidP="007856AB">
      <w:pPr>
        <w:pStyle w:val="BodyText"/>
      </w:pPr>
      <w:r w:rsidRPr="007856AB">
        <w:t>Not applicable.</w:t>
      </w:r>
    </w:p>
    <w:p w:rsidR="00000000" w:rsidRPr="007856AB" w:rsidP="007856AB">
      <w:pPr>
        <w:pStyle w:val="AllowPageBreak"/>
      </w:pPr>
    </w:p>
    <w:p w:rsidR="00000000" w:rsidRPr="007856AB" w:rsidP="007856AB">
      <w:pPr>
        <w:pStyle w:val="Heading1"/>
      </w:pPr>
      <w:bookmarkStart w:id="6" w:name="O_442316"/>
      <w:bookmarkEnd w:id="6"/>
      <w:r w:rsidRPr="007856AB">
        <w:t>Employability Skills Information</w:t>
      </w:r>
    </w:p>
    <w:p w:rsidR="00000000" w:rsidRPr="007856AB" w:rsidP="007856AB">
      <w:pPr>
        <w:pStyle w:val="BodyText"/>
      </w:pPr>
      <w:r w:rsidRPr="007856AB">
        <w:t>This unit contains employability skills.</w:t>
      </w:r>
    </w:p>
    <w:p w:rsidR="00000000" w:rsidRPr="007856AB" w:rsidP="007856AB">
      <w:pPr>
        <w:pStyle w:val="AllowPageBreak"/>
      </w:pPr>
    </w:p>
    <w:p w:rsidR="00000000" w:rsidRPr="007856AB" w:rsidP="007856AB">
      <w:pPr>
        <w:pStyle w:val="Heading1"/>
      </w:pPr>
      <w:bookmarkStart w:id="7" w:name="O_442317"/>
      <w:bookmarkEnd w:id="7"/>
      <w:r w:rsidRPr="007856AB">
        <w:t>Elements and Performance Criteria Pre-Content</w:t>
      </w:r>
    </w:p>
    <w:tbl>
      <w:tblPr>
        <w:tblW w:w="0" w:type="auto"/>
        <w:tblLayout w:type="fixed"/>
        <w:tblCellMar>
          <w:left w:w="62" w:type="dxa"/>
          <w:right w:w="62" w:type="dxa"/>
        </w:tblCellMar>
        <w:tblLook w:val="0000"/>
      </w:tblPr>
      <w:tblGrid>
        <w:gridCol w:w="2640"/>
        <w:gridCol w:w="6380"/>
      </w:tblGrid>
      <w:tr w:rsidTr="007856AB">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7856AB">
            <w:pPr>
              <w:pStyle w:val="BodyText"/>
              <w:rPr>
                <w:lang w:val="en-NZ"/>
              </w:rPr>
            </w:pPr>
            <w:r w:rsidRPr="007856AB">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7856AB" w:rsidP="007856AB">
            <w:pPr>
              <w:pStyle w:val="BodyText"/>
            </w:pPr>
            <w:r w:rsidRPr="007856AB">
              <w:t>Performance criteria describe the performance needed to demonstrate achievement of the element. Where bold italicised text is used, further information is detailed in the required skills and knowledge section and the range statement. Assessment of performa</w:t>
            </w:r>
            <w:r w:rsidRPr="007856AB">
              <w:t>nce is to be consistent with the evidence guide.</w:t>
            </w:r>
          </w:p>
        </w:tc>
      </w:tr>
    </w:tbl>
    <w:p w:rsidR="00000000" w:rsidRPr="007856AB" w:rsidP="007856AB">
      <w:pPr>
        <w:pStyle w:val="BodyText"/>
      </w:pPr>
    </w:p>
    <w:p w:rsidR="00000000" w:rsidRPr="007856AB" w:rsidP="007856AB">
      <w:pPr>
        <w:pStyle w:val="AllowPageBreak"/>
      </w:pPr>
    </w:p>
    <w:p w:rsidR="00000000" w:rsidRPr="007856AB" w:rsidP="007856AB">
      <w:pPr>
        <w:pStyle w:val="Heading1"/>
      </w:pPr>
      <w:bookmarkStart w:id="8" w:name="O_442318"/>
      <w:bookmarkEnd w:id="8"/>
      <w:r w:rsidRPr="007856AB">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7856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856AB">
            <w:pPr>
              <w:pStyle w:val="BodyText"/>
              <w:rPr>
                <w:lang w:val="en-NZ"/>
              </w:rPr>
            </w:pPr>
            <w:r w:rsidRPr="007856AB">
              <w:t>1</w:t>
            </w:r>
          </w:p>
        </w:tc>
        <w:tc>
          <w:tcPr>
            <w:tcW w:w="1962" w:type="dxa"/>
            <w:vMerge w:val="restart"/>
            <w:tcBorders>
              <w:top w:val="nil"/>
              <w:left w:val="nil"/>
              <w:bottom w:val="nil"/>
              <w:right w:val="nil"/>
            </w:tcBorders>
            <w:tcMar>
              <w:top w:w="0" w:type="dxa"/>
              <w:left w:w="62" w:type="dxa"/>
              <w:bottom w:w="0" w:type="dxa"/>
              <w:right w:w="62" w:type="dxa"/>
            </w:tcMar>
          </w:tcPr>
          <w:p w:rsidR="00000000" w:rsidP="007856AB">
            <w:pPr>
              <w:pStyle w:val="BodyText"/>
              <w:rPr>
                <w:lang w:val="en-NZ"/>
              </w:rPr>
            </w:pPr>
            <w:r w:rsidRPr="007856AB">
              <w:t>Determine characteristics required of the join</w:t>
            </w:r>
          </w:p>
        </w:tc>
        <w:tc>
          <w:tcPr>
            <w:tcW w:w="770" w:type="dxa"/>
            <w:tcBorders>
              <w:top w:val="nil"/>
              <w:left w:val="nil"/>
              <w:bottom w:val="nil"/>
              <w:right w:val="nil"/>
            </w:tcBorders>
            <w:tcMar>
              <w:top w:w="0" w:type="dxa"/>
              <w:left w:w="62" w:type="dxa"/>
              <w:bottom w:w="0" w:type="dxa"/>
              <w:right w:w="62" w:type="dxa"/>
            </w:tcMar>
          </w:tcPr>
          <w:p w:rsidR="00000000" w:rsidP="007856AB">
            <w:pPr>
              <w:pStyle w:val="BodyText"/>
              <w:rPr>
                <w:lang w:val="en-NZ"/>
              </w:rPr>
            </w:pPr>
            <w:r w:rsidRPr="007856AB">
              <w:t>1.1</w:t>
            </w:r>
          </w:p>
        </w:tc>
        <w:tc>
          <w:tcPr>
            <w:tcW w:w="5610" w:type="dxa"/>
            <w:tcBorders>
              <w:top w:val="nil"/>
              <w:left w:val="nil"/>
              <w:bottom w:val="nil"/>
              <w:right w:val="nil"/>
            </w:tcBorders>
            <w:tcMar>
              <w:top w:w="0" w:type="dxa"/>
              <w:left w:w="62" w:type="dxa"/>
              <w:bottom w:w="0" w:type="dxa"/>
              <w:right w:w="62" w:type="dxa"/>
            </w:tcMar>
          </w:tcPr>
          <w:p w:rsidR="00000000" w:rsidP="007856AB">
            <w:pPr>
              <w:pStyle w:val="BodyText"/>
              <w:rPr>
                <w:lang w:val="en-NZ"/>
              </w:rPr>
            </w:pPr>
            <w:r w:rsidRPr="007856AB">
              <w:t>Determine finished application properties</w:t>
            </w:r>
          </w:p>
        </w:tc>
      </w:tr>
      <w:tr w:rsidTr="007856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856AB">
            <w:pPr>
              <w:pStyle w:val="BodyText"/>
              <w:rPr>
                <w:lang w:val="en-NZ"/>
              </w:rPr>
            </w:pPr>
            <w:r w:rsidRPr="007856AB">
              <w:t>1.2</w:t>
            </w:r>
          </w:p>
        </w:tc>
        <w:tc>
          <w:tcPr>
            <w:tcW w:w="5610" w:type="dxa"/>
            <w:tcBorders>
              <w:top w:val="nil"/>
              <w:left w:val="nil"/>
              <w:bottom w:val="nil"/>
              <w:right w:val="nil"/>
            </w:tcBorders>
            <w:tcMar>
              <w:top w:w="0" w:type="dxa"/>
              <w:left w:w="62" w:type="dxa"/>
              <w:bottom w:w="0" w:type="dxa"/>
              <w:right w:w="62" w:type="dxa"/>
            </w:tcMar>
          </w:tcPr>
          <w:p w:rsidR="00000000" w:rsidP="007856AB">
            <w:pPr>
              <w:pStyle w:val="BodyText"/>
              <w:rPr>
                <w:lang w:val="en-NZ"/>
              </w:rPr>
            </w:pPr>
            <w:r w:rsidRPr="007856AB">
              <w:t>Develop required technical specifications of join</w:t>
            </w:r>
          </w:p>
        </w:tc>
      </w:tr>
      <w:tr w:rsidTr="007856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856AB">
            <w:pPr>
              <w:pStyle w:val="BodyText"/>
              <w:rPr>
                <w:lang w:val="en-NZ"/>
              </w:rPr>
            </w:pPr>
            <w:r w:rsidRPr="007856AB">
              <w:t>1.3</w:t>
            </w:r>
          </w:p>
        </w:tc>
        <w:tc>
          <w:tcPr>
            <w:tcW w:w="5610" w:type="dxa"/>
            <w:tcBorders>
              <w:top w:val="nil"/>
              <w:left w:val="nil"/>
              <w:bottom w:val="nil"/>
              <w:right w:val="nil"/>
            </w:tcBorders>
            <w:tcMar>
              <w:top w:w="0" w:type="dxa"/>
              <w:left w:w="62" w:type="dxa"/>
              <w:bottom w:w="0" w:type="dxa"/>
              <w:right w:w="62" w:type="dxa"/>
            </w:tcMar>
          </w:tcPr>
          <w:p w:rsidR="00000000" w:rsidRPr="007856AB" w:rsidP="007856AB">
            <w:pPr>
              <w:pStyle w:val="BodyText"/>
            </w:pPr>
            <w:r w:rsidRPr="007856AB">
              <w:t>Identify properties of surfaces to be joined</w:t>
            </w:r>
          </w:p>
        </w:tc>
      </w:tr>
    </w:tbl>
    <w:p w:rsidR="00000000" w:rsidRPr="007856AB" w:rsidP="007856AB">
      <w:pPr>
        <w:pStyle w:val="BodyText"/>
      </w:pPr>
    </w:p>
    <w:tbl>
      <w:tblPr>
        <w:tblW w:w="0" w:type="auto"/>
        <w:tblLayout w:type="fixed"/>
        <w:tblCellMar>
          <w:left w:w="62" w:type="dxa"/>
          <w:right w:w="62" w:type="dxa"/>
        </w:tblCellMar>
        <w:tblLook w:val="0000"/>
      </w:tblPr>
      <w:tblGrid>
        <w:gridCol w:w="678"/>
        <w:gridCol w:w="1962"/>
        <w:gridCol w:w="770"/>
        <w:gridCol w:w="5610"/>
      </w:tblGrid>
      <w:tr w:rsidTr="007856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856AB">
            <w:pPr>
              <w:pStyle w:val="BodyText"/>
              <w:rPr>
                <w:lang w:val="en-NZ"/>
              </w:rPr>
            </w:pPr>
            <w:r w:rsidRPr="007856AB">
              <w:t>2</w:t>
            </w:r>
          </w:p>
        </w:tc>
        <w:tc>
          <w:tcPr>
            <w:tcW w:w="1962" w:type="dxa"/>
            <w:vMerge w:val="restart"/>
            <w:tcBorders>
              <w:top w:val="nil"/>
              <w:left w:val="nil"/>
              <w:bottom w:val="nil"/>
              <w:right w:val="nil"/>
            </w:tcBorders>
            <w:tcMar>
              <w:top w:w="0" w:type="dxa"/>
              <w:left w:w="62" w:type="dxa"/>
              <w:bottom w:w="0" w:type="dxa"/>
              <w:right w:w="62" w:type="dxa"/>
            </w:tcMar>
          </w:tcPr>
          <w:p w:rsidR="00000000" w:rsidP="007856AB">
            <w:pPr>
              <w:pStyle w:val="BodyText"/>
              <w:rPr>
                <w:lang w:val="en-NZ"/>
              </w:rPr>
            </w:pPr>
            <w:r w:rsidRPr="007856AB">
              <w:t>Select most appropriate joining system</w:t>
            </w:r>
          </w:p>
        </w:tc>
        <w:tc>
          <w:tcPr>
            <w:tcW w:w="770" w:type="dxa"/>
            <w:tcBorders>
              <w:top w:val="nil"/>
              <w:left w:val="nil"/>
              <w:bottom w:val="nil"/>
              <w:right w:val="nil"/>
            </w:tcBorders>
            <w:tcMar>
              <w:top w:w="0" w:type="dxa"/>
              <w:left w:w="62" w:type="dxa"/>
              <w:bottom w:w="0" w:type="dxa"/>
              <w:right w:w="62" w:type="dxa"/>
            </w:tcMar>
          </w:tcPr>
          <w:p w:rsidR="00000000" w:rsidP="007856AB">
            <w:pPr>
              <w:pStyle w:val="BodyText"/>
              <w:rPr>
                <w:lang w:val="en-NZ"/>
              </w:rPr>
            </w:pPr>
            <w:r w:rsidRPr="007856AB">
              <w:t>2.1</w:t>
            </w:r>
          </w:p>
        </w:tc>
        <w:tc>
          <w:tcPr>
            <w:tcW w:w="5610" w:type="dxa"/>
            <w:tcBorders>
              <w:top w:val="nil"/>
              <w:left w:val="nil"/>
              <w:bottom w:val="nil"/>
              <w:right w:val="nil"/>
            </w:tcBorders>
            <w:tcMar>
              <w:top w:w="0" w:type="dxa"/>
              <w:left w:w="62" w:type="dxa"/>
              <w:bottom w:w="0" w:type="dxa"/>
              <w:right w:w="62" w:type="dxa"/>
            </w:tcMar>
          </w:tcPr>
          <w:p w:rsidR="00000000" w:rsidP="007856AB">
            <w:pPr>
              <w:pStyle w:val="BodyText"/>
              <w:rPr>
                <w:lang w:val="en-NZ"/>
              </w:rPr>
            </w:pPr>
            <w:r w:rsidRPr="007856AB">
              <w:t>Short list suitable joining techniques and materials</w:t>
            </w:r>
          </w:p>
        </w:tc>
      </w:tr>
      <w:tr w:rsidTr="007856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856AB">
            <w:pPr>
              <w:pStyle w:val="BodyText"/>
              <w:rPr>
                <w:lang w:val="en-NZ"/>
              </w:rPr>
            </w:pPr>
            <w:r w:rsidRPr="007856AB">
              <w:t>2.2</w:t>
            </w:r>
          </w:p>
        </w:tc>
        <w:tc>
          <w:tcPr>
            <w:tcW w:w="5610" w:type="dxa"/>
            <w:tcBorders>
              <w:top w:val="nil"/>
              <w:left w:val="nil"/>
              <w:bottom w:val="nil"/>
              <w:right w:val="nil"/>
            </w:tcBorders>
            <w:tcMar>
              <w:top w:w="0" w:type="dxa"/>
              <w:left w:w="62" w:type="dxa"/>
              <w:bottom w:w="0" w:type="dxa"/>
              <w:right w:w="62" w:type="dxa"/>
            </w:tcMar>
          </w:tcPr>
          <w:p w:rsidR="00000000" w:rsidP="007856AB">
            <w:pPr>
              <w:pStyle w:val="BodyText"/>
              <w:rPr>
                <w:lang w:val="en-NZ"/>
              </w:rPr>
            </w:pPr>
            <w:r w:rsidRPr="007856AB">
              <w:t>Compare technical properties of different joining systems with requirements</w:t>
            </w:r>
          </w:p>
        </w:tc>
      </w:tr>
      <w:tr w:rsidTr="007856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856AB">
            <w:pPr>
              <w:pStyle w:val="BodyText"/>
              <w:rPr>
                <w:lang w:val="en-NZ"/>
              </w:rPr>
            </w:pPr>
            <w:r w:rsidRPr="007856AB">
              <w:t>2.3</w:t>
            </w:r>
          </w:p>
        </w:tc>
        <w:tc>
          <w:tcPr>
            <w:tcW w:w="5610" w:type="dxa"/>
            <w:tcBorders>
              <w:top w:val="nil"/>
              <w:left w:val="nil"/>
              <w:bottom w:val="nil"/>
              <w:right w:val="nil"/>
            </w:tcBorders>
            <w:tcMar>
              <w:top w:w="0" w:type="dxa"/>
              <w:left w:w="62" w:type="dxa"/>
              <w:bottom w:w="0" w:type="dxa"/>
              <w:right w:w="62" w:type="dxa"/>
            </w:tcMar>
          </w:tcPr>
          <w:p w:rsidR="00000000" w:rsidP="007856AB">
            <w:pPr>
              <w:pStyle w:val="BodyText"/>
              <w:rPr>
                <w:lang w:val="en-NZ"/>
              </w:rPr>
            </w:pPr>
            <w:r w:rsidRPr="007856AB">
              <w:t>Check material safety data sheets (MSDS) of joining materials</w:t>
            </w:r>
          </w:p>
        </w:tc>
      </w:tr>
      <w:tr w:rsidTr="007856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856AB">
            <w:pPr>
              <w:pStyle w:val="BodyText"/>
              <w:rPr>
                <w:lang w:val="en-NZ"/>
              </w:rPr>
            </w:pPr>
            <w:r w:rsidRPr="007856AB">
              <w:t>2.4</w:t>
            </w:r>
          </w:p>
        </w:tc>
        <w:tc>
          <w:tcPr>
            <w:tcW w:w="5610" w:type="dxa"/>
            <w:tcBorders>
              <w:top w:val="nil"/>
              <w:left w:val="nil"/>
              <w:bottom w:val="nil"/>
              <w:right w:val="nil"/>
            </w:tcBorders>
            <w:tcMar>
              <w:top w:w="0" w:type="dxa"/>
              <w:left w:w="62" w:type="dxa"/>
              <w:bottom w:w="0" w:type="dxa"/>
              <w:right w:w="62" w:type="dxa"/>
            </w:tcMar>
          </w:tcPr>
          <w:p w:rsidR="00000000" w:rsidP="007856AB">
            <w:pPr>
              <w:pStyle w:val="BodyText"/>
              <w:rPr>
                <w:lang w:val="en-NZ"/>
              </w:rPr>
            </w:pPr>
            <w:r w:rsidRPr="007856AB">
              <w:t>Determine preparation required of surfaces to be joined</w:t>
            </w:r>
          </w:p>
        </w:tc>
      </w:tr>
      <w:tr w:rsidTr="007856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856AB">
            <w:pPr>
              <w:pStyle w:val="BodyText"/>
              <w:rPr>
                <w:lang w:val="en-NZ"/>
              </w:rPr>
            </w:pPr>
            <w:r w:rsidRPr="007856AB">
              <w:t>2.5</w:t>
            </w:r>
          </w:p>
        </w:tc>
        <w:tc>
          <w:tcPr>
            <w:tcW w:w="5610" w:type="dxa"/>
            <w:tcBorders>
              <w:top w:val="nil"/>
              <w:left w:val="nil"/>
              <w:bottom w:val="nil"/>
              <w:right w:val="nil"/>
            </w:tcBorders>
            <w:tcMar>
              <w:top w:w="0" w:type="dxa"/>
              <w:left w:w="62" w:type="dxa"/>
              <w:bottom w:w="0" w:type="dxa"/>
              <w:right w:w="62" w:type="dxa"/>
            </w:tcMar>
          </w:tcPr>
          <w:p w:rsidR="00000000" w:rsidP="007856AB">
            <w:pPr>
              <w:pStyle w:val="BodyText"/>
              <w:rPr>
                <w:lang w:val="en-NZ"/>
              </w:rPr>
            </w:pPr>
            <w:r w:rsidRPr="007856AB">
              <w:t>Select most appropriate joining system</w:t>
            </w:r>
          </w:p>
        </w:tc>
      </w:tr>
      <w:tr w:rsidTr="007856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856AB">
            <w:pPr>
              <w:pStyle w:val="BodyText"/>
              <w:rPr>
                <w:lang w:val="en-NZ"/>
              </w:rPr>
            </w:pPr>
            <w:r w:rsidRPr="007856AB">
              <w:t>2.6</w:t>
            </w:r>
          </w:p>
        </w:tc>
        <w:tc>
          <w:tcPr>
            <w:tcW w:w="5610" w:type="dxa"/>
            <w:tcBorders>
              <w:top w:val="nil"/>
              <w:left w:val="nil"/>
              <w:bottom w:val="nil"/>
              <w:right w:val="nil"/>
            </w:tcBorders>
            <w:tcMar>
              <w:top w:w="0" w:type="dxa"/>
              <w:left w:w="62" w:type="dxa"/>
              <w:bottom w:w="0" w:type="dxa"/>
              <w:right w:w="62" w:type="dxa"/>
            </w:tcMar>
          </w:tcPr>
          <w:p w:rsidR="00000000" w:rsidP="007856AB">
            <w:pPr>
              <w:pStyle w:val="BodyText"/>
              <w:rPr>
                <w:lang w:val="en-NZ"/>
              </w:rPr>
            </w:pPr>
            <w:r w:rsidRPr="007856AB">
              <w:t>Make sample join using the system</w:t>
            </w:r>
          </w:p>
        </w:tc>
      </w:tr>
      <w:tr w:rsidTr="007856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856AB">
            <w:pPr>
              <w:pStyle w:val="BodyText"/>
              <w:rPr>
                <w:lang w:val="en-NZ"/>
              </w:rPr>
            </w:pPr>
            <w:r w:rsidRPr="007856AB">
              <w:t>2.7</w:t>
            </w:r>
          </w:p>
        </w:tc>
        <w:tc>
          <w:tcPr>
            <w:tcW w:w="5610" w:type="dxa"/>
            <w:tcBorders>
              <w:top w:val="nil"/>
              <w:left w:val="nil"/>
              <w:bottom w:val="nil"/>
              <w:right w:val="nil"/>
            </w:tcBorders>
            <w:tcMar>
              <w:top w:w="0" w:type="dxa"/>
              <w:left w:w="62" w:type="dxa"/>
              <w:bottom w:w="0" w:type="dxa"/>
              <w:right w:w="62" w:type="dxa"/>
            </w:tcMar>
          </w:tcPr>
          <w:p w:rsidR="00000000" w:rsidP="007856AB">
            <w:pPr>
              <w:pStyle w:val="BodyText"/>
              <w:rPr>
                <w:lang w:val="en-NZ"/>
              </w:rPr>
            </w:pPr>
            <w:r w:rsidRPr="007856AB">
              <w:t>Conduct/organise for relevant tests</w:t>
            </w:r>
          </w:p>
        </w:tc>
      </w:tr>
      <w:tr w:rsidTr="007856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856AB">
            <w:pPr>
              <w:pStyle w:val="BodyText"/>
              <w:rPr>
                <w:lang w:val="en-NZ"/>
              </w:rPr>
            </w:pPr>
            <w:r w:rsidRPr="007856AB">
              <w:t>2.8</w:t>
            </w:r>
          </w:p>
        </w:tc>
        <w:tc>
          <w:tcPr>
            <w:tcW w:w="5610" w:type="dxa"/>
            <w:tcBorders>
              <w:top w:val="nil"/>
              <w:left w:val="nil"/>
              <w:bottom w:val="nil"/>
              <w:right w:val="nil"/>
            </w:tcBorders>
            <w:tcMar>
              <w:top w:w="0" w:type="dxa"/>
              <w:left w:w="62" w:type="dxa"/>
              <w:bottom w:w="0" w:type="dxa"/>
              <w:right w:w="62" w:type="dxa"/>
            </w:tcMar>
          </w:tcPr>
          <w:p w:rsidR="00000000" w:rsidP="007856AB">
            <w:pPr>
              <w:pStyle w:val="BodyText"/>
              <w:rPr>
                <w:lang w:val="en-NZ"/>
              </w:rPr>
            </w:pPr>
            <w:r w:rsidRPr="007856AB">
              <w:t>Evaluate process evaluation test (PET) results</w:t>
            </w:r>
          </w:p>
        </w:tc>
      </w:tr>
      <w:tr w:rsidTr="007856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856AB">
            <w:pPr>
              <w:pStyle w:val="BodyText"/>
              <w:rPr>
                <w:lang w:val="en-NZ"/>
              </w:rPr>
            </w:pPr>
            <w:r w:rsidRPr="007856AB">
              <w:t>2.9</w:t>
            </w:r>
          </w:p>
        </w:tc>
        <w:tc>
          <w:tcPr>
            <w:tcW w:w="5610" w:type="dxa"/>
            <w:tcBorders>
              <w:top w:val="nil"/>
              <w:left w:val="nil"/>
              <w:bottom w:val="nil"/>
              <w:right w:val="nil"/>
            </w:tcBorders>
            <w:tcMar>
              <w:top w:w="0" w:type="dxa"/>
              <w:left w:w="62" w:type="dxa"/>
              <w:bottom w:w="0" w:type="dxa"/>
              <w:right w:w="62" w:type="dxa"/>
            </w:tcMar>
          </w:tcPr>
          <w:p w:rsidR="00000000" w:rsidP="007856AB">
            <w:pPr>
              <w:pStyle w:val="BodyText"/>
              <w:rPr>
                <w:lang w:val="en-NZ"/>
              </w:rPr>
            </w:pPr>
            <w:r w:rsidRPr="007856AB">
              <w:t>Review match of PET results with product requirements</w:t>
            </w:r>
          </w:p>
        </w:tc>
      </w:tr>
      <w:tr w:rsidTr="007856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856AB">
            <w:pPr>
              <w:pStyle w:val="BodyText"/>
              <w:rPr>
                <w:lang w:val="en-NZ"/>
              </w:rPr>
            </w:pPr>
            <w:r w:rsidRPr="007856AB">
              <w:t>2.10</w:t>
            </w:r>
          </w:p>
        </w:tc>
        <w:tc>
          <w:tcPr>
            <w:tcW w:w="5610" w:type="dxa"/>
            <w:tcBorders>
              <w:top w:val="nil"/>
              <w:left w:val="nil"/>
              <w:bottom w:val="nil"/>
              <w:right w:val="nil"/>
            </w:tcBorders>
            <w:tcMar>
              <w:top w:w="0" w:type="dxa"/>
              <w:left w:w="62" w:type="dxa"/>
              <w:bottom w:w="0" w:type="dxa"/>
              <w:right w:w="62" w:type="dxa"/>
            </w:tcMar>
          </w:tcPr>
          <w:p w:rsidR="00000000" w:rsidP="007856AB">
            <w:pPr>
              <w:pStyle w:val="BodyText"/>
              <w:rPr>
                <w:lang w:val="en-NZ"/>
              </w:rPr>
            </w:pPr>
            <w:r w:rsidRPr="007856AB">
              <w:t>Review fabrication process</w:t>
            </w:r>
          </w:p>
        </w:tc>
      </w:tr>
      <w:tr w:rsidTr="007856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856AB">
            <w:pPr>
              <w:pStyle w:val="BodyText"/>
              <w:rPr>
                <w:lang w:val="en-NZ"/>
              </w:rPr>
            </w:pPr>
            <w:r w:rsidRPr="007856AB">
              <w:t>2.11</w:t>
            </w:r>
          </w:p>
        </w:tc>
        <w:tc>
          <w:tcPr>
            <w:tcW w:w="5610" w:type="dxa"/>
            <w:tcBorders>
              <w:top w:val="nil"/>
              <w:left w:val="nil"/>
              <w:bottom w:val="nil"/>
              <w:right w:val="nil"/>
            </w:tcBorders>
            <w:tcMar>
              <w:top w:w="0" w:type="dxa"/>
              <w:left w:w="62" w:type="dxa"/>
              <w:bottom w:w="0" w:type="dxa"/>
              <w:right w:w="62" w:type="dxa"/>
            </w:tcMar>
          </w:tcPr>
          <w:p w:rsidR="00000000" w:rsidRPr="007856AB" w:rsidP="007856AB">
            <w:pPr>
              <w:pStyle w:val="BodyText"/>
            </w:pPr>
            <w:r w:rsidRPr="007856AB">
              <w:t>Make any required changes to system</w:t>
            </w:r>
          </w:p>
        </w:tc>
      </w:tr>
    </w:tbl>
    <w:p w:rsidR="00000000" w:rsidRPr="007856AB" w:rsidP="007856AB">
      <w:pPr>
        <w:pStyle w:val="BodyText"/>
      </w:pPr>
    </w:p>
    <w:tbl>
      <w:tblPr>
        <w:tblW w:w="0" w:type="auto"/>
        <w:tblLayout w:type="fixed"/>
        <w:tblCellMar>
          <w:left w:w="62" w:type="dxa"/>
          <w:right w:w="62" w:type="dxa"/>
        </w:tblCellMar>
        <w:tblLook w:val="0000"/>
      </w:tblPr>
      <w:tblGrid>
        <w:gridCol w:w="678"/>
        <w:gridCol w:w="1962"/>
        <w:gridCol w:w="770"/>
        <w:gridCol w:w="5610"/>
      </w:tblGrid>
      <w:tr w:rsidTr="007856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856AB">
            <w:pPr>
              <w:pStyle w:val="BodyText"/>
              <w:rPr>
                <w:lang w:val="en-NZ"/>
              </w:rPr>
            </w:pPr>
            <w:r w:rsidRPr="007856AB">
              <w:t>3</w:t>
            </w:r>
          </w:p>
        </w:tc>
        <w:tc>
          <w:tcPr>
            <w:tcW w:w="1962" w:type="dxa"/>
            <w:vMerge w:val="restart"/>
            <w:tcBorders>
              <w:top w:val="nil"/>
              <w:left w:val="nil"/>
              <w:bottom w:val="nil"/>
              <w:right w:val="nil"/>
            </w:tcBorders>
            <w:tcMar>
              <w:top w:w="0" w:type="dxa"/>
              <w:left w:w="62" w:type="dxa"/>
              <w:bottom w:w="0" w:type="dxa"/>
              <w:right w:w="62" w:type="dxa"/>
            </w:tcMar>
          </w:tcPr>
          <w:p w:rsidR="00000000" w:rsidP="007856AB">
            <w:pPr>
              <w:pStyle w:val="BodyText"/>
              <w:rPr>
                <w:lang w:val="en-NZ"/>
              </w:rPr>
            </w:pPr>
            <w:r w:rsidRPr="007856AB">
              <w:t>Complete the required join</w:t>
            </w:r>
          </w:p>
        </w:tc>
        <w:tc>
          <w:tcPr>
            <w:tcW w:w="770" w:type="dxa"/>
            <w:tcBorders>
              <w:top w:val="nil"/>
              <w:left w:val="nil"/>
              <w:bottom w:val="nil"/>
              <w:right w:val="nil"/>
            </w:tcBorders>
            <w:tcMar>
              <w:top w:w="0" w:type="dxa"/>
              <w:left w:w="62" w:type="dxa"/>
              <w:bottom w:w="0" w:type="dxa"/>
              <w:right w:w="62" w:type="dxa"/>
            </w:tcMar>
          </w:tcPr>
          <w:p w:rsidR="00000000" w:rsidP="007856AB">
            <w:pPr>
              <w:pStyle w:val="BodyText"/>
              <w:rPr>
                <w:lang w:val="en-NZ"/>
              </w:rPr>
            </w:pPr>
            <w:r w:rsidRPr="007856AB">
              <w:t>3.1</w:t>
            </w:r>
          </w:p>
        </w:tc>
        <w:tc>
          <w:tcPr>
            <w:tcW w:w="5610" w:type="dxa"/>
            <w:tcBorders>
              <w:top w:val="nil"/>
              <w:left w:val="nil"/>
              <w:bottom w:val="nil"/>
              <w:right w:val="nil"/>
            </w:tcBorders>
            <w:tcMar>
              <w:top w:w="0" w:type="dxa"/>
              <w:left w:w="62" w:type="dxa"/>
              <w:bottom w:w="0" w:type="dxa"/>
              <w:right w:w="62" w:type="dxa"/>
            </w:tcMar>
          </w:tcPr>
          <w:p w:rsidR="00000000" w:rsidP="007856AB">
            <w:pPr>
              <w:pStyle w:val="BodyText"/>
              <w:rPr>
                <w:lang w:val="en-NZ"/>
              </w:rPr>
            </w:pPr>
            <w:r w:rsidRPr="007856AB">
              <w:t>Identify and control hazards</w:t>
            </w:r>
          </w:p>
        </w:tc>
      </w:tr>
      <w:tr w:rsidTr="007856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856AB">
            <w:pPr>
              <w:pStyle w:val="BodyText"/>
              <w:rPr>
                <w:lang w:val="en-NZ"/>
              </w:rPr>
            </w:pPr>
            <w:r w:rsidRPr="007856AB">
              <w:t>3.2</w:t>
            </w:r>
          </w:p>
        </w:tc>
        <w:tc>
          <w:tcPr>
            <w:tcW w:w="5610" w:type="dxa"/>
            <w:tcBorders>
              <w:top w:val="nil"/>
              <w:left w:val="nil"/>
              <w:bottom w:val="nil"/>
              <w:right w:val="nil"/>
            </w:tcBorders>
            <w:tcMar>
              <w:top w:w="0" w:type="dxa"/>
              <w:left w:w="62" w:type="dxa"/>
              <w:bottom w:w="0" w:type="dxa"/>
              <w:right w:w="62" w:type="dxa"/>
            </w:tcMar>
          </w:tcPr>
          <w:p w:rsidR="00000000" w:rsidP="007856AB">
            <w:pPr>
              <w:pStyle w:val="BodyText"/>
              <w:rPr>
                <w:lang w:val="en-NZ"/>
              </w:rPr>
            </w:pPr>
            <w:r w:rsidRPr="007856AB">
              <w:t>Prepare surface, as required</w:t>
            </w:r>
          </w:p>
        </w:tc>
      </w:tr>
      <w:tr w:rsidTr="007856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856AB">
            <w:pPr>
              <w:pStyle w:val="BodyText"/>
              <w:rPr>
                <w:lang w:val="en-NZ"/>
              </w:rPr>
            </w:pPr>
            <w:r w:rsidRPr="007856AB">
              <w:t>3.3</w:t>
            </w:r>
          </w:p>
        </w:tc>
        <w:tc>
          <w:tcPr>
            <w:tcW w:w="5610" w:type="dxa"/>
            <w:tcBorders>
              <w:top w:val="nil"/>
              <w:left w:val="nil"/>
              <w:bottom w:val="nil"/>
              <w:right w:val="nil"/>
            </w:tcBorders>
            <w:tcMar>
              <w:top w:w="0" w:type="dxa"/>
              <w:left w:w="62" w:type="dxa"/>
              <w:bottom w:w="0" w:type="dxa"/>
              <w:right w:w="62" w:type="dxa"/>
            </w:tcMar>
          </w:tcPr>
          <w:p w:rsidR="00000000" w:rsidP="007856AB">
            <w:pPr>
              <w:pStyle w:val="BodyText"/>
              <w:rPr>
                <w:lang w:val="en-NZ"/>
              </w:rPr>
            </w:pPr>
            <w:r w:rsidRPr="007856AB">
              <w:t>Prepare tools and equipment required for join</w:t>
            </w:r>
          </w:p>
        </w:tc>
      </w:tr>
      <w:tr w:rsidTr="007856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856AB">
            <w:pPr>
              <w:pStyle w:val="BodyText"/>
              <w:rPr>
                <w:lang w:val="en-NZ"/>
              </w:rPr>
            </w:pPr>
            <w:r w:rsidRPr="007856AB">
              <w:t>3.4</w:t>
            </w:r>
          </w:p>
        </w:tc>
        <w:tc>
          <w:tcPr>
            <w:tcW w:w="5610" w:type="dxa"/>
            <w:tcBorders>
              <w:top w:val="nil"/>
              <w:left w:val="nil"/>
              <w:bottom w:val="nil"/>
              <w:right w:val="nil"/>
            </w:tcBorders>
            <w:tcMar>
              <w:top w:w="0" w:type="dxa"/>
              <w:left w:w="62" w:type="dxa"/>
              <w:bottom w:w="0" w:type="dxa"/>
              <w:right w:w="62" w:type="dxa"/>
            </w:tcMar>
          </w:tcPr>
          <w:p w:rsidR="00000000" w:rsidP="007856AB">
            <w:pPr>
              <w:pStyle w:val="BodyText"/>
              <w:rPr>
                <w:lang w:val="en-NZ"/>
              </w:rPr>
            </w:pPr>
            <w:r w:rsidRPr="007856AB">
              <w:t>Prepare materials required for join</w:t>
            </w:r>
          </w:p>
        </w:tc>
      </w:tr>
      <w:tr w:rsidTr="007856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856AB">
            <w:pPr>
              <w:pStyle w:val="BodyText"/>
              <w:rPr>
                <w:lang w:val="en-NZ"/>
              </w:rPr>
            </w:pPr>
            <w:r w:rsidRPr="007856AB">
              <w:t>3.5</w:t>
            </w:r>
          </w:p>
        </w:tc>
        <w:tc>
          <w:tcPr>
            <w:tcW w:w="5610" w:type="dxa"/>
            <w:tcBorders>
              <w:top w:val="nil"/>
              <w:left w:val="nil"/>
              <w:bottom w:val="nil"/>
              <w:right w:val="nil"/>
            </w:tcBorders>
            <w:tcMar>
              <w:top w:w="0" w:type="dxa"/>
              <w:left w:w="62" w:type="dxa"/>
              <w:bottom w:w="0" w:type="dxa"/>
              <w:right w:w="62" w:type="dxa"/>
            </w:tcMar>
          </w:tcPr>
          <w:p w:rsidR="00000000" w:rsidP="007856AB">
            <w:pPr>
              <w:pStyle w:val="BodyText"/>
              <w:rPr>
                <w:lang w:val="en-NZ"/>
              </w:rPr>
            </w:pPr>
            <w:r w:rsidRPr="007856AB">
              <w:t>Undertake required join</w:t>
            </w:r>
          </w:p>
        </w:tc>
      </w:tr>
      <w:tr w:rsidTr="007856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856AB">
            <w:pPr>
              <w:pStyle w:val="BodyText"/>
              <w:rPr>
                <w:lang w:val="en-NZ"/>
              </w:rPr>
            </w:pPr>
            <w:r w:rsidRPr="007856AB">
              <w:t>3.6</w:t>
            </w:r>
          </w:p>
        </w:tc>
        <w:tc>
          <w:tcPr>
            <w:tcW w:w="5610" w:type="dxa"/>
            <w:tcBorders>
              <w:top w:val="nil"/>
              <w:left w:val="nil"/>
              <w:bottom w:val="nil"/>
              <w:right w:val="nil"/>
            </w:tcBorders>
            <w:tcMar>
              <w:top w:w="0" w:type="dxa"/>
              <w:left w:w="62" w:type="dxa"/>
              <w:bottom w:w="0" w:type="dxa"/>
              <w:right w:w="62" w:type="dxa"/>
            </w:tcMar>
          </w:tcPr>
          <w:p w:rsidR="00000000" w:rsidP="007856AB">
            <w:pPr>
              <w:pStyle w:val="BodyText"/>
              <w:rPr>
                <w:lang w:val="en-NZ"/>
              </w:rPr>
            </w:pPr>
            <w:r w:rsidRPr="007856AB">
              <w:t>Minimise waste</w:t>
            </w:r>
          </w:p>
        </w:tc>
      </w:tr>
      <w:tr w:rsidTr="007856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856AB">
            <w:pPr>
              <w:pStyle w:val="BodyText"/>
              <w:rPr>
                <w:lang w:val="en-NZ"/>
              </w:rPr>
            </w:pPr>
            <w:r w:rsidRPr="007856AB">
              <w:t>3.7</w:t>
            </w:r>
          </w:p>
        </w:tc>
        <w:tc>
          <w:tcPr>
            <w:tcW w:w="5610" w:type="dxa"/>
            <w:tcBorders>
              <w:top w:val="nil"/>
              <w:left w:val="nil"/>
              <w:bottom w:val="nil"/>
              <w:right w:val="nil"/>
            </w:tcBorders>
            <w:tcMar>
              <w:top w:w="0" w:type="dxa"/>
              <w:left w:w="62" w:type="dxa"/>
              <w:bottom w:w="0" w:type="dxa"/>
              <w:right w:w="62" w:type="dxa"/>
            </w:tcMar>
          </w:tcPr>
          <w:p w:rsidR="00000000" w:rsidP="007856AB">
            <w:pPr>
              <w:pStyle w:val="BodyText"/>
              <w:rPr>
                <w:lang w:val="en-NZ"/>
              </w:rPr>
            </w:pPr>
            <w:r w:rsidRPr="007856AB">
              <w:t>Review joined product compared to requirements</w:t>
            </w:r>
          </w:p>
        </w:tc>
      </w:tr>
      <w:tr w:rsidTr="007856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856AB">
            <w:pPr>
              <w:pStyle w:val="BodyText"/>
              <w:rPr>
                <w:lang w:val="en-NZ"/>
              </w:rPr>
            </w:pPr>
            <w:r w:rsidRPr="007856AB">
              <w:t>3.8</w:t>
            </w:r>
          </w:p>
        </w:tc>
        <w:tc>
          <w:tcPr>
            <w:tcW w:w="5610" w:type="dxa"/>
            <w:tcBorders>
              <w:top w:val="nil"/>
              <w:left w:val="nil"/>
              <w:bottom w:val="nil"/>
              <w:right w:val="nil"/>
            </w:tcBorders>
            <w:tcMar>
              <w:top w:w="0" w:type="dxa"/>
              <w:left w:w="62" w:type="dxa"/>
              <w:bottom w:w="0" w:type="dxa"/>
              <w:right w:w="62" w:type="dxa"/>
            </w:tcMar>
          </w:tcPr>
          <w:p w:rsidR="00000000" w:rsidP="007856AB">
            <w:pPr>
              <w:pStyle w:val="BodyText"/>
              <w:rPr>
                <w:lang w:val="en-NZ"/>
              </w:rPr>
            </w:pPr>
            <w:r w:rsidRPr="007856AB">
              <w:t>Review materials and techniques selected</w:t>
            </w:r>
          </w:p>
        </w:tc>
      </w:tr>
      <w:tr w:rsidTr="007856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856AB">
            <w:pPr>
              <w:pStyle w:val="BodyText"/>
              <w:rPr>
                <w:lang w:val="en-NZ"/>
              </w:rPr>
            </w:pPr>
            <w:r w:rsidRPr="007856AB">
              <w:t>3.9</w:t>
            </w:r>
          </w:p>
        </w:tc>
        <w:tc>
          <w:tcPr>
            <w:tcW w:w="5610" w:type="dxa"/>
            <w:tcBorders>
              <w:top w:val="nil"/>
              <w:left w:val="nil"/>
              <w:bottom w:val="nil"/>
              <w:right w:val="nil"/>
            </w:tcBorders>
            <w:tcMar>
              <w:top w:w="0" w:type="dxa"/>
              <w:left w:w="62" w:type="dxa"/>
              <w:bottom w:w="0" w:type="dxa"/>
              <w:right w:w="62" w:type="dxa"/>
            </w:tcMar>
          </w:tcPr>
          <w:p w:rsidR="00000000" w:rsidP="007856AB">
            <w:pPr>
              <w:pStyle w:val="BodyText"/>
              <w:rPr>
                <w:lang w:val="en-NZ"/>
              </w:rPr>
            </w:pPr>
            <w:r w:rsidRPr="007856AB">
              <w:t>Identify areas for improvement and take appropriate actions</w:t>
            </w:r>
          </w:p>
        </w:tc>
      </w:tr>
      <w:tr w:rsidTr="007856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856AB">
            <w:pPr>
              <w:pStyle w:val="BodyText"/>
              <w:rPr>
                <w:lang w:val="en-NZ"/>
              </w:rPr>
            </w:pPr>
            <w:r w:rsidRPr="007856AB">
              <w:t>3.10</w:t>
            </w:r>
          </w:p>
        </w:tc>
        <w:tc>
          <w:tcPr>
            <w:tcW w:w="5610" w:type="dxa"/>
            <w:tcBorders>
              <w:top w:val="nil"/>
              <w:left w:val="nil"/>
              <w:bottom w:val="nil"/>
              <w:right w:val="nil"/>
            </w:tcBorders>
            <w:tcMar>
              <w:top w:w="0" w:type="dxa"/>
              <w:left w:w="62" w:type="dxa"/>
              <w:bottom w:w="0" w:type="dxa"/>
              <w:right w:w="62" w:type="dxa"/>
            </w:tcMar>
          </w:tcPr>
          <w:p w:rsidR="00000000" w:rsidRPr="007856AB" w:rsidP="007856AB">
            <w:pPr>
              <w:pStyle w:val="BodyText"/>
            </w:pPr>
            <w:r w:rsidRPr="007856AB">
              <w:t>Complete any required documentation/reporting</w:t>
            </w:r>
          </w:p>
        </w:tc>
      </w:tr>
    </w:tbl>
    <w:p w:rsidR="00D610AA" w:rsidP="007856AB">
      <w:pPr>
        <w:pStyle w:val="BodyText"/>
      </w:pPr>
    </w:p>
    <w:p w:rsidR="00D610AA" w:rsidP="007856AB">
      <w:pPr>
        <w:pStyle w:val="BodyText"/>
      </w:pPr>
    </w:p>
    <w:p w:rsidR="00000000" w:rsidRPr="007856AB" w:rsidP="007856AB">
      <w:pPr>
        <w:pStyle w:val="Heading1"/>
      </w:pPr>
      <w:bookmarkStart w:id="9" w:name="O_442319"/>
      <w:bookmarkEnd w:id="9"/>
      <w:r w:rsidRPr="007856AB">
        <w:t>Required Skills and Knowledge</w:t>
      </w:r>
    </w:p>
    <w:tbl>
      <w:tblPr>
        <w:tblW w:w="9462" w:type="dxa"/>
        <w:tblLayout w:type="fixed"/>
        <w:tblCellMar>
          <w:left w:w="62" w:type="dxa"/>
          <w:right w:w="62" w:type="dxa"/>
        </w:tblCellMar>
        <w:tblLook w:val="0000"/>
      </w:tblPr>
      <w:tblGrid>
        <w:gridCol w:w="9462"/>
      </w:tblGrid>
      <w:tr w:rsidTr="007856AB">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7856AB">
            <w:pPr>
              <w:pStyle w:val="BodyText"/>
              <w:rPr>
                <w:lang w:val="en-NZ"/>
              </w:rPr>
            </w:pPr>
            <w:r w:rsidRPr="007856AB">
              <w:t>This section describes the skills and knowledge required for this unit.</w:t>
            </w:r>
          </w:p>
        </w:tc>
      </w:tr>
      <w:tr w:rsidTr="007856AB">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7856AB">
            <w:pPr>
              <w:pStyle w:val="BodyText"/>
              <w:rPr>
                <w:lang w:val="en-NZ"/>
              </w:rPr>
            </w:pPr>
            <w:r w:rsidRPr="007856AB">
              <w:rPr>
                <w:rStyle w:val="SpecialBold"/>
              </w:rPr>
              <w:t>Required skills</w:t>
            </w:r>
          </w:p>
        </w:tc>
      </w:tr>
      <w:tr w:rsidTr="007856AB">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7856AB" w:rsidP="007856AB">
            <w:pPr>
              <w:pStyle w:val="BodyText"/>
            </w:pPr>
            <w:r w:rsidRPr="007856AB">
              <w:t>Required skills include:</w:t>
            </w:r>
          </w:p>
          <w:p w:rsidR="00000000" w:rsidRPr="007856AB" w:rsidP="007856AB">
            <w:pPr>
              <w:pStyle w:val="ListBullet"/>
            </w:pPr>
            <w:r w:rsidRPr="007856AB">
              <w:t xml:space="preserve">preparing surfaces </w:t>
            </w:r>
          </w:p>
          <w:p w:rsidR="00000000" w:rsidRPr="007856AB" w:rsidP="007856AB">
            <w:pPr>
              <w:pStyle w:val="ListBullet"/>
            </w:pPr>
            <w:r w:rsidRPr="007856AB">
              <w:t>using hand and power tools</w:t>
            </w:r>
          </w:p>
          <w:p w:rsidR="00000000" w:rsidRPr="007856AB" w:rsidP="007856AB">
            <w:pPr>
              <w:pStyle w:val="ListBullet"/>
            </w:pPr>
            <w:r w:rsidRPr="007856AB">
              <w:t>applying assembly techniques</w:t>
            </w:r>
          </w:p>
          <w:p w:rsidR="00000000" w:rsidRPr="007856AB" w:rsidP="007856AB">
            <w:pPr>
              <w:pStyle w:val="ListBullet"/>
            </w:pPr>
            <w:r w:rsidRPr="007856AB">
              <w:t>applying bonding techniques</w:t>
            </w:r>
          </w:p>
          <w:p w:rsidR="00000000" w:rsidP="007856AB">
            <w:pPr>
              <w:pStyle w:val="ListBullet"/>
              <w:rPr>
                <w:lang w:val="en-NZ"/>
              </w:rPr>
            </w:pPr>
            <w:r w:rsidRPr="007856AB">
              <w:t xml:space="preserve">applying joiner </w:t>
            </w:r>
          </w:p>
        </w:tc>
      </w:tr>
      <w:tr w:rsidTr="007856AB">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7856AB">
            <w:pPr>
              <w:pStyle w:val="BodyText"/>
              <w:rPr>
                <w:lang w:val="en-NZ"/>
              </w:rPr>
            </w:pPr>
          </w:p>
        </w:tc>
      </w:tr>
      <w:tr w:rsidTr="007856AB">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7856AB">
            <w:pPr>
              <w:pStyle w:val="BodyText"/>
              <w:rPr>
                <w:lang w:val="en-NZ"/>
              </w:rPr>
            </w:pPr>
            <w:r w:rsidRPr="007856AB">
              <w:rPr>
                <w:rStyle w:val="SpecialBold"/>
              </w:rPr>
              <w:t>Required knowledge</w:t>
            </w:r>
          </w:p>
        </w:tc>
      </w:tr>
      <w:tr w:rsidTr="007856AB">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7856AB" w:rsidP="007856AB">
            <w:pPr>
              <w:pStyle w:val="BodyText"/>
            </w:pPr>
          </w:p>
          <w:p w:rsidR="00000000" w:rsidRPr="007856AB" w:rsidP="007856AB">
            <w:pPr>
              <w:pStyle w:val="BodyText"/>
            </w:pPr>
            <w:r w:rsidRPr="007856AB">
              <w:t>Required knowledge includes:</w:t>
            </w:r>
          </w:p>
          <w:p w:rsidR="00000000" w:rsidRPr="007856AB" w:rsidP="007856AB">
            <w:pPr>
              <w:pStyle w:val="ListBullet"/>
            </w:pPr>
            <w:r w:rsidRPr="007856AB">
              <w:t>adhesives (e.g. plexus – methylmethacrylate)</w:t>
            </w:r>
          </w:p>
          <w:p w:rsidR="00000000" w:rsidRPr="007856AB" w:rsidP="007856AB">
            <w:pPr>
              <w:pStyle w:val="ListBullet"/>
            </w:pPr>
            <w:r w:rsidRPr="007856AB">
              <w:t>sealants (e.g. sikaflex – silicon or butyl mastic)</w:t>
            </w:r>
          </w:p>
          <w:p w:rsidR="00000000" w:rsidRPr="007856AB" w:rsidP="007856AB">
            <w:pPr>
              <w:pStyle w:val="ListBullet"/>
            </w:pPr>
            <w:r w:rsidRPr="007856AB">
              <w:t>mechanical joining</w:t>
            </w:r>
          </w:p>
          <w:p w:rsidR="00000000" w:rsidRPr="007856AB" w:rsidP="007856AB">
            <w:pPr>
              <w:pStyle w:val="ListBullet"/>
            </w:pPr>
            <w:r w:rsidRPr="007856AB">
              <w:t>substrates and interactions with joiner</w:t>
            </w:r>
          </w:p>
          <w:p w:rsidR="00000000" w:rsidRPr="007856AB" w:rsidP="007856AB">
            <w:pPr>
              <w:pStyle w:val="ListBullet"/>
            </w:pPr>
            <w:r w:rsidRPr="007856AB">
              <w:t>surface preparation of substrate</w:t>
            </w:r>
          </w:p>
          <w:p w:rsidR="00000000" w:rsidRPr="007856AB" w:rsidP="007856AB">
            <w:pPr>
              <w:pStyle w:val="ListBullet"/>
            </w:pPr>
            <w:r w:rsidRPr="007856AB">
              <w:t>application metho</w:t>
            </w:r>
            <w:r w:rsidRPr="007856AB">
              <w:t>ds</w:t>
            </w:r>
          </w:p>
          <w:p w:rsidR="00000000" w:rsidRPr="007856AB" w:rsidP="007856AB">
            <w:pPr>
              <w:pStyle w:val="ListBullet"/>
            </w:pPr>
            <w:r w:rsidRPr="007856AB">
              <w:t>clamping forces (minimum and maximum)</w:t>
            </w:r>
          </w:p>
          <w:p w:rsidR="00000000" w:rsidRPr="007856AB" w:rsidP="007856AB">
            <w:pPr>
              <w:pStyle w:val="ListBullet"/>
            </w:pPr>
            <w:r w:rsidRPr="007856AB">
              <w:t>adhesive/sealant thickness</w:t>
            </w:r>
          </w:p>
          <w:p w:rsidR="00000000" w:rsidRPr="007856AB" w:rsidP="007856AB">
            <w:pPr>
              <w:pStyle w:val="ListBullet"/>
            </w:pPr>
            <w:r w:rsidRPr="007856AB">
              <w:t>primers</w:t>
            </w:r>
          </w:p>
          <w:p w:rsidR="00000000" w:rsidRPr="007856AB" w:rsidP="007856AB">
            <w:pPr>
              <w:pStyle w:val="ListBullet"/>
            </w:pPr>
            <w:r w:rsidRPr="007856AB">
              <w:t>design rules around fastening (e.g. minimum area for pop rivets, rivet spacing and rivet patterns)</w:t>
            </w:r>
          </w:p>
          <w:p w:rsidR="00000000" w:rsidRPr="007856AB" w:rsidP="007856AB">
            <w:pPr>
              <w:pStyle w:val="ListBullet"/>
            </w:pPr>
            <w:r w:rsidRPr="007856AB">
              <w:t>edge finish of pilot holes</w:t>
            </w:r>
          </w:p>
          <w:p w:rsidR="00000000" w:rsidRPr="007856AB" w:rsidP="007856AB">
            <w:pPr>
              <w:pStyle w:val="ListBullet"/>
            </w:pPr>
            <w:r w:rsidRPr="007856AB">
              <w:t>quality requirements with the hole preparation</w:t>
            </w:r>
          </w:p>
          <w:p w:rsidR="00000000" w:rsidRPr="007856AB" w:rsidP="007856AB">
            <w:pPr>
              <w:pStyle w:val="ListBullet"/>
            </w:pPr>
            <w:r w:rsidRPr="007856AB">
              <w:t>quality requirements with the installation of fasteners</w:t>
            </w:r>
          </w:p>
          <w:p w:rsidR="00000000" w:rsidRPr="007856AB" w:rsidP="007856AB">
            <w:pPr>
              <w:pStyle w:val="ListBullet"/>
            </w:pPr>
            <w:r w:rsidRPr="007856AB">
              <w:t>radius of edge of laminate</w:t>
            </w:r>
          </w:p>
          <w:p w:rsidR="00000000" w:rsidRPr="007856AB" w:rsidP="007856AB">
            <w:pPr>
              <w:pStyle w:val="ListBullet"/>
            </w:pPr>
            <w:r w:rsidRPr="007856AB">
              <w:t>effect of flatness and smoothness of joining surfaces</w:t>
            </w:r>
          </w:p>
          <w:p w:rsidR="00000000" w:rsidRPr="007856AB" w:rsidP="007856AB">
            <w:pPr>
              <w:pStyle w:val="ListBullet"/>
            </w:pPr>
            <w:r w:rsidRPr="007856AB">
              <w:t>substrate composition in joining area</w:t>
            </w:r>
          </w:p>
        </w:tc>
      </w:tr>
    </w:tbl>
    <w:p w:rsidR="00D610AA" w:rsidP="007856AB">
      <w:pPr>
        <w:pStyle w:val="BodyText"/>
      </w:pPr>
    </w:p>
    <w:p w:rsidR="00D610AA" w:rsidP="007856AB">
      <w:pPr>
        <w:pStyle w:val="BodyText"/>
      </w:pPr>
    </w:p>
    <w:p w:rsidR="00000000" w:rsidRPr="007856AB" w:rsidP="007856AB">
      <w:pPr>
        <w:pStyle w:val="Heading1"/>
      </w:pPr>
      <w:bookmarkStart w:id="10" w:name="O_442320"/>
      <w:bookmarkEnd w:id="10"/>
      <w:r w:rsidRPr="007856AB">
        <w:t>Evidence Guide</w:t>
      </w:r>
    </w:p>
    <w:tbl>
      <w:tblPr>
        <w:tblW w:w="9462" w:type="dxa"/>
        <w:tblLayout w:type="fixed"/>
        <w:tblCellMar>
          <w:left w:w="62" w:type="dxa"/>
          <w:right w:w="62" w:type="dxa"/>
        </w:tblCellMar>
        <w:tblLook w:val="0000"/>
      </w:tblPr>
      <w:tblGrid>
        <w:gridCol w:w="3800"/>
        <w:gridCol w:w="5662"/>
      </w:tblGrid>
      <w:tr w:rsidTr="007856AB">
        <w:tblPrEx>
          <w:tblW w:w="9462" w:type="dxa"/>
          <w:tblLayout w:type="fixed"/>
          <w:tblCellMar>
            <w:left w:w="62" w:type="dxa"/>
            <w:right w:w="62" w:type="dxa"/>
          </w:tblCellMar>
          <w:tblLook w:val="0000"/>
        </w:tblPrEx>
        <w:tc>
          <w:tcPr>
            <w:tcW w:w="9462" w:type="dxa"/>
            <w:gridSpan w:val="2"/>
            <w:tcBorders>
              <w:top w:val="nil"/>
              <w:left w:val="nil"/>
              <w:bottom w:val="single" w:sz="4" w:space="0" w:color="auto"/>
              <w:right w:val="nil"/>
            </w:tcBorders>
            <w:tcMar>
              <w:top w:w="0" w:type="dxa"/>
              <w:left w:w="62" w:type="dxa"/>
              <w:bottom w:w="0" w:type="dxa"/>
              <w:right w:w="62" w:type="dxa"/>
            </w:tcMar>
          </w:tcPr>
          <w:p w:rsidR="00000000" w:rsidP="007856AB">
            <w:pPr>
              <w:pStyle w:val="BodyText"/>
              <w:rPr>
                <w:lang w:val="en-NZ"/>
              </w:rPr>
            </w:pPr>
            <w:r w:rsidRPr="007856AB">
              <w:t>The evidence guide provides advice on assessme</w:t>
            </w:r>
            <w:r w:rsidRPr="007856AB">
              <w:t>nt and must be read in conjunction with the performance criteria, required skills and knowledge, range statement and the Assessment Guidelines for the Training Package.</w:t>
            </w:r>
          </w:p>
        </w:tc>
      </w:tr>
      <w:tr w:rsidTr="007856A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6AB">
            <w:pPr>
              <w:pStyle w:val="BodyText"/>
              <w:rPr>
                <w:lang w:val="en-NZ"/>
              </w:rPr>
            </w:pPr>
            <w:r w:rsidRPr="007856AB">
              <w:rPr>
                <w:rStyle w:val="SpecialBold"/>
              </w:rPr>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56AB" w:rsidP="007856AB">
            <w:pPr>
              <w:pStyle w:val="BodyText"/>
            </w:pPr>
            <w:r w:rsidRPr="007856AB">
              <w:t>It is essential that the process and equipment be understood and that the importance of critical material properties, settings and readings is known. Competence mu</w:t>
            </w:r>
            <w:r w:rsidRPr="007856AB">
              <w:t>st be demonstrated in the ability to recognise and analyse potential situations requiring action and then in implementing appropriate corrective action.</w:t>
            </w:r>
          </w:p>
          <w:p w:rsidR="00000000" w:rsidRPr="007856AB" w:rsidP="007856AB">
            <w:pPr>
              <w:pStyle w:val="BodyText"/>
            </w:pPr>
            <w:r w:rsidRPr="007856AB">
              <w:t>Consistent performance should be demonstrated. In particular look to see that:</w:t>
            </w:r>
          </w:p>
          <w:p w:rsidR="00000000" w:rsidRPr="007856AB" w:rsidP="007856AB">
            <w:pPr>
              <w:pStyle w:val="ListBullet"/>
            </w:pPr>
            <w:r w:rsidRPr="007856AB">
              <w:t>all reasonably availabl</w:t>
            </w:r>
            <w:r w:rsidRPr="007856AB">
              <w:t>e joining techniques and materials were considered</w:t>
            </w:r>
          </w:p>
          <w:p w:rsidR="00000000" w:rsidRPr="007856AB" w:rsidP="007856AB">
            <w:pPr>
              <w:pStyle w:val="ListBullet"/>
            </w:pPr>
            <w:r w:rsidRPr="007856AB">
              <w:t>appropriate techniques and materials have been selected</w:t>
            </w:r>
          </w:p>
          <w:p w:rsidR="00000000" w:rsidRPr="007856AB" w:rsidP="007856AB">
            <w:pPr>
              <w:pStyle w:val="ListBullet"/>
            </w:pPr>
            <w:r w:rsidRPr="007856AB">
              <w:t>the reasons for choosing the technique and materials are sound</w:t>
            </w:r>
          </w:p>
          <w:p w:rsidR="00000000" w:rsidRPr="007856AB" w:rsidP="007856AB">
            <w:pPr>
              <w:pStyle w:val="ListBullet"/>
            </w:pPr>
            <w:r w:rsidRPr="007856AB">
              <w:t>the product meets its required performance.</w:t>
            </w:r>
          </w:p>
          <w:p w:rsidR="00000000" w:rsidP="007856AB">
            <w:pPr>
              <w:pStyle w:val="BodyText"/>
              <w:rPr>
                <w:lang w:val="en-NZ"/>
              </w:rPr>
            </w:pPr>
            <w:r w:rsidRPr="007856AB">
              <w:t>Competence must be demonstrated in the ope</w:t>
            </w:r>
            <w:r w:rsidRPr="007856AB">
              <w:t xml:space="preserve">ration of all ancillary equipment to the level required for this unit of competency. </w:t>
            </w:r>
          </w:p>
        </w:tc>
      </w:tr>
      <w:tr w:rsidTr="007856A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6AB">
            <w:pPr>
              <w:pStyle w:val="BodyText"/>
              <w:rPr>
                <w:lang w:val="en-NZ"/>
              </w:rPr>
            </w:pPr>
            <w:r w:rsidRPr="007856AB">
              <w:rPr>
                <w:rStyle w:val="SpecialBold"/>
              </w:rPr>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56AB" w:rsidP="007856AB">
            <w:pPr>
              <w:pStyle w:val="BodyText"/>
            </w:pPr>
            <w:r w:rsidRPr="007856AB">
              <w:t>Assessment will require the selection of joining methods, justifying the selection made and making a number of joints using both mechanical and adhesive joining techniques.</w:t>
            </w:r>
          </w:p>
          <w:p w:rsidR="00000000" w:rsidP="007856AB">
            <w:pPr>
              <w:pStyle w:val="BodyText"/>
              <w:rPr>
                <w:lang w:val="en-NZ"/>
              </w:rPr>
            </w:pPr>
            <w:r w:rsidRPr="007856AB">
              <w:t xml:space="preserve">Assessment will occur over a range of situations which will include disruptions to </w:t>
            </w:r>
            <w:r w:rsidRPr="007856AB">
              <w:t>normal, smooth operation.</w:t>
            </w:r>
          </w:p>
        </w:tc>
      </w:tr>
      <w:tr w:rsidTr="007856A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6AB">
            <w:pPr>
              <w:pStyle w:val="BodyText"/>
              <w:rPr>
                <w:lang w:val="en-NZ"/>
              </w:rPr>
            </w:pPr>
            <w:r w:rsidRPr="007856AB">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56AB" w:rsidP="007856AB">
            <w:pPr>
              <w:pStyle w:val="BodyText"/>
            </w:pPr>
            <w:r w:rsidRPr="007856AB">
              <w:t>A single assessment event is not appropriate. On-the-job assessment should be included as part of the assessment process wherever possible. Where assessment occurs off the job, judgement must consider evidenc</w:t>
            </w:r>
            <w:r w:rsidRPr="007856AB">
              <w:t xml:space="preserve">e of the candidate's performance in a productive work environment that includes a sufficient range of appropriate tasks and materials to cover the scope of application for this unit. </w:t>
            </w:r>
          </w:p>
          <w:p w:rsidR="00000000" w:rsidRPr="007856AB" w:rsidP="007856AB">
            <w:pPr>
              <w:pStyle w:val="BodyText"/>
            </w:pPr>
            <w:r w:rsidRPr="007856AB">
              <w:t>Assessors should gather a range of evidence that is valid, sufficient, c</w:t>
            </w:r>
            <w:r w:rsidRPr="007856AB">
              <w:t>urrent and authentic. Evidence can be gathered through a variety of ways, including direct observation, supervisor's reports, project work, samples and questioning. Questioning techniques should not require language, literacy and numeracy skills beyond tho</w:t>
            </w:r>
            <w:r w:rsidRPr="007856AB">
              <w:t xml:space="preserve">se required in this unit of competency. </w:t>
            </w:r>
          </w:p>
          <w:p w:rsidR="00000000" w:rsidP="007856AB">
            <w:pPr>
              <w:pStyle w:val="BodyText"/>
              <w:rPr>
                <w:lang w:val="en-NZ"/>
              </w:rPr>
            </w:pPr>
            <w:r w:rsidRPr="007856AB">
              <w:t xml:space="preserve">The candidate must have access to all tools, equipment, materials and documentation required. The candidate must be permitted to refer to any relevant workplace procedures, product and manufacturing specifications, </w:t>
            </w:r>
            <w:r w:rsidRPr="007856AB">
              <w:t>codes, standards, manuals and reference materials.</w:t>
            </w:r>
          </w:p>
        </w:tc>
      </w:tr>
      <w:tr w:rsidTr="007856A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6AB">
            <w:pPr>
              <w:pStyle w:val="BodyText"/>
              <w:rPr>
                <w:lang w:val="en-NZ"/>
              </w:rPr>
            </w:pPr>
            <w:r w:rsidRPr="007856AB">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56AB" w:rsidP="007856AB">
            <w:pPr>
              <w:pStyle w:val="BodyText"/>
            </w:pPr>
            <w:r w:rsidRPr="007856AB">
              <w:t>Assessment processes and techniques must be culturally appropriate and appropriate to the language and literacy capacity of the candidate and the work being performed.</w:t>
            </w:r>
          </w:p>
        </w:tc>
      </w:tr>
    </w:tbl>
    <w:p w:rsidR="00D610AA" w:rsidP="007856AB">
      <w:pPr>
        <w:pStyle w:val="BodyText"/>
      </w:pPr>
    </w:p>
    <w:p w:rsidR="00D610AA" w:rsidP="007856AB">
      <w:pPr>
        <w:pStyle w:val="BodyText"/>
      </w:pPr>
    </w:p>
    <w:p w:rsidR="00000000" w:rsidRPr="007856AB" w:rsidP="007856AB">
      <w:pPr>
        <w:pStyle w:val="Heading1"/>
      </w:pPr>
      <w:bookmarkStart w:id="11" w:name="O_442321"/>
      <w:bookmarkEnd w:id="11"/>
      <w:r w:rsidRPr="007856AB">
        <w:t>Range Statement</w:t>
      </w:r>
    </w:p>
    <w:tbl>
      <w:tblPr>
        <w:tblW w:w="9462" w:type="dxa"/>
        <w:tblLayout w:type="fixed"/>
        <w:tblCellMar>
          <w:left w:w="62" w:type="dxa"/>
          <w:right w:w="62" w:type="dxa"/>
        </w:tblCellMar>
        <w:tblLook w:val="0000"/>
      </w:tblPr>
      <w:tblGrid>
        <w:gridCol w:w="3800"/>
        <w:gridCol w:w="5662"/>
      </w:tblGrid>
      <w:tr w:rsidTr="007856AB">
        <w:tblPrEx>
          <w:tblW w:w="9462" w:type="dxa"/>
          <w:tblLayout w:type="fixed"/>
          <w:tblCellMar>
            <w:left w:w="62" w:type="dxa"/>
            <w:right w:w="62" w:type="dxa"/>
          </w:tblCellMar>
          <w:tblLook w:val="0000"/>
        </w:tblPrEx>
        <w:tc>
          <w:tcPr>
            <w:tcW w:w="9462" w:type="dxa"/>
            <w:gridSpan w:val="2"/>
            <w:tcBorders>
              <w:top w:val="nil"/>
              <w:left w:val="nil"/>
              <w:bottom w:val="single" w:sz="4" w:space="0" w:color="auto"/>
              <w:right w:val="nil"/>
            </w:tcBorders>
            <w:tcMar>
              <w:top w:w="0" w:type="dxa"/>
              <w:left w:w="62" w:type="dxa"/>
              <w:bottom w:w="0" w:type="dxa"/>
              <w:right w:w="62" w:type="dxa"/>
            </w:tcMar>
          </w:tcPr>
          <w:p w:rsidR="00000000" w:rsidP="007856AB">
            <w:pPr>
              <w:pStyle w:val="BodyText"/>
              <w:rPr>
                <w:lang w:val="en-NZ"/>
              </w:rPr>
            </w:pPr>
            <w:r w:rsidRPr="007856AB">
              <w:t>The range statement relates to the unit of competency as a whole. It allows for different work environments and situations that may affect performance. Bold italicised wording, if used in the performance criteria, is det</w:t>
            </w:r>
            <w:r w:rsidRPr="007856AB">
              <w:t>ailed below. Essential operating conditions that may be present with training and assessment (depending on the work situation, needs of the candidate, accessibility of the item, and local industry and regional contexts) may also be included.</w:t>
            </w:r>
          </w:p>
        </w:tc>
      </w:tr>
      <w:tr w:rsidTr="007856A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6AB">
            <w:pPr>
              <w:pStyle w:val="BodyText"/>
              <w:rPr>
                <w:lang w:val="en-NZ"/>
              </w:rPr>
            </w:pPr>
            <w:r w:rsidRPr="007856AB">
              <w:rPr>
                <w:rStyle w:val="SpecialBold"/>
              </w:rPr>
              <w:t>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56AB" w:rsidP="007856AB">
            <w:pPr>
              <w:pStyle w:val="BodyText"/>
            </w:pPr>
            <w:r w:rsidRPr="007856AB">
              <w:t>Procedures may be written, verbal, computer-based or in some other form, and may include:</w:t>
            </w:r>
          </w:p>
          <w:p w:rsidR="00000000" w:rsidRPr="007856AB" w:rsidP="007856AB">
            <w:pPr>
              <w:pStyle w:val="ListBullet"/>
            </w:pPr>
            <w:r w:rsidRPr="007856AB">
              <w:t>all work instructions</w:t>
            </w:r>
          </w:p>
          <w:p w:rsidR="00000000" w:rsidRPr="007856AB" w:rsidP="007856AB">
            <w:pPr>
              <w:pStyle w:val="ListBullet"/>
            </w:pPr>
            <w:r w:rsidRPr="007856AB">
              <w:t>standard operating procedures</w:t>
            </w:r>
          </w:p>
          <w:p w:rsidR="00000000" w:rsidRPr="007856AB" w:rsidP="007856AB">
            <w:pPr>
              <w:pStyle w:val="ListBullet"/>
            </w:pPr>
            <w:r w:rsidRPr="007856AB">
              <w:t>formulas/recipes</w:t>
            </w:r>
          </w:p>
          <w:p w:rsidR="00000000" w:rsidRPr="007856AB" w:rsidP="007856AB">
            <w:pPr>
              <w:pStyle w:val="ListBullet"/>
            </w:pPr>
            <w:r w:rsidRPr="007856AB">
              <w:t>batch sheets</w:t>
            </w:r>
          </w:p>
          <w:p w:rsidR="00000000" w:rsidRPr="007856AB" w:rsidP="007856AB">
            <w:pPr>
              <w:pStyle w:val="ListBullet"/>
            </w:pPr>
            <w:r w:rsidRPr="007856AB">
              <w:t>temporary instructions</w:t>
            </w:r>
          </w:p>
          <w:p w:rsidR="00000000" w:rsidRPr="007856AB" w:rsidP="007856AB">
            <w:pPr>
              <w:pStyle w:val="ListBullet"/>
            </w:pPr>
            <w:r w:rsidRPr="007856AB">
              <w:t xml:space="preserve">any similar instructions provided for the smooth running of </w:t>
            </w:r>
            <w:r w:rsidRPr="007856AB">
              <w:t>the plant</w:t>
            </w:r>
          </w:p>
          <w:p w:rsidR="00000000" w:rsidP="007856AB">
            <w:pPr>
              <w:pStyle w:val="ListBullet"/>
              <w:rPr>
                <w:lang w:val="en-NZ"/>
              </w:rPr>
            </w:pPr>
            <w:r w:rsidRPr="007856AB">
              <w:t>good operating practice as may be defined by industry codes of practice (e.g. Responsible Care) and government regulations</w:t>
            </w:r>
          </w:p>
        </w:tc>
      </w:tr>
      <w:tr w:rsidTr="007856A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6AB">
            <w:pPr>
              <w:pStyle w:val="BodyText"/>
              <w:rPr>
                <w:lang w:val="en-NZ"/>
              </w:rPr>
            </w:pPr>
            <w:r w:rsidRPr="007856AB">
              <w:rPr>
                <w:rStyle w:val="SpecialBold"/>
              </w:rPr>
              <w:t>Joining system</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56AB" w:rsidP="007856AB">
            <w:pPr>
              <w:pStyle w:val="BodyText"/>
            </w:pPr>
            <w:r w:rsidRPr="007856AB">
              <w:t>Joining system includes techniques and materials, such as:</w:t>
            </w:r>
          </w:p>
          <w:p w:rsidR="00000000" w:rsidRPr="007856AB" w:rsidP="007856AB">
            <w:pPr>
              <w:pStyle w:val="ListBullet"/>
            </w:pPr>
            <w:r w:rsidRPr="007856AB">
              <w:t>bonding (e.g. adhesive, gluing, ethacrylates, sikaflex and epoxy)</w:t>
            </w:r>
          </w:p>
          <w:p w:rsidR="00000000" w:rsidRPr="007856AB" w:rsidP="007856AB">
            <w:pPr>
              <w:pStyle w:val="ListBullet"/>
            </w:pPr>
            <w:r w:rsidRPr="007856AB">
              <w:t>using composite materials (e.g. Probond, Divelett, K-Lite and Eurmere)</w:t>
            </w:r>
          </w:p>
          <w:p w:rsidR="00000000" w:rsidRPr="007856AB" w:rsidP="007856AB">
            <w:pPr>
              <w:pStyle w:val="ListBullet"/>
            </w:pPr>
            <w:r w:rsidRPr="007856AB">
              <w:t xml:space="preserve">secondary bonding – cured composite to cured composite </w:t>
            </w:r>
          </w:p>
          <w:p w:rsidR="00000000" w:rsidP="007856AB">
            <w:pPr>
              <w:pStyle w:val="ListBullet"/>
              <w:rPr>
                <w:lang w:val="en-NZ"/>
              </w:rPr>
            </w:pPr>
            <w:r w:rsidRPr="007856AB">
              <w:t>using mechanical fasteners (e.g. bolts and rivets)</w:t>
            </w:r>
          </w:p>
        </w:tc>
      </w:tr>
      <w:tr w:rsidTr="007856A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6AB">
            <w:pPr>
              <w:pStyle w:val="BodyText"/>
              <w:rPr>
                <w:lang w:val="en-NZ"/>
              </w:rPr>
            </w:pPr>
            <w:r w:rsidRPr="007856AB">
              <w:rPr>
                <w:rStyle w:val="SpecialBold"/>
              </w:rPr>
              <w:t>Finished ap</w:t>
            </w:r>
            <w:r w:rsidRPr="007856AB">
              <w:rPr>
                <w:rStyle w:val="SpecialBold"/>
              </w:rPr>
              <w:t>plication properties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56AB" w:rsidP="007856AB">
            <w:pPr>
              <w:pStyle w:val="BodyText"/>
            </w:pPr>
            <w:r w:rsidRPr="007856AB">
              <w:t>Finished application properties include:</w:t>
            </w:r>
          </w:p>
          <w:p w:rsidR="00000000" w:rsidRPr="007856AB" w:rsidP="007856AB">
            <w:pPr>
              <w:pStyle w:val="ListBullet"/>
            </w:pPr>
            <w:r w:rsidRPr="007856AB">
              <w:t>permanent/removable</w:t>
            </w:r>
          </w:p>
          <w:p w:rsidR="00000000" w:rsidRPr="007856AB" w:rsidP="007856AB">
            <w:pPr>
              <w:pStyle w:val="ListBullet"/>
            </w:pPr>
            <w:r w:rsidRPr="007856AB">
              <w:t>waterproof/chemical resistant</w:t>
            </w:r>
          </w:p>
          <w:p w:rsidR="00000000" w:rsidRPr="007856AB" w:rsidP="007856AB">
            <w:pPr>
              <w:pStyle w:val="ListBullet"/>
            </w:pPr>
            <w:r w:rsidRPr="007856AB">
              <w:t>structural rigidity</w:t>
            </w:r>
          </w:p>
          <w:p w:rsidR="00000000" w:rsidRPr="007856AB" w:rsidP="007856AB">
            <w:pPr>
              <w:pStyle w:val="ListBullet"/>
            </w:pPr>
            <w:r w:rsidRPr="007856AB">
              <w:t>strength (tensile, compressive, shear and torsional)</w:t>
            </w:r>
          </w:p>
          <w:p w:rsidR="00000000" w:rsidP="007856AB">
            <w:pPr>
              <w:pStyle w:val="ListBullet"/>
              <w:rPr>
                <w:lang w:val="en-NZ"/>
              </w:rPr>
            </w:pPr>
            <w:r w:rsidRPr="007856AB">
              <w:t>aesthetic</w:t>
            </w:r>
          </w:p>
        </w:tc>
      </w:tr>
      <w:tr w:rsidTr="007856A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6AB">
            <w:pPr>
              <w:pStyle w:val="BodyText"/>
              <w:rPr>
                <w:lang w:val="en-NZ"/>
              </w:rPr>
            </w:pPr>
            <w:r w:rsidRPr="007856AB">
              <w:rPr>
                <w:rStyle w:val="SpecialBold"/>
              </w:rPr>
              <w:t>Properties of surfaces to be joined</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56AB" w:rsidP="007856AB">
            <w:pPr>
              <w:pStyle w:val="BodyText"/>
            </w:pPr>
            <w:r w:rsidRPr="007856AB">
              <w:t>Properties of surfaces to be joined include:</w:t>
            </w:r>
          </w:p>
          <w:p w:rsidR="00000000" w:rsidRPr="007856AB" w:rsidP="007856AB">
            <w:pPr>
              <w:pStyle w:val="ListBullet"/>
            </w:pPr>
            <w:r w:rsidRPr="007856AB">
              <w:t>materials of construction</w:t>
            </w:r>
          </w:p>
          <w:p w:rsidR="00000000" w:rsidRPr="007856AB" w:rsidP="007856AB">
            <w:pPr>
              <w:pStyle w:val="ListBullet"/>
            </w:pPr>
            <w:r w:rsidRPr="007856AB">
              <w:t>physical properties (e.g. strength and rigidity)</w:t>
            </w:r>
          </w:p>
          <w:p w:rsidR="00000000" w:rsidRPr="007856AB" w:rsidP="007856AB">
            <w:pPr>
              <w:pStyle w:val="ListBullet"/>
            </w:pPr>
            <w:r w:rsidRPr="007856AB">
              <w:t>surface properties (e.g. surface finish and surface treatment/coatings)</w:t>
            </w:r>
          </w:p>
          <w:p w:rsidR="00000000" w:rsidP="007856AB">
            <w:pPr>
              <w:pStyle w:val="ListBullet"/>
              <w:rPr>
                <w:lang w:val="en-NZ"/>
              </w:rPr>
            </w:pPr>
            <w:r w:rsidRPr="007856AB">
              <w:t xml:space="preserve">size and shape </w:t>
            </w:r>
          </w:p>
        </w:tc>
      </w:tr>
      <w:tr w:rsidTr="007856A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6AB">
            <w:pPr>
              <w:pStyle w:val="BodyText"/>
              <w:rPr>
                <w:lang w:val="en-NZ"/>
              </w:rPr>
            </w:pPr>
            <w:r w:rsidRPr="007856AB">
              <w:rPr>
                <w:rStyle w:val="SpecialBold"/>
              </w:rPr>
              <w:t>Preparation of surfaces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56AB" w:rsidP="007856AB">
            <w:pPr>
              <w:pStyle w:val="BodyText"/>
            </w:pPr>
            <w:r w:rsidRPr="007856AB">
              <w:t>Preparation of surface</w:t>
            </w:r>
            <w:r w:rsidRPr="007856AB">
              <w:t>s to be joined may include:</w:t>
            </w:r>
          </w:p>
          <w:p w:rsidR="00000000" w:rsidRPr="007856AB" w:rsidP="007856AB">
            <w:pPr>
              <w:pStyle w:val="ListBullet"/>
            </w:pPr>
            <w:r w:rsidRPr="007856AB">
              <w:t>solvent or other chemical cleaning</w:t>
            </w:r>
          </w:p>
          <w:p w:rsidR="00000000" w:rsidRPr="007856AB" w:rsidP="007856AB">
            <w:pPr>
              <w:pStyle w:val="ListBullet"/>
            </w:pPr>
            <w:r w:rsidRPr="007856AB">
              <w:t>chemical etching</w:t>
            </w:r>
          </w:p>
          <w:p w:rsidR="00000000" w:rsidRPr="007856AB" w:rsidP="007856AB">
            <w:pPr>
              <w:pStyle w:val="ListBullet"/>
            </w:pPr>
            <w:r w:rsidRPr="007856AB">
              <w:t>mechanical preparation such as blasting, buffing</w:t>
            </w:r>
          </w:p>
          <w:p w:rsidR="00000000" w:rsidRPr="007856AB" w:rsidP="007856AB">
            <w:pPr>
              <w:pStyle w:val="ListBullet"/>
            </w:pPr>
            <w:r w:rsidRPr="007856AB">
              <w:t>surface smoothing (e.g. machining)</w:t>
            </w:r>
          </w:p>
          <w:p w:rsidR="00000000" w:rsidP="007856AB">
            <w:pPr>
              <w:pStyle w:val="ListBullet"/>
              <w:rPr>
                <w:lang w:val="en-NZ"/>
              </w:rPr>
            </w:pPr>
            <w:r w:rsidRPr="007856AB">
              <w:t>making of holes or other physical locking features</w:t>
            </w:r>
          </w:p>
        </w:tc>
      </w:tr>
      <w:tr w:rsidTr="007856A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6AB">
            <w:pPr>
              <w:pStyle w:val="BodyText"/>
              <w:rPr>
                <w:lang w:val="en-NZ"/>
              </w:rPr>
            </w:pPr>
            <w:r w:rsidRPr="007856AB">
              <w:rPr>
                <w:rStyle w:val="SpecialBold"/>
              </w:rPr>
              <w:t>Most appropriate joining system</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56AB" w:rsidP="007856AB">
            <w:pPr>
              <w:pStyle w:val="BodyText"/>
            </w:pPr>
            <w:r w:rsidRPr="007856AB">
              <w:t>Most appropriate system refers to that system which has:</w:t>
            </w:r>
          </w:p>
          <w:p w:rsidR="00000000" w:rsidRPr="007856AB" w:rsidP="007856AB">
            <w:pPr>
              <w:pStyle w:val="ListBullet"/>
            </w:pPr>
            <w:r w:rsidRPr="007856AB">
              <w:t>compliance with product requirements</w:t>
            </w:r>
          </w:p>
          <w:p w:rsidR="00000000" w:rsidRPr="007856AB" w:rsidP="007856AB">
            <w:pPr>
              <w:pStyle w:val="ListBullet"/>
            </w:pPr>
            <w:r w:rsidRPr="007856AB">
              <w:t>greatest ease of joining</w:t>
            </w:r>
          </w:p>
          <w:p w:rsidR="00000000" w:rsidRPr="007856AB" w:rsidP="007856AB">
            <w:pPr>
              <w:pStyle w:val="ListBullet"/>
            </w:pPr>
            <w:r w:rsidRPr="007856AB">
              <w:t>best financial return</w:t>
            </w:r>
          </w:p>
          <w:p w:rsidR="00000000" w:rsidP="007856AB">
            <w:pPr>
              <w:pStyle w:val="ListBullet"/>
              <w:rPr>
                <w:lang w:val="en-NZ"/>
              </w:rPr>
            </w:pPr>
            <w:r w:rsidRPr="007856AB">
              <w:t>greatest sustainability contribution</w:t>
            </w:r>
          </w:p>
        </w:tc>
      </w:tr>
      <w:tr w:rsidTr="007856A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6AB">
            <w:pPr>
              <w:pStyle w:val="BodyText"/>
              <w:rPr>
                <w:lang w:val="en-NZ"/>
              </w:rPr>
            </w:pPr>
            <w:r w:rsidRPr="007856AB">
              <w:rPr>
                <w:rStyle w:val="SpecialBold"/>
              </w:rPr>
              <w:t>Sustainability</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56AB" w:rsidP="007856AB">
            <w:pPr>
              <w:pStyle w:val="BodyText"/>
            </w:pPr>
            <w:r w:rsidRPr="007856AB">
              <w:t>Sustainability incorporates the three aspects of:</w:t>
            </w:r>
          </w:p>
          <w:p w:rsidR="00000000" w:rsidRPr="007856AB" w:rsidP="007856AB">
            <w:pPr>
              <w:pStyle w:val="ListBullet"/>
            </w:pPr>
            <w:r w:rsidRPr="007856AB">
              <w:t>survival o</w:t>
            </w:r>
            <w:r w:rsidRPr="007856AB">
              <w:t>f the ecology/physical environment – which means that an enterprise needs to manage the impact of the business to ensure the survival of the physical environment</w:t>
            </w:r>
          </w:p>
          <w:p w:rsidR="00000000" w:rsidRPr="007856AB" w:rsidP="007856AB">
            <w:pPr>
              <w:pStyle w:val="ListBullet"/>
            </w:pPr>
            <w:r w:rsidRPr="007856AB">
              <w:t xml:space="preserve">economic viability – efficiency, cost and waste reduction </w:t>
            </w:r>
            <w:r w:rsidRPr="007856AB">
              <w:t>and competitiveness to support survi</w:t>
            </w:r>
            <w:r w:rsidRPr="007856AB">
              <w:t>val of the business</w:t>
            </w:r>
          </w:p>
          <w:p w:rsidR="00000000" w:rsidP="007856AB">
            <w:pPr>
              <w:pStyle w:val="ListBullet"/>
              <w:rPr>
                <w:lang w:val="en-NZ"/>
              </w:rPr>
            </w:pPr>
            <w:r w:rsidRPr="007856AB">
              <w:t>social sustainability – an enterprise needs to manage the impact of the business to ensure its continued survival within the community and the survival of the community, including occupational health and safety (OHS)</w:t>
            </w:r>
          </w:p>
        </w:tc>
      </w:tr>
      <w:tr w:rsidTr="007856A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6AB">
            <w:pPr>
              <w:pStyle w:val="BodyText"/>
              <w:rPr>
                <w:lang w:val="en-NZ"/>
              </w:rPr>
            </w:pPr>
            <w:r w:rsidRPr="007856AB">
              <w:rPr>
                <w:rStyle w:val="SpecialBold"/>
              </w:rPr>
              <w:t>Logs and reports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56AB" w:rsidP="007856AB">
            <w:pPr>
              <w:pStyle w:val="BodyText"/>
            </w:pPr>
            <w:r w:rsidRPr="007856AB">
              <w:t>L</w:t>
            </w:r>
            <w:r w:rsidRPr="007856AB">
              <w:t>ogs and reports may include:</w:t>
            </w:r>
          </w:p>
          <w:p w:rsidR="00000000" w:rsidRPr="007856AB" w:rsidP="007856AB">
            <w:pPr>
              <w:pStyle w:val="ListBullet"/>
            </w:pPr>
            <w:r w:rsidRPr="007856AB">
              <w:t xml:space="preserve">paper or electronic based </w:t>
            </w:r>
          </w:p>
          <w:p w:rsidR="00000000" w:rsidRPr="007856AB" w:rsidP="007856AB">
            <w:pPr>
              <w:pStyle w:val="ListBullet"/>
            </w:pPr>
            <w:r w:rsidRPr="007856AB">
              <w:t>verbal reports</w:t>
            </w:r>
          </w:p>
          <w:p w:rsidR="00000000" w:rsidP="007856AB">
            <w:pPr>
              <w:pStyle w:val="ListBullet"/>
              <w:rPr>
                <w:lang w:val="en-NZ"/>
              </w:rPr>
            </w:pPr>
            <w:r w:rsidRPr="007856AB">
              <w:t>items found which require action</w:t>
            </w:r>
          </w:p>
        </w:tc>
      </w:tr>
      <w:tr w:rsidTr="007856A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6AB">
            <w:pPr>
              <w:pStyle w:val="BodyText"/>
              <w:rPr>
                <w:lang w:val="en-NZ"/>
              </w:rPr>
            </w:pPr>
            <w:r w:rsidRPr="007856AB">
              <w:rPr>
                <w:rStyle w:val="SpecialBold"/>
              </w:rPr>
              <w:t>Appropriate action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56AB" w:rsidP="007856AB">
            <w:pPr>
              <w:pStyle w:val="BodyText"/>
            </w:pPr>
            <w:r w:rsidRPr="007856AB">
              <w:t>Appropriate action includes:</w:t>
            </w:r>
          </w:p>
          <w:p w:rsidR="00000000" w:rsidRPr="007856AB" w:rsidP="007856AB">
            <w:pPr>
              <w:pStyle w:val="ListBullet"/>
            </w:pPr>
            <w:r w:rsidRPr="007856AB">
              <w:t>determining problems needing action</w:t>
            </w:r>
          </w:p>
          <w:p w:rsidR="00000000" w:rsidRPr="007856AB" w:rsidP="007856AB">
            <w:pPr>
              <w:pStyle w:val="ListBullet"/>
            </w:pPr>
            <w:r w:rsidRPr="007856AB">
              <w:t>determining possible fault causes</w:t>
            </w:r>
          </w:p>
          <w:p w:rsidR="00000000" w:rsidRPr="007856AB" w:rsidP="007856AB">
            <w:pPr>
              <w:pStyle w:val="ListBullet"/>
            </w:pPr>
            <w:r w:rsidRPr="007856AB">
              <w:t>rectifying problem using appropriate solution within area of responsibility</w:t>
            </w:r>
          </w:p>
          <w:p w:rsidR="00000000" w:rsidRPr="007856AB" w:rsidP="007856AB">
            <w:pPr>
              <w:pStyle w:val="ListBullet"/>
            </w:pPr>
            <w:r w:rsidRPr="007856AB">
              <w:t>following through items initiated until final resolution has occurred</w:t>
            </w:r>
          </w:p>
          <w:p w:rsidR="00000000" w:rsidP="007856AB">
            <w:pPr>
              <w:pStyle w:val="ListBullet"/>
              <w:rPr>
                <w:lang w:val="en-NZ"/>
              </w:rPr>
            </w:pPr>
            <w:r w:rsidRPr="007856AB">
              <w:t>reporting problems outside area of responsibility to designated person</w:t>
            </w:r>
          </w:p>
        </w:tc>
      </w:tr>
      <w:tr w:rsidTr="007856A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6AB">
            <w:pPr>
              <w:pStyle w:val="BodyText"/>
              <w:rPr>
                <w:lang w:val="en-NZ"/>
              </w:rPr>
            </w:pPr>
            <w:r w:rsidRPr="007856AB">
              <w:rPr>
                <w:rStyle w:val="SpecialBold"/>
              </w:rPr>
              <w:t>Typical problems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56AB" w:rsidP="007856AB">
            <w:pPr>
              <w:pStyle w:val="BodyText"/>
            </w:pPr>
            <w:r w:rsidRPr="007856AB">
              <w:t xml:space="preserve">Typical problems may </w:t>
            </w:r>
            <w:r w:rsidRPr="007856AB">
              <w:t>include:</w:t>
            </w:r>
          </w:p>
          <w:p w:rsidR="00000000" w:rsidRPr="007856AB" w:rsidP="007856AB">
            <w:pPr>
              <w:pStyle w:val="ListBullet"/>
            </w:pPr>
            <w:r w:rsidRPr="007856AB">
              <w:t>incompatible requirements</w:t>
            </w:r>
          </w:p>
          <w:p w:rsidR="00000000" w:rsidRPr="007856AB" w:rsidP="007856AB">
            <w:pPr>
              <w:pStyle w:val="ListBullet"/>
            </w:pPr>
            <w:r w:rsidRPr="007856AB">
              <w:t>hazardous materials/preparation methods</w:t>
            </w:r>
          </w:p>
          <w:p w:rsidR="00000000" w:rsidP="007856AB">
            <w:pPr>
              <w:pStyle w:val="ListBullet"/>
              <w:rPr>
                <w:lang w:val="en-NZ"/>
              </w:rPr>
            </w:pPr>
            <w:r w:rsidRPr="007856AB">
              <w:t>non-uniform join</w:t>
            </w:r>
          </w:p>
        </w:tc>
      </w:tr>
      <w:tr w:rsidTr="007856A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6AB">
            <w:pPr>
              <w:pStyle w:val="BodyText"/>
              <w:rPr>
                <w:lang w:val="en-NZ"/>
              </w:rPr>
            </w:pPr>
            <w:r w:rsidRPr="007856AB">
              <w:rPr>
                <w:rStyle w:val="SpecialBold"/>
              </w:rPr>
              <w:t>Health, safety and environment (HSE)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56AB" w:rsidP="007856AB">
            <w:pPr>
              <w:pStyle w:val="BodyText"/>
            </w:pPr>
            <w:r w:rsidRPr="007856AB">
              <w:t>All operations to which this unit applies are subject to stringent HSE requirements, which may be imposed through state/territory or federal legislation, and these must not be compromised at any time. Where there is an apparent conflict between Performance</w:t>
            </w:r>
            <w:r w:rsidRPr="007856AB">
              <w:t xml:space="preserve"> Criteria and HSE requirements, the HSE requirements take precedence</w:t>
            </w:r>
          </w:p>
        </w:tc>
      </w:tr>
    </w:tbl>
    <w:p w:rsidR="00D610AA" w:rsidP="007856AB">
      <w:pPr>
        <w:pStyle w:val="BodyText"/>
      </w:pPr>
    </w:p>
    <w:p w:rsidR="00D610AA" w:rsidP="007856AB">
      <w:pPr>
        <w:pStyle w:val="BodyText"/>
      </w:pPr>
    </w:p>
    <w:p w:rsidR="00000000" w:rsidRPr="007856AB" w:rsidP="007856AB">
      <w:pPr>
        <w:pStyle w:val="Heading1"/>
      </w:pPr>
      <w:bookmarkStart w:id="12" w:name="O_442322"/>
      <w:bookmarkEnd w:id="12"/>
      <w:r w:rsidRPr="007856AB">
        <w:t>Unit Sector(s)</w:t>
      </w:r>
    </w:p>
    <w:p w:rsidR="00000000" w:rsidRPr="007856AB" w:rsidP="007856AB">
      <w:pPr>
        <w:pStyle w:val="BodyText"/>
      </w:pPr>
      <w:r w:rsidRPr="007856AB">
        <w:t>Composites</w:t>
      </w:r>
    </w:p>
    <w:p w:rsidR="00000000" w:rsidRPr="007856AB" w:rsidP="007856AB">
      <w:pPr>
        <w:pStyle w:val="AllowPageBreak"/>
      </w:pPr>
    </w:p>
    <w:p w:rsidR="00000000" w:rsidRPr="007856AB" w:rsidP="007856AB">
      <w:pPr>
        <w:pStyle w:val="Heading1"/>
      </w:pPr>
      <w:bookmarkStart w:id="13" w:name="O_442323"/>
      <w:bookmarkEnd w:id="13"/>
      <w:r w:rsidRPr="007856AB">
        <w:t>Custom Content Section</w:t>
      </w:r>
    </w:p>
    <w:p w:rsidR="00000000" w:rsidRPr="007856AB" w:rsidP="007856AB">
      <w:pPr>
        <w:pStyle w:val="BodyText"/>
      </w:pPr>
      <w:r w:rsidRPr="007856AB">
        <w:t>Not applicable.</w:t>
      </w:r>
    </w:p>
    <w:p w:rsidR="00000000" w:rsidRPr="007856AB" w:rsidP="007856AB"/>
    <w:sectPr w:rsidSect="007856A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6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610AA" w:rsidP="00D610A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6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0AA" w:rsidP="007856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610AA" w:rsidP="007856A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610AA" w:rsidP="007856A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6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610AA" w:rsidP="00D610A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6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0AA" w:rsidP="007856AB">
    <w:pPr>
      <w:pStyle w:val="Header"/>
      <w:framePr w:wrap="around"/>
    </w:pPr>
    <w:r>
      <w:fldChar w:fldCharType="begin"/>
    </w:r>
    <w:r>
      <w:instrText xml:space="preserve"> TITLE   \* MERGEFORMAT </w:instrText>
    </w:r>
    <w:r>
      <w:fldChar w:fldCharType="separate"/>
    </w:r>
    <w:r>
      <w:t>MEM26016A Select and use joining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610AA" w:rsidP="007856A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C3AF3D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156876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56A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856AB"/>
    <w:pPr>
      <w:spacing w:before="360" w:after="60"/>
      <w:outlineLvl w:val="0"/>
    </w:pPr>
    <w:rPr>
      <w:sz w:val="32"/>
    </w:rPr>
  </w:style>
  <w:style w:type="paragraph" w:styleId="Heading2">
    <w:name w:val="heading 2"/>
    <w:basedOn w:val="HeadingBase"/>
    <w:next w:val="BodyText"/>
    <w:link w:val="Heading2Char"/>
    <w:qFormat/>
    <w:rsid w:val="007856AB"/>
    <w:pPr>
      <w:keepLines/>
      <w:spacing w:before="240" w:after="120"/>
      <w:outlineLvl w:val="1"/>
    </w:pPr>
    <w:rPr>
      <w:sz w:val="28"/>
      <w:szCs w:val="40"/>
    </w:rPr>
  </w:style>
  <w:style w:type="paragraph" w:styleId="Heading3">
    <w:name w:val="heading 3"/>
    <w:basedOn w:val="HeadingBase"/>
    <w:next w:val="BodyText"/>
    <w:link w:val="Heading3Char"/>
    <w:qFormat/>
    <w:rsid w:val="007856AB"/>
    <w:pPr>
      <w:spacing w:before="180" w:after="120"/>
      <w:outlineLvl w:val="2"/>
    </w:pPr>
    <w:rPr>
      <w:spacing w:val="-10"/>
      <w:kern w:val="32"/>
    </w:rPr>
  </w:style>
  <w:style w:type="paragraph" w:styleId="Heading4">
    <w:name w:val="heading 4"/>
    <w:basedOn w:val="HeadingBase"/>
    <w:next w:val="BodyText"/>
    <w:link w:val="Heading4Char"/>
    <w:qFormat/>
    <w:rsid w:val="007856AB"/>
    <w:pPr>
      <w:spacing w:before="160" w:after="120"/>
      <w:outlineLvl w:val="3"/>
    </w:pPr>
    <w:rPr>
      <w:sz w:val="22"/>
    </w:rPr>
  </w:style>
  <w:style w:type="paragraph" w:styleId="Heading5">
    <w:name w:val="heading 5"/>
    <w:basedOn w:val="HeadingBase"/>
    <w:next w:val="Normal"/>
    <w:link w:val="Heading5Char"/>
    <w:qFormat/>
    <w:rsid w:val="007856AB"/>
    <w:pPr>
      <w:spacing w:before="80"/>
      <w:outlineLvl w:val="4"/>
    </w:pPr>
    <w:rPr>
      <w:color w:val="918585"/>
      <w:sz w:val="20"/>
    </w:rPr>
  </w:style>
  <w:style w:type="paragraph" w:styleId="Heading6">
    <w:name w:val="heading 6"/>
    <w:basedOn w:val="HeadingBase"/>
    <w:next w:val="Normal"/>
    <w:link w:val="Heading6Char"/>
    <w:qFormat/>
    <w:rsid w:val="007856AB"/>
    <w:pPr>
      <w:spacing w:before="60"/>
      <w:outlineLvl w:val="5"/>
    </w:pPr>
    <w:rPr>
      <w:color w:val="918585"/>
      <w:sz w:val="20"/>
    </w:rPr>
  </w:style>
  <w:style w:type="paragraph" w:styleId="Heading7">
    <w:name w:val="heading 7"/>
    <w:basedOn w:val="Normal"/>
    <w:next w:val="Normal"/>
    <w:link w:val="Heading7Char"/>
    <w:qFormat/>
    <w:rsid w:val="007856AB"/>
    <w:pPr>
      <w:ind w:left="720"/>
      <w:outlineLvl w:val="6"/>
    </w:pPr>
    <w:rPr>
      <w:i/>
    </w:rPr>
  </w:style>
  <w:style w:type="paragraph" w:styleId="Heading8">
    <w:name w:val="heading 8"/>
    <w:basedOn w:val="Normal"/>
    <w:next w:val="Normal"/>
    <w:link w:val="Heading8Char"/>
    <w:qFormat/>
    <w:rsid w:val="007856AB"/>
    <w:pPr>
      <w:ind w:left="720"/>
      <w:outlineLvl w:val="7"/>
    </w:pPr>
    <w:rPr>
      <w:i/>
    </w:rPr>
  </w:style>
  <w:style w:type="paragraph" w:styleId="Heading9">
    <w:name w:val="heading 9"/>
    <w:basedOn w:val="Normal"/>
    <w:next w:val="Normal"/>
    <w:link w:val="Heading9Char"/>
    <w:qFormat/>
    <w:rsid w:val="007856AB"/>
    <w:pPr>
      <w:ind w:left="720"/>
      <w:outlineLvl w:val="8"/>
    </w:pPr>
    <w:rPr>
      <w:i/>
    </w:rPr>
  </w:style>
  <w:style w:type="character" w:default="1" w:styleId="DefaultParagraphFont">
    <w:name w:val="Default Paragraph Font"/>
    <w:uiPriority w:val="1"/>
    <w:unhideWhenUsed/>
    <w:rsid w:val="007856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56AB"/>
  </w:style>
  <w:style w:type="character" w:customStyle="1" w:styleId="Heading1Char">
    <w:name w:val="Heading 1 Char"/>
    <w:basedOn w:val="DefaultParagraphFont"/>
    <w:link w:val="Heading1"/>
    <w:rsid w:val="007856AB"/>
    <w:rPr>
      <w:rFonts w:ascii="Times New Roman" w:eastAsia="Times New Roman" w:hAnsi="Times New Roman" w:cs="Times New Roman"/>
      <w:b/>
      <w:sz w:val="32"/>
      <w:szCs w:val="20"/>
      <w:lang w:eastAsia="en-US"/>
    </w:rPr>
  </w:style>
  <w:style w:type="paragraph" w:styleId="BodyText">
    <w:name w:val="Body Text"/>
    <w:basedOn w:val="Normal"/>
    <w:link w:val="BodyTextChar"/>
    <w:rsid w:val="007856A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856AB"/>
    <w:rPr>
      <w:rFonts w:ascii="Times New Roman" w:eastAsia="Times New Roman" w:hAnsi="Times New Roman" w:cs="Times New Roman"/>
      <w:sz w:val="24"/>
      <w:lang w:val="en-US" w:eastAsia="en-US"/>
    </w:rPr>
  </w:style>
  <w:style w:type="paragraph" w:styleId="Footer">
    <w:name w:val="footer"/>
    <w:basedOn w:val="Normal"/>
    <w:link w:val="FooterChar"/>
    <w:rsid w:val="007856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56AB"/>
    <w:rPr>
      <w:rFonts w:ascii="Times New Roman" w:eastAsia="Times New Roman" w:hAnsi="Times New Roman" w:cs="Times New Roman"/>
      <w:sz w:val="16"/>
      <w:lang w:val="en-US" w:eastAsia="en-US"/>
    </w:rPr>
  </w:style>
  <w:style w:type="paragraph" w:styleId="ListBullet">
    <w:name w:val="List Bullet"/>
    <w:basedOn w:val="List"/>
    <w:rsid w:val="007856AB"/>
    <w:pPr>
      <w:numPr>
        <w:numId w:val="12"/>
      </w:numPr>
      <w:tabs>
        <w:tab w:val="clear" w:pos="340"/>
      </w:tabs>
      <w:spacing w:before="40" w:after="40"/>
    </w:pPr>
  </w:style>
  <w:style w:type="character" w:customStyle="1" w:styleId="SpecialBold">
    <w:name w:val="Special Bold"/>
    <w:basedOn w:val="DefaultParagraphFont"/>
    <w:rsid w:val="007856AB"/>
    <w:rPr>
      <w:b/>
      <w:spacing w:val="0"/>
    </w:rPr>
  </w:style>
  <w:style w:type="paragraph" w:styleId="Header">
    <w:name w:val="header"/>
    <w:basedOn w:val="Normal"/>
    <w:link w:val="HeaderChar"/>
    <w:rsid w:val="007856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56A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856AB"/>
    <w:pPr>
      <w:spacing w:before="240" w:after="120"/>
      <w:outlineLvl w:val="0"/>
    </w:pPr>
    <w:rPr>
      <w:rFonts w:ascii="Times New Roman" w:hAnsi="Times New Roman"/>
      <w:b/>
      <w:sz w:val="28"/>
    </w:rPr>
  </w:style>
  <w:style w:type="paragraph" w:customStyle="1" w:styleId="AllowPageBreak">
    <w:name w:val="AllowPageBreak"/>
    <w:rsid w:val="007856A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856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56A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56A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56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56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56A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856A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856AB"/>
    <w:rPr>
      <w:rFonts w:ascii="Courier New" w:eastAsia="Times New Roman" w:hAnsi="Courier New" w:cs="Times New Roman"/>
      <w:i/>
      <w:szCs w:val="20"/>
      <w:lang w:val="en-US" w:eastAsia="en-US"/>
    </w:rPr>
  </w:style>
  <w:style w:type="paragraph" w:customStyle="1" w:styleId="HeadingBase">
    <w:name w:val="Heading Base"/>
    <w:rsid w:val="007856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56AB"/>
    <w:pPr>
      <w:tabs>
        <w:tab w:val="right" w:leader="dot" w:pos="9072"/>
      </w:tabs>
      <w:ind w:left="567"/>
    </w:pPr>
    <w:rPr>
      <w:szCs w:val="22"/>
    </w:rPr>
  </w:style>
  <w:style w:type="paragraph" w:customStyle="1" w:styleId="TOCBase">
    <w:name w:val="TOC Base"/>
    <w:rsid w:val="007856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56AB"/>
    <w:pPr>
      <w:tabs>
        <w:tab w:val="right" w:leader="dot" w:pos="9072"/>
      </w:tabs>
      <w:spacing w:before="40" w:after="40"/>
      <w:ind w:left="284"/>
    </w:pPr>
    <w:rPr>
      <w:rFonts w:ascii="Times New Roman" w:hAnsi="Times New Roman"/>
    </w:rPr>
  </w:style>
  <w:style w:type="paragraph" w:styleId="TOC1">
    <w:name w:val="toc 1"/>
    <w:basedOn w:val="TOCBase"/>
    <w:next w:val="Normal"/>
    <w:rsid w:val="007856A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856AB"/>
    <w:pPr>
      <w:spacing w:before="5040"/>
      <w:jc w:val="center"/>
    </w:pPr>
    <w:rPr>
      <w:sz w:val="48"/>
      <w:szCs w:val="72"/>
      <w:lang w:val="en-US"/>
    </w:rPr>
  </w:style>
  <w:style w:type="character" w:customStyle="1" w:styleId="TitleChar">
    <w:name w:val="Title Char"/>
    <w:basedOn w:val="DefaultParagraphFont"/>
    <w:link w:val="Title"/>
    <w:rsid w:val="007856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56AB"/>
    <w:pPr>
      <w:tabs>
        <w:tab w:val="left" w:pos="3600"/>
        <w:tab w:val="left" w:pos="3958"/>
      </w:tabs>
    </w:pPr>
  </w:style>
  <w:style w:type="paragraph" w:styleId="List">
    <w:name w:val="List"/>
    <w:basedOn w:val="BodyText"/>
    <w:next w:val="BodyText"/>
    <w:rsid w:val="007856AB"/>
    <w:pPr>
      <w:tabs>
        <w:tab w:val="left" w:pos="340"/>
      </w:tabs>
      <w:spacing w:before="60" w:after="60"/>
      <w:ind w:left="340" w:hanging="340"/>
    </w:pPr>
  </w:style>
  <w:style w:type="paragraph" w:customStyle="1" w:styleId="Note">
    <w:name w:val="Note"/>
    <w:basedOn w:val="BodyText"/>
    <w:rsid w:val="007856A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856AB"/>
    <w:pPr>
      <w:framePr w:wrap="auto" w:hAnchor="text" w:y="6049"/>
    </w:pPr>
    <w:rPr>
      <w:color w:val="000000"/>
      <w:sz w:val="40"/>
    </w:rPr>
  </w:style>
  <w:style w:type="paragraph" w:customStyle="1" w:styleId="TOCTitle">
    <w:name w:val="TOCTitle"/>
    <w:basedOn w:val="Heading1"/>
    <w:rsid w:val="007856AB"/>
    <w:pPr>
      <w:spacing w:after="240"/>
      <w:jc w:val="center"/>
      <w:outlineLvl w:val="9"/>
    </w:pPr>
    <w:rPr>
      <w:caps/>
    </w:rPr>
  </w:style>
  <w:style w:type="paragraph" w:customStyle="1" w:styleId="Version">
    <w:name w:val="Version"/>
    <w:rsid w:val="007856A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856AB"/>
    <w:pPr>
      <w:numPr>
        <w:numId w:val="13"/>
      </w:numPr>
      <w:tabs>
        <w:tab w:val="clear" w:pos="680"/>
      </w:tabs>
    </w:pPr>
  </w:style>
  <w:style w:type="paragraph" w:styleId="Index1">
    <w:name w:val="index 1"/>
    <w:basedOn w:val="Normal"/>
    <w:next w:val="Normal"/>
    <w:semiHidden/>
    <w:rsid w:val="007856AB"/>
    <w:pPr>
      <w:keepNext w:val="0"/>
      <w:tabs>
        <w:tab w:val="right" w:pos="4176"/>
      </w:tabs>
      <w:ind w:left="198" w:hanging="198"/>
    </w:pPr>
    <w:rPr>
      <w:rFonts w:ascii="Garamond" w:hAnsi="Garamond"/>
    </w:rPr>
  </w:style>
  <w:style w:type="paragraph" w:styleId="IndexHeading">
    <w:name w:val="index heading"/>
    <w:basedOn w:val="Normal"/>
    <w:next w:val="Index1"/>
    <w:semiHidden/>
    <w:rsid w:val="007856AB"/>
    <w:pPr>
      <w:spacing w:before="120" w:after="120"/>
    </w:pPr>
    <w:rPr>
      <w:rFonts w:ascii="Arial" w:hAnsi="Arial"/>
      <w:b/>
      <w:color w:val="918585"/>
      <w:sz w:val="24"/>
    </w:rPr>
  </w:style>
  <w:style w:type="paragraph" w:customStyle="1" w:styleId="Chapter">
    <w:name w:val="Chapter"/>
    <w:basedOn w:val="Normal"/>
    <w:rsid w:val="007856AB"/>
    <w:pPr>
      <w:spacing w:before="240"/>
    </w:pPr>
    <w:rPr>
      <w:rFonts w:ascii="Times New Roman" w:hAnsi="Times New Roman"/>
      <w:smallCaps/>
      <w:spacing w:val="80"/>
      <w:sz w:val="28"/>
    </w:rPr>
  </w:style>
  <w:style w:type="paragraph" w:customStyle="1" w:styleId="InChapter">
    <w:name w:val="InChapter"/>
    <w:basedOn w:val="Heading3"/>
    <w:rsid w:val="007856AB"/>
    <w:pPr>
      <w:spacing w:after="240"/>
      <w:outlineLvl w:val="9"/>
    </w:pPr>
    <w:rPr>
      <w:noProof/>
    </w:rPr>
  </w:style>
  <w:style w:type="paragraph" w:styleId="Index2">
    <w:name w:val="index 2"/>
    <w:basedOn w:val="Normal"/>
    <w:next w:val="Normal"/>
    <w:semiHidden/>
    <w:rsid w:val="007856AB"/>
    <w:pPr>
      <w:tabs>
        <w:tab w:val="right" w:pos="4176"/>
      </w:tabs>
      <w:ind w:left="568" w:hanging="284"/>
    </w:pPr>
    <w:rPr>
      <w:rFonts w:ascii="Garamond" w:hAnsi="Garamond"/>
    </w:rPr>
  </w:style>
  <w:style w:type="paragraph" w:customStyle="1" w:styleId="Byline">
    <w:name w:val="Byline"/>
    <w:rsid w:val="007856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56AB"/>
    <w:pPr>
      <w:tabs>
        <w:tab w:val="clear" w:pos="3600"/>
        <w:tab w:val="clear" w:pos="3958"/>
      </w:tabs>
      <w:jc w:val="right"/>
    </w:pPr>
  </w:style>
  <w:style w:type="character" w:styleId="Emphasis">
    <w:name w:val="Emphasis"/>
    <w:basedOn w:val="DefaultParagraphFont"/>
    <w:qFormat/>
    <w:rsid w:val="007856AB"/>
    <w:rPr>
      <w:i/>
    </w:rPr>
  </w:style>
  <w:style w:type="paragraph" w:styleId="Caption">
    <w:name w:val="caption"/>
    <w:basedOn w:val="BodyText"/>
    <w:next w:val="Normal"/>
    <w:qFormat/>
    <w:rsid w:val="007856AB"/>
    <w:pPr>
      <w:framePr w:w="2268" w:hSpace="181" w:vSpace="181" w:wrap="around" w:vAnchor="text" w:hAnchor="page" w:x="1135" w:y="285" w:anchorLock="1"/>
    </w:pPr>
    <w:rPr>
      <w:i/>
    </w:rPr>
  </w:style>
  <w:style w:type="paragraph" w:customStyle="1" w:styleId="MiniTOCTitle">
    <w:name w:val="MiniTOCTitle"/>
    <w:basedOn w:val="Heading4"/>
    <w:rsid w:val="007856AB"/>
    <w:pPr>
      <w:spacing w:before="240"/>
      <w:outlineLvl w:val="9"/>
    </w:pPr>
    <w:rPr>
      <w:noProof/>
      <w:sz w:val="24"/>
    </w:rPr>
  </w:style>
  <w:style w:type="paragraph" w:customStyle="1" w:styleId="MiniTOCItem">
    <w:name w:val="MiniTOCItem"/>
    <w:basedOn w:val="ListBullet"/>
    <w:rsid w:val="007856AB"/>
    <w:pPr>
      <w:numPr>
        <w:numId w:val="0"/>
      </w:numPr>
      <w:tabs>
        <w:tab w:val="right" w:leader="dot" w:pos="6521"/>
      </w:tabs>
      <w:spacing w:before="0" w:after="0"/>
    </w:pPr>
  </w:style>
  <w:style w:type="paragraph" w:customStyle="1" w:styleId="TOFTitle">
    <w:name w:val="TOFTitle"/>
    <w:basedOn w:val="TOCTitle"/>
    <w:rsid w:val="007856AB"/>
  </w:style>
  <w:style w:type="paragraph" w:styleId="TableofFigures">
    <w:name w:val="table of figures"/>
    <w:basedOn w:val="Normal"/>
    <w:next w:val="Normal"/>
    <w:semiHidden/>
    <w:rsid w:val="007856AB"/>
    <w:pPr>
      <w:tabs>
        <w:tab w:val="right" w:leader="dot" w:pos="9072"/>
      </w:tabs>
      <w:ind w:left="970" w:hanging="403"/>
    </w:pPr>
    <w:rPr>
      <w:rFonts w:ascii="Times New Roman" w:hAnsi="Times New Roman"/>
      <w:b/>
    </w:rPr>
  </w:style>
  <w:style w:type="paragraph" w:styleId="ListNumber">
    <w:name w:val="List Number"/>
    <w:basedOn w:val="List"/>
    <w:rsid w:val="007856AB"/>
    <w:pPr>
      <w:numPr>
        <w:numId w:val="10"/>
      </w:numPr>
    </w:pPr>
  </w:style>
  <w:style w:type="character" w:customStyle="1" w:styleId="WingdingSymbols">
    <w:name w:val="Wingding Symbols"/>
    <w:rsid w:val="007856AB"/>
    <w:rPr>
      <w:rFonts w:ascii="Wingdings" w:hAnsi="Wingdings"/>
    </w:rPr>
  </w:style>
  <w:style w:type="paragraph" w:customStyle="1" w:styleId="TableHeading">
    <w:name w:val="Table Heading"/>
    <w:basedOn w:val="HeadingBase"/>
    <w:rsid w:val="007856AB"/>
    <w:pPr>
      <w:keepLines/>
      <w:pBdr>
        <w:bottom w:val="single" w:sz="6" w:space="1" w:color="918585"/>
      </w:pBdr>
      <w:spacing w:before="240"/>
    </w:pPr>
  </w:style>
  <w:style w:type="character" w:customStyle="1" w:styleId="HotSpot">
    <w:name w:val="HotSpot"/>
    <w:rsid w:val="007856AB"/>
    <w:rPr>
      <w:color w:val="0033CC"/>
      <w:u w:val="none"/>
    </w:rPr>
  </w:style>
  <w:style w:type="paragraph" w:customStyle="1" w:styleId="BodyTextRight">
    <w:name w:val="Body Text Right"/>
    <w:basedOn w:val="BodyText"/>
    <w:rsid w:val="007856AB"/>
    <w:pPr>
      <w:spacing w:before="0" w:after="0"/>
      <w:jc w:val="right"/>
    </w:pPr>
  </w:style>
  <w:style w:type="paragraph" w:styleId="Index3">
    <w:name w:val="index 3"/>
    <w:basedOn w:val="ListNumber2"/>
    <w:next w:val="Normal"/>
    <w:semiHidden/>
    <w:rsid w:val="007856AB"/>
    <w:pPr>
      <w:numPr>
        <w:numId w:val="0"/>
      </w:numPr>
      <w:tabs>
        <w:tab w:val="right" w:leader="dot" w:pos="4176"/>
      </w:tabs>
    </w:pPr>
  </w:style>
  <w:style w:type="paragraph" w:styleId="ListNumber2">
    <w:name w:val="List Number 2"/>
    <w:basedOn w:val="List2"/>
    <w:rsid w:val="007856AB"/>
    <w:pPr>
      <w:numPr>
        <w:numId w:val="9"/>
      </w:numPr>
      <w:tabs>
        <w:tab w:val="clear" w:pos="1060"/>
      </w:tabs>
    </w:pPr>
  </w:style>
  <w:style w:type="paragraph" w:customStyle="1" w:styleId="MarginNote">
    <w:name w:val="Margin Note"/>
    <w:basedOn w:val="BodyText"/>
    <w:rsid w:val="007856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56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56A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856AB"/>
    <w:rPr>
      <w:sz w:val="32"/>
    </w:rPr>
  </w:style>
  <w:style w:type="paragraph" w:customStyle="1" w:styleId="HeadingProcedure">
    <w:name w:val="Heading Procedure"/>
    <w:basedOn w:val="HeadingBase"/>
    <w:next w:val="Normal"/>
    <w:rsid w:val="007856AB"/>
    <w:pPr>
      <w:tabs>
        <w:tab w:val="left" w:pos="0"/>
      </w:tabs>
      <w:spacing w:before="120" w:after="60"/>
    </w:pPr>
    <w:rPr>
      <w:i/>
      <w:color w:val="918585"/>
      <w:sz w:val="22"/>
    </w:rPr>
  </w:style>
  <w:style w:type="paragraph" w:customStyle="1" w:styleId="TableBodyText">
    <w:name w:val="Table Body Text"/>
    <w:basedOn w:val="BodyText"/>
    <w:rsid w:val="007856AB"/>
    <w:pPr>
      <w:spacing w:before="60" w:after="60"/>
    </w:pPr>
  </w:style>
  <w:style w:type="paragraph" w:styleId="ListContinue">
    <w:name w:val="List Continue"/>
    <w:basedOn w:val="List"/>
    <w:rsid w:val="007856AB"/>
    <w:pPr>
      <w:ind w:firstLine="0"/>
    </w:pPr>
  </w:style>
  <w:style w:type="paragraph" w:customStyle="1" w:styleId="ListNote">
    <w:name w:val="List Note"/>
    <w:basedOn w:val="List"/>
    <w:rsid w:val="007856AB"/>
    <w:pPr>
      <w:pBdr>
        <w:top w:val="single" w:sz="6" w:space="2" w:color="918585"/>
        <w:bottom w:val="single" w:sz="6" w:space="2" w:color="918585"/>
      </w:pBdr>
      <w:tabs>
        <w:tab w:val="left" w:pos="1021"/>
      </w:tabs>
      <w:ind w:firstLine="0"/>
    </w:pPr>
  </w:style>
  <w:style w:type="paragraph" w:customStyle="1" w:styleId="Warning">
    <w:name w:val="Warning"/>
    <w:basedOn w:val="BodyText"/>
    <w:rsid w:val="007856AB"/>
    <w:pPr>
      <w:shd w:val="clear" w:color="auto" w:fill="D9D9D9"/>
      <w:tabs>
        <w:tab w:val="left" w:pos="992"/>
      </w:tabs>
      <w:ind w:left="119" w:right="119"/>
    </w:pPr>
    <w:rPr>
      <w:sz w:val="20"/>
    </w:rPr>
  </w:style>
  <w:style w:type="paragraph" w:customStyle="1" w:styleId="MarginIcons">
    <w:name w:val="Margin Icons"/>
    <w:basedOn w:val="BodyText"/>
    <w:rsid w:val="007856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56AB"/>
    <w:rPr>
      <w:rFonts w:ascii="Courier New" w:hAnsi="Courier New"/>
    </w:rPr>
  </w:style>
  <w:style w:type="paragraph" w:customStyle="1" w:styleId="NoteBullet">
    <w:name w:val="Note Bullet"/>
    <w:basedOn w:val="Note"/>
    <w:rsid w:val="007856AB"/>
    <w:pPr>
      <w:tabs>
        <w:tab w:val="clear" w:pos="680"/>
      </w:tabs>
      <w:spacing w:before="60" w:after="60"/>
    </w:pPr>
  </w:style>
  <w:style w:type="paragraph" w:customStyle="1" w:styleId="SubHeading2">
    <w:name w:val="SubHeading2"/>
    <w:basedOn w:val="HeadingBase"/>
    <w:rsid w:val="007856AB"/>
    <w:pPr>
      <w:spacing w:before="240" w:after="60"/>
    </w:pPr>
    <w:rPr>
      <w:sz w:val="20"/>
    </w:rPr>
  </w:style>
  <w:style w:type="paragraph" w:customStyle="1" w:styleId="SubHeading1">
    <w:name w:val="SubHeading1"/>
    <w:basedOn w:val="HeadingBase"/>
    <w:rsid w:val="007856AB"/>
    <w:pPr>
      <w:spacing w:before="240" w:after="60"/>
    </w:pPr>
    <w:rPr>
      <w:color w:val="918585"/>
      <w:sz w:val="22"/>
    </w:rPr>
  </w:style>
  <w:style w:type="paragraph" w:customStyle="1" w:styleId="SideHeading">
    <w:name w:val="Side Heading"/>
    <w:basedOn w:val="HeadingBase"/>
    <w:rsid w:val="007856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56AB"/>
    <w:pPr>
      <w:tabs>
        <w:tab w:val="num" w:pos="360"/>
      </w:tabs>
    </w:pPr>
  </w:style>
  <w:style w:type="paragraph" w:styleId="PlainText">
    <w:name w:val="Plain Text"/>
    <w:basedOn w:val="Normal"/>
    <w:link w:val="PlainTextChar"/>
    <w:rsid w:val="007856AB"/>
    <w:rPr>
      <w:sz w:val="20"/>
    </w:rPr>
  </w:style>
  <w:style w:type="character" w:customStyle="1" w:styleId="PlainTextChar">
    <w:name w:val="Plain Text Char"/>
    <w:basedOn w:val="DefaultParagraphFont"/>
    <w:link w:val="PlainText"/>
    <w:rsid w:val="007856A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856AB"/>
    <w:rPr>
      <w:b/>
      <w:smallCaps/>
    </w:rPr>
  </w:style>
  <w:style w:type="paragraph" w:customStyle="1" w:styleId="TableListNumber">
    <w:name w:val="Table List Number"/>
    <w:basedOn w:val="ListNumber"/>
    <w:rsid w:val="007856AB"/>
    <w:pPr>
      <w:numPr>
        <w:numId w:val="0"/>
      </w:numPr>
    </w:pPr>
  </w:style>
  <w:style w:type="paragraph" w:styleId="TOC4">
    <w:name w:val="toc 4"/>
    <w:basedOn w:val="TOCBase"/>
    <w:next w:val="Normal"/>
    <w:semiHidden/>
    <w:rsid w:val="007856AB"/>
    <w:pPr>
      <w:tabs>
        <w:tab w:val="right" w:leader="dot" w:pos="9071"/>
      </w:tabs>
      <w:ind w:left="1701"/>
    </w:pPr>
  </w:style>
  <w:style w:type="paragraph" w:customStyle="1" w:styleId="ListAlpha">
    <w:name w:val="List Alpha"/>
    <w:basedOn w:val="List"/>
    <w:rsid w:val="007856AB"/>
    <w:pPr>
      <w:numPr>
        <w:numId w:val="8"/>
      </w:numPr>
    </w:pPr>
  </w:style>
  <w:style w:type="paragraph" w:customStyle="1" w:styleId="ListAlpha2">
    <w:name w:val="List Alpha 2"/>
    <w:basedOn w:val="List2"/>
    <w:rsid w:val="007856AB"/>
    <w:pPr>
      <w:numPr>
        <w:numId w:val="7"/>
      </w:numPr>
    </w:pPr>
  </w:style>
  <w:style w:type="paragraph" w:styleId="List2">
    <w:name w:val="List 2"/>
    <w:basedOn w:val="BodyText"/>
    <w:rsid w:val="007856AB"/>
    <w:pPr>
      <w:tabs>
        <w:tab w:val="left" w:pos="680"/>
      </w:tabs>
      <w:spacing w:before="60" w:after="60"/>
      <w:ind w:left="680" w:hanging="340"/>
    </w:pPr>
  </w:style>
  <w:style w:type="paragraph" w:styleId="List3">
    <w:name w:val="List 3"/>
    <w:basedOn w:val="BodyText"/>
    <w:rsid w:val="007856AB"/>
    <w:pPr>
      <w:tabs>
        <w:tab w:val="left" w:pos="1021"/>
      </w:tabs>
      <w:spacing w:before="60" w:after="60"/>
      <w:ind w:left="1020" w:hanging="340"/>
    </w:pPr>
  </w:style>
  <w:style w:type="paragraph" w:styleId="List4">
    <w:name w:val="List 4"/>
    <w:basedOn w:val="BodyText"/>
    <w:rsid w:val="007856AB"/>
    <w:pPr>
      <w:tabs>
        <w:tab w:val="left" w:pos="1361"/>
      </w:tabs>
      <w:spacing w:before="60" w:after="60"/>
      <w:ind w:left="1361" w:hanging="340"/>
    </w:pPr>
  </w:style>
  <w:style w:type="paragraph" w:styleId="List5">
    <w:name w:val="List 5"/>
    <w:basedOn w:val="BodyText"/>
    <w:rsid w:val="007856AB"/>
    <w:pPr>
      <w:tabs>
        <w:tab w:val="left" w:pos="1701"/>
      </w:tabs>
      <w:spacing w:before="60" w:after="60"/>
      <w:ind w:left="1701" w:hanging="340"/>
    </w:pPr>
  </w:style>
  <w:style w:type="paragraph" w:styleId="ListBullet3">
    <w:name w:val="List Bullet 3"/>
    <w:basedOn w:val="List3"/>
    <w:rsid w:val="007856AB"/>
    <w:pPr>
      <w:numPr>
        <w:numId w:val="14"/>
      </w:numPr>
      <w:tabs>
        <w:tab w:val="clear" w:pos="1021"/>
      </w:tabs>
      <w:ind w:left="1037" w:hanging="357"/>
    </w:pPr>
  </w:style>
  <w:style w:type="paragraph" w:styleId="ListBullet4">
    <w:name w:val="List Bullet 4"/>
    <w:basedOn w:val="List4"/>
    <w:rsid w:val="007856AB"/>
    <w:pPr>
      <w:numPr>
        <w:numId w:val="2"/>
      </w:numPr>
    </w:pPr>
  </w:style>
  <w:style w:type="paragraph" w:styleId="ListBullet5">
    <w:name w:val="List Bullet 5"/>
    <w:basedOn w:val="List5"/>
    <w:rsid w:val="007856AB"/>
    <w:pPr>
      <w:numPr>
        <w:numId w:val="3"/>
      </w:numPr>
    </w:pPr>
  </w:style>
  <w:style w:type="paragraph" w:styleId="ListContinue2">
    <w:name w:val="List Continue 2"/>
    <w:basedOn w:val="List2"/>
    <w:rsid w:val="007856AB"/>
    <w:pPr>
      <w:ind w:firstLine="0"/>
    </w:pPr>
  </w:style>
  <w:style w:type="paragraph" w:styleId="ListContinue3">
    <w:name w:val="List Continue 3"/>
    <w:basedOn w:val="List3"/>
    <w:rsid w:val="007856AB"/>
    <w:pPr>
      <w:ind w:left="1021" w:firstLine="0"/>
    </w:pPr>
  </w:style>
  <w:style w:type="paragraph" w:styleId="ListContinue4">
    <w:name w:val="List Continue 4"/>
    <w:basedOn w:val="List4"/>
    <w:rsid w:val="007856AB"/>
    <w:pPr>
      <w:ind w:firstLine="0"/>
    </w:pPr>
  </w:style>
  <w:style w:type="paragraph" w:styleId="ListContinue5">
    <w:name w:val="List Continue 5"/>
    <w:basedOn w:val="List5"/>
    <w:rsid w:val="007856AB"/>
    <w:pPr>
      <w:ind w:firstLine="0"/>
    </w:pPr>
  </w:style>
  <w:style w:type="paragraph" w:styleId="ListNumber3">
    <w:name w:val="List Number 3"/>
    <w:basedOn w:val="List3"/>
    <w:rsid w:val="007856AB"/>
    <w:pPr>
      <w:numPr>
        <w:numId w:val="4"/>
      </w:numPr>
    </w:pPr>
  </w:style>
  <w:style w:type="paragraph" w:styleId="ListNumber4">
    <w:name w:val="List Number 4"/>
    <w:basedOn w:val="List4"/>
    <w:rsid w:val="007856AB"/>
    <w:pPr>
      <w:numPr>
        <w:numId w:val="5"/>
      </w:numPr>
    </w:pPr>
  </w:style>
  <w:style w:type="paragraph" w:styleId="ListNumber5">
    <w:name w:val="List Number 5"/>
    <w:basedOn w:val="List5"/>
    <w:rsid w:val="007856AB"/>
    <w:pPr>
      <w:numPr>
        <w:numId w:val="6"/>
      </w:numPr>
    </w:pPr>
  </w:style>
  <w:style w:type="paragraph" w:styleId="BlockText">
    <w:name w:val="Block Text"/>
    <w:basedOn w:val="Normal"/>
    <w:rsid w:val="007856AB"/>
    <w:pPr>
      <w:spacing w:after="120"/>
      <w:ind w:left="1440" w:right="1440"/>
    </w:pPr>
  </w:style>
  <w:style w:type="character" w:customStyle="1" w:styleId="Subscript">
    <w:name w:val="Subscript"/>
    <w:basedOn w:val="DefaultParagraphFont"/>
    <w:rsid w:val="007856AB"/>
    <w:rPr>
      <w:sz w:val="16"/>
      <w:vertAlign w:val="subscript"/>
    </w:rPr>
  </w:style>
  <w:style w:type="character" w:customStyle="1" w:styleId="Superscript">
    <w:name w:val="Superscript"/>
    <w:basedOn w:val="DefaultParagraphFont"/>
    <w:rsid w:val="007856AB"/>
    <w:rPr>
      <w:sz w:val="16"/>
      <w:vertAlign w:val="superscript"/>
    </w:rPr>
  </w:style>
  <w:style w:type="character" w:customStyle="1" w:styleId="Symbols">
    <w:name w:val="Symbols"/>
    <w:basedOn w:val="DefaultParagraphFont"/>
    <w:rsid w:val="007856AB"/>
    <w:rPr>
      <w:rFonts w:ascii="Symbol" w:hAnsi="Symbol"/>
    </w:rPr>
  </w:style>
  <w:style w:type="character" w:customStyle="1" w:styleId="MenuOptions">
    <w:name w:val="Menu Options"/>
    <w:basedOn w:val="DefaultParagraphFont"/>
    <w:rsid w:val="007856AB"/>
    <w:rPr>
      <w:rFonts w:ascii="Arial Narrow" w:hAnsi="Arial Narrow"/>
      <w:smallCaps/>
    </w:rPr>
  </w:style>
  <w:style w:type="character" w:customStyle="1" w:styleId="Buttons">
    <w:name w:val="Buttons"/>
    <w:basedOn w:val="DefaultParagraphFont"/>
    <w:rsid w:val="007856AB"/>
    <w:rPr>
      <w:b/>
    </w:rPr>
  </w:style>
  <w:style w:type="character" w:customStyle="1" w:styleId="Underlined">
    <w:name w:val="Underlined"/>
    <w:basedOn w:val="DefaultParagraphFont"/>
    <w:rsid w:val="007856AB"/>
    <w:rPr>
      <w:u w:val="single"/>
    </w:rPr>
  </w:style>
  <w:style w:type="paragraph" w:customStyle="1" w:styleId="TableBodyTextRight">
    <w:name w:val="Table Body Text Right"/>
    <w:basedOn w:val="TableBodyText"/>
    <w:rsid w:val="007856AB"/>
    <w:pPr>
      <w:widowControl w:val="0"/>
      <w:autoSpaceDE w:val="0"/>
      <w:autoSpaceDN w:val="0"/>
      <w:adjustRightInd w:val="0"/>
      <w:jc w:val="right"/>
    </w:pPr>
    <w:rPr>
      <w:rFonts w:cs="Arial"/>
      <w:szCs w:val="18"/>
    </w:rPr>
  </w:style>
  <w:style w:type="paragraph" w:customStyle="1" w:styleId="CopyrightText">
    <w:name w:val="Copyright Text"/>
    <w:basedOn w:val="BodyText"/>
    <w:rsid w:val="007856AB"/>
    <w:rPr>
      <w:sz w:val="18"/>
    </w:rPr>
  </w:style>
  <w:style w:type="paragraph" w:customStyle="1" w:styleId="BodySmallRight">
    <w:name w:val="Body Small Right"/>
    <w:basedOn w:val="BodyTextRight"/>
    <w:rsid w:val="007856AB"/>
    <w:rPr>
      <w:sz w:val="18"/>
      <w:szCs w:val="18"/>
    </w:rPr>
  </w:style>
  <w:style w:type="paragraph" w:customStyle="1" w:styleId="MarginEdition">
    <w:name w:val="Margin Edition"/>
    <w:basedOn w:val="MarginNote"/>
    <w:rsid w:val="007856AB"/>
    <w:pPr>
      <w:spacing w:before="0" w:after="0"/>
    </w:pPr>
    <w:rPr>
      <w:rFonts w:ascii="Times New Roman" w:hAnsi="Times New Roman"/>
      <w:color w:val="999999"/>
    </w:rPr>
  </w:style>
  <w:style w:type="paragraph" w:customStyle="1" w:styleId="Spacer">
    <w:name w:val="Spacer"/>
    <w:basedOn w:val="Normal"/>
    <w:rsid w:val="007856AB"/>
    <w:rPr>
      <w:sz w:val="2"/>
      <w:szCs w:val="2"/>
    </w:rPr>
  </w:style>
  <w:style w:type="character" w:customStyle="1" w:styleId="Small">
    <w:name w:val="Small"/>
    <w:basedOn w:val="DefaultParagraphFont"/>
    <w:rsid w:val="007856AB"/>
    <w:rPr>
      <w:sz w:val="16"/>
    </w:rPr>
  </w:style>
  <w:style w:type="paragraph" w:customStyle="1" w:styleId="WideTable">
    <w:name w:val="Wide Table"/>
    <w:basedOn w:val="Normal"/>
    <w:rsid w:val="007856AB"/>
    <w:pPr>
      <w:ind w:left="-1418"/>
    </w:pPr>
    <w:rPr>
      <w:sz w:val="2"/>
      <w:szCs w:val="2"/>
    </w:rPr>
  </w:style>
  <w:style w:type="character" w:styleId="PageNumber">
    <w:name w:val="page number"/>
    <w:basedOn w:val="DefaultParagraphFont"/>
    <w:rsid w:val="007856AB"/>
  </w:style>
  <w:style w:type="paragraph" w:styleId="Quote">
    <w:name w:val="Quote"/>
    <w:basedOn w:val="Heading1"/>
    <w:link w:val="QuoteChar"/>
    <w:qFormat/>
    <w:rsid w:val="007856AB"/>
    <w:rPr>
      <w:b w:val="0"/>
      <w:sz w:val="72"/>
      <w:szCs w:val="72"/>
      <w:lang w:val="en-NZ"/>
    </w:rPr>
  </w:style>
  <w:style w:type="character" w:customStyle="1" w:styleId="QuoteChar">
    <w:name w:val="Quote Char"/>
    <w:basedOn w:val="DefaultParagraphFont"/>
    <w:link w:val="Quote"/>
    <w:rsid w:val="007856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56AB"/>
    <w:pPr>
      <w:pageBreakBefore/>
    </w:pPr>
  </w:style>
  <w:style w:type="paragraph" w:customStyle="1" w:styleId="Border">
    <w:name w:val="Border"/>
    <w:basedOn w:val="Normal"/>
    <w:qFormat/>
    <w:rsid w:val="007856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56AB"/>
    <w:rPr>
      <w:b/>
      <w:bCs/>
      <w:i/>
      <w:iCs/>
      <w:color w:val="auto"/>
    </w:rPr>
  </w:style>
  <w:style w:type="paragraph" w:styleId="IntenseQuote">
    <w:name w:val="Intense Quote"/>
    <w:basedOn w:val="Normal"/>
    <w:next w:val="Normal"/>
    <w:link w:val="IntenseQuoteChar"/>
    <w:uiPriority w:val="30"/>
    <w:qFormat/>
    <w:rsid w:val="007856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56A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856AB"/>
    <w:rPr>
      <w:smallCaps/>
      <w:color w:val="auto"/>
      <w:u w:val="single"/>
    </w:rPr>
  </w:style>
  <w:style w:type="character" w:styleId="IntenseReference">
    <w:name w:val="Intense Reference"/>
    <w:basedOn w:val="DefaultParagraphFont"/>
    <w:uiPriority w:val="32"/>
    <w:qFormat/>
    <w:rsid w:val="007856AB"/>
    <w:rPr>
      <w:b/>
      <w:bCs/>
      <w:smallCaps/>
      <w:color w:val="auto"/>
      <w:spacing w:val="5"/>
      <w:u w:val="single"/>
    </w:rPr>
  </w:style>
  <w:style w:type="paragraph" w:customStyle="1" w:styleId="2ColumnHeading">
    <w:name w:val="2Column Heading"/>
    <w:basedOn w:val="BodyText"/>
    <w:qFormat/>
    <w:rsid w:val="007856AB"/>
    <w:pPr>
      <w:spacing w:after="60"/>
      <w:ind w:left="-2268"/>
    </w:pPr>
    <w:rPr>
      <w:b/>
    </w:rPr>
  </w:style>
  <w:style w:type="paragraph" w:customStyle="1" w:styleId="Heading1TOC">
    <w:name w:val="Heading1 TOC"/>
    <w:basedOn w:val="Normal"/>
    <w:qFormat/>
    <w:rsid w:val="007856AB"/>
    <w:pPr>
      <w:spacing w:before="240" w:after="120"/>
    </w:pPr>
    <w:rPr>
      <w:rFonts w:ascii="Times New Roman" w:hAnsi="Times New Roman"/>
      <w:b/>
      <w:sz w:val="32"/>
    </w:rPr>
  </w:style>
  <w:style w:type="paragraph" w:customStyle="1" w:styleId="Heading2TOC">
    <w:name w:val="Heading2 TOC"/>
    <w:basedOn w:val="Normal"/>
    <w:qFormat/>
    <w:rsid w:val="007856AB"/>
    <w:pPr>
      <w:spacing w:before="240" w:after="60"/>
    </w:pPr>
    <w:rPr>
      <w:rFonts w:ascii="Times New Roman" w:hAnsi="Times New Roman"/>
      <w:b/>
      <w:sz w:val="28"/>
    </w:rPr>
  </w:style>
  <w:style w:type="character" w:customStyle="1" w:styleId="Underline">
    <w:name w:val="Underline"/>
    <w:basedOn w:val="DefaultParagraphFont"/>
    <w:qFormat/>
    <w:rsid w:val="007856AB"/>
    <w:rPr>
      <w:u w:val="single"/>
    </w:rPr>
  </w:style>
  <w:style w:type="character" w:customStyle="1" w:styleId="BoldandItalics">
    <w:name w:val="Bold and Italics"/>
    <w:qFormat/>
    <w:rsid w:val="007856AB"/>
    <w:rPr>
      <w:b/>
      <w:i/>
      <w:u w:val="none"/>
    </w:rPr>
  </w:style>
  <w:style w:type="paragraph" w:styleId="BalloonText">
    <w:name w:val="Balloon Text"/>
    <w:basedOn w:val="Normal"/>
    <w:link w:val="BalloonTextChar"/>
    <w:rsid w:val="007856AB"/>
    <w:rPr>
      <w:rFonts w:ascii="Tahoma" w:hAnsi="Tahoma" w:cs="Tahoma"/>
      <w:sz w:val="16"/>
      <w:szCs w:val="16"/>
    </w:rPr>
  </w:style>
  <w:style w:type="character" w:customStyle="1" w:styleId="BalloonTextChar">
    <w:name w:val="Balloon Text Char"/>
    <w:basedOn w:val="DefaultParagraphFont"/>
    <w:link w:val="BalloonText"/>
    <w:rsid w:val="007856A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856A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856A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1464</Words>
  <Characters>9086</Characters>
  <Application>Microsoft Office Word</Application>
  <DocSecurity>0</DocSecurity>
  <Lines>358</Lines>
  <Paragraphs>197</Paragraphs>
  <ScaleCrop>false</ScaleCrop>
  <Company>Author-it Software Corporation Ltd.</Company>
  <LinksUpToDate>false</LinksUpToDate>
  <CharactersWithSpaces>10438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MEM26016A Select and use joining techniques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2012-05-27T02:13:00Z</dcterms:created>
  <dcterms:modified xsi:type="dcterms:W3CDTF">2012-05-27T02:13:00Z</dcterms:modified>
</cp:coreProperties>
</file>