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0E21" w:rsidP="00090E21">
      <w:pPr>
        <w:pStyle w:val="Title"/>
      </w:pPr>
      <w:r>
        <w:fldChar w:fldCharType="begin"/>
      </w:r>
      <w:r>
        <w:instrText xml:space="preserve"> TITLE   \* MERGEFORMAT </w:instrText>
      </w:r>
      <w:r>
        <w:fldChar w:fldCharType="separate"/>
      </w:r>
      <w:r>
        <w:t>MEM26010A Store and handle composite materials</w:t>
      </w:r>
      <w:r>
        <w:fldChar w:fldCharType="end"/>
      </w:r>
    </w:p>
    <w:p w:rsidR="00090E21" w:rsidP="00090E21">
      <w:pPr>
        <w:pStyle w:val="Version"/>
        <w:sectPr w:rsidSect="00F044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4477" w:rsidP="00F04477">
      <w:pPr>
        <w:pStyle w:val="SuperHeading"/>
      </w:pPr>
      <w:r w:rsidRPr="00F04477">
        <w:t>MEM26010A Store and handle composite materials</w:t>
      </w:r>
    </w:p>
    <w:p w:rsidR="00000000" w:rsidRPr="00F04477" w:rsidP="00F04477">
      <w:pPr>
        <w:pStyle w:val="Heading1"/>
      </w:pPr>
      <w:bookmarkStart w:id="1" w:name="O_441547"/>
      <w:bookmarkEnd w:id="1"/>
      <w:r w:rsidRPr="00F04477">
        <w:t>Modification History</w:t>
      </w:r>
    </w:p>
    <w:tbl>
      <w:tblPr>
        <w:tblW w:w="0" w:type="auto"/>
        <w:tblLayout w:type="fixed"/>
        <w:tblCellMar>
          <w:left w:w="62" w:type="dxa"/>
          <w:right w:w="62" w:type="dxa"/>
        </w:tblCellMar>
        <w:tblLook w:val="0000"/>
      </w:tblPr>
      <w:tblGrid>
        <w:gridCol w:w="1192"/>
        <w:gridCol w:w="7878"/>
      </w:tblGrid>
      <w:tr w:rsidTr="00F04477">
        <w:tblPrEx>
          <w:tblW w:w="0" w:type="auto"/>
          <w:tblLayout w:type="fixed"/>
          <w:tblCellMar>
            <w:left w:w="62" w:type="dxa"/>
            <w:right w:w="62" w:type="dxa"/>
          </w:tblCellMar>
          <w:tblLook w:val="0000"/>
        </w:tblPrEx>
        <w:tc>
          <w:tcPr>
            <w:tcW w:w="1192"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Release 1</w:t>
            </w:r>
          </w:p>
        </w:tc>
        <w:tc>
          <w:tcPr>
            <w:tcW w:w="7878" w:type="dxa"/>
            <w:tcBorders>
              <w:top w:val="nil"/>
              <w:left w:val="nil"/>
              <w:bottom w:val="nil"/>
              <w:right w:val="nil"/>
            </w:tcBorders>
            <w:tcMar>
              <w:top w:w="0" w:type="dxa"/>
              <w:left w:w="62" w:type="dxa"/>
              <w:bottom w:w="0" w:type="dxa"/>
              <w:right w:w="62" w:type="dxa"/>
            </w:tcMar>
          </w:tcPr>
          <w:p w:rsidR="00000000" w:rsidRPr="00F04477" w:rsidP="00F04477">
            <w:pPr>
              <w:pStyle w:val="BodyText"/>
            </w:pPr>
            <w:r w:rsidRPr="00F04477">
              <w:t>New unit</w:t>
            </w:r>
          </w:p>
        </w:tc>
      </w:tr>
    </w:tbl>
    <w:p w:rsidR="00000000" w:rsidRPr="00F04477" w:rsidP="00F04477">
      <w:pPr>
        <w:pStyle w:val="BodyText"/>
      </w:pPr>
    </w:p>
    <w:p w:rsidR="00000000" w:rsidRPr="00F04477" w:rsidP="00F04477">
      <w:pPr>
        <w:pStyle w:val="AllowPageBreak"/>
      </w:pPr>
    </w:p>
    <w:p w:rsidR="00000000" w:rsidRPr="00F04477" w:rsidP="00F04477">
      <w:pPr>
        <w:pStyle w:val="Heading1"/>
      </w:pPr>
      <w:bookmarkStart w:id="2" w:name="O_441548"/>
      <w:bookmarkEnd w:id="2"/>
      <w:r w:rsidRPr="00F04477">
        <w:t>Unit Descriptor</w:t>
      </w:r>
    </w:p>
    <w:p w:rsidR="00000000" w:rsidRPr="00F04477" w:rsidP="00F04477">
      <w:pPr>
        <w:pStyle w:val="BodyText"/>
      </w:pPr>
      <w:r w:rsidRPr="00F04477">
        <w:t>This unit of competency covers the skills and knowledge required to recognise hazards, shelf life, commercial and other issues controlling appropriate storage and handling of materials used to make composites and storing and handling materials in accordanc</w:t>
      </w:r>
      <w:r w:rsidRPr="00F04477">
        <w:t>e with work procedures.</w:t>
      </w:r>
    </w:p>
    <w:p w:rsidR="00000000" w:rsidRPr="00F04477" w:rsidP="00F04477">
      <w:pPr>
        <w:pStyle w:val="AllowPageBreak"/>
      </w:pPr>
    </w:p>
    <w:p w:rsidR="00000000" w:rsidRPr="00F04477" w:rsidP="00F04477">
      <w:pPr>
        <w:pStyle w:val="Heading1"/>
      </w:pPr>
      <w:bookmarkStart w:id="3" w:name="O_441549"/>
      <w:bookmarkEnd w:id="3"/>
      <w:r w:rsidRPr="00F04477">
        <w:t>Application of the Unit</w:t>
      </w:r>
    </w:p>
    <w:p w:rsidR="00000000" w:rsidRPr="00F04477" w:rsidP="00F04477">
      <w:pPr>
        <w:pStyle w:val="BodyText"/>
      </w:pPr>
      <w:r w:rsidRPr="00F04477">
        <w:t>Storage of materials used to make composites is subject to a range of influences, including:</w:t>
      </w:r>
    </w:p>
    <w:p w:rsidR="00000000" w:rsidRPr="00F04477" w:rsidP="00F04477">
      <w:pPr>
        <w:pStyle w:val="ListBullet"/>
      </w:pPr>
      <w:r w:rsidRPr="00F04477">
        <w:t>chemical hazards (e.g. fire)</w:t>
      </w:r>
    </w:p>
    <w:p w:rsidR="00000000" w:rsidRPr="00F04477" w:rsidP="00F04477">
      <w:pPr>
        <w:pStyle w:val="ListBullet"/>
      </w:pPr>
      <w:r w:rsidRPr="00F04477">
        <w:t>physical hazards (e.g. manual handling)</w:t>
      </w:r>
    </w:p>
    <w:p w:rsidR="00000000" w:rsidRPr="00F04477" w:rsidP="00F04477">
      <w:pPr>
        <w:pStyle w:val="ListBullet"/>
      </w:pPr>
      <w:r w:rsidRPr="00F04477">
        <w:t xml:space="preserve">cost hazards (e.g. economic </w:t>
      </w:r>
      <w:r w:rsidRPr="00F04477">
        <w:t xml:space="preserve">purchasing quantity </w:t>
      </w:r>
      <w:r w:rsidRPr="00F04477">
        <w:rPr>
          <w:rStyle w:val="Emphasis"/>
        </w:rPr>
        <w:t>vs</w:t>
      </w:r>
      <w:r w:rsidRPr="00F04477">
        <w:t xml:space="preserve"> shelf life)</w:t>
      </w:r>
    </w:p>
    <w:p w:rsidR="00000000" w:rsidRPr="00F04477" w:rsidP="00F04477">
      <w:pPr>
        <w:pStyle w:val="ListBullet"/>
      </w:pPr>
      <w:r w:rsidRPr="00F04477">
        <w:t>efficiency hazards (e.g. having the material where you need it when you need it)</w:t>
      </w:r>
    </w:p>
    <w:p w:rsidR="00000000" w:rsidRPr="00F04477" w:rsidP="00F04477">
      <w:pPr>
        <w:pStyle w:val="BodyText"/>
      </w:pPr>
      <w:r w:rsidRPr="00F04477">
        <w:t>This unit covers the determining of appropriate storage and handling protocols and procedures as well as storing and handling materials in a</w:t>
      </w:r>
      <w:r w:rsidRPr="00F04477">
        <w:t>ccordance with these procedures.</w:t>
      </w:r>
    </w:p>
    <w:p w:rsidR="00000000" w:rsidRPr="00F04477" w:rsidP="00F04477">
      <w:pPr>
        <w:pStyle w:val="BodyText"/>
      </w:pPr>
      <w:r w:rsidRPr="00F04477">
        <w:t>Determining storage and handling requirements may typically be undertaken by an individual in liaison with relevant stakeholders or it may undertaken by a team. This decision making may be undertaken in an office environmen</w:t>
      </w:r>
      <w:r w:rsidRPr="00F04477">
        <w:t>t or at the worksite.</w:t>
      </w:r>
    </w:p>
    <w:p w:rsidR="00090E21" w:rsidP="00F04477">
      <w:pPr>
        <w:pStyle w:val="BodyText"/>
      </w:pPr>
      <w:r w:rsidRPr="00F04477">
        <w:t>Storing and handling of materials in accordance with the procedures should be followed by all relevant personnel.</w:t>
      </w:r>
    </w:p>
    <w:p w:rsidR="00090E21" w:rsidP="00F04477">
      <w:pPr>
        <w:pStyle w:val="BodyText"/>
      </w:pPr>
    </w:p>
    <w:p w:rsidR="00000000" w:rsidRPr="00F04477" w:rsidP="00F04477">
      <w:pPr>
        <w:pStyle w:val="Heading1"/>
      </w:pPr>
      <w:bookmarkStart w:id="4" w:name="O_441550"/>
      <w:bookmarkEnd w:id="4"/>
      <w:r w:rsidRPr="00F04477">
        <w:t>Licensing/Regulatory Information</w:t>
      </w:r>
    </w:p>
    <w:p w:rsidR="00000000" w:rsidRPr="00F04477" w:rsidP="00F04477">
      <w:pPr>
        <w:pStyle w:val="BodyText"/>
      </w:pPr>
      <w:r w:rsidRPr="00F04477">
        <w:t>Not applicable.</w:t>
      </w:r>
    </w:p>
    <w:p w:rsidR="00000000" w:rsidRPr="00F04477" w:rsidP="00F04477">
      <w:pPr>
        <w:pStyle w:val="AllowPageBreak"/>
      </w:pPr>
    </w:p>
    <w:p w:rsidR="00000000" w:rsidRPr="00F04477" w:rsidP="00F04477">
      <w:pPr>
        <w:pStyle w:val="Heading1"/>
      </w:pPr>
      <w:bookmarkStart w:id="5" w:name="O_441551"/>
      <w:bookmarkEnd w:id="5"/>
      <w:r w:rsidRPr="00F04477">
        <w:t>Pre-Requisites</w:t>
      </w:r>
    </w:p>
    <w:p w:rsidR="00000000" w:rsidRPr="00F04477" w:rsidP="00F04477">
      <w:pPr>
        <w:pStyle w:val="BodyText"/>
      </w:pPr>
      <w:r w:rsidRPr="00F04477">
        <w:t>Not applicable.</w:t>
      </w:r>
    </w:p>
    <w:p w:rsidR="00000000" w:rsidRPr="00F04477" w:rsidP="00F04477">
      <w:pPr>
        <w:pStyle w:val="AllowPageBreak"/>
      </w:pPr>
    </w:p>
    <w:p w:rsidR="00000000" w:rsidRPr="00F04477" w:rsidP="00F04477">
      <w:pPr>
        <w:pStyle w:val="Heading1"/>
      </w:pPr>
      <w:bookmarkStart w:id="6" w:name="O_441552"/>
      <w:bookmarkEnd w:id="6"/>
      <w:r w:rsidRPr="00F04477">
        <w:t>Employability Skills Information</w:t>
      </w:r>
    </w:p>
    <w:p w:rsidR="00000000" w:rsidRPr="00F04477" w:rsidP="00F04477">
      <w:pPr>
        <w:pStyle w:val="BodyText"/>
      </w:pPr>
      <w:r w:rsidRPr="00F04477">
        <w:t>This unit contains employability skills.</w:t>
      </w:r>
    </w:p>
    <w:p w:rsidR="00000000" w:rsidRPr="00F04477" w:rsidP="00F04477">
      <w:pPr>
        <w:pStyle w:val="AllowPageBreak"/>
      </w:pPr>
    </w:p>
    <w:p w:rsidR="00000000" w:rsidRPr="00F04477" w:rsidP="00F04477">
      <w:pPr>
        <w:pStyle w:val="Heading1"/>
      </w:pPr>
      <w:bookmarkStart w:id="7" w:name="O_441553"/>
      <w:bookmarkEnd w:id="7"/>
      <w:r w:rsidRPr="00F04477">
        <w:t>Elements and Performance Criteria Pre-Content</w:t>
      </w:r>
    </w:p>
    <w:tbl>
      <w:tblPr>
        <w:tblW w:w="0" w:type="auto"/>
        <w:tblLayout w:type="fixed"/>
        <w:tblCellMar>
          <w:left w:w="62" w:type="dxa"/>
          <w:right w:w="62" w:type="dxa"/>
        </w:tblCellMar>
        <w:tblLook w:val="0000"/>
      </w:tblPr>
      <w:tblGrid>
        <w:gridCol w:w="2640"/>
        <w:gridCol w:w="6380"/>
      </w:tblGrid>
      <w:tr w:rsidTr="00F0447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F04477" w:rsidP="00F04477">
            <w:pPr>
              <w:pStyle w:val="BodyText"/>
            </w:pPr>
            <w:r w:rsidRPr="00F04477">
              <w:t>Performance criteria describe the per</w:t>
            </w:r>
            <w:r w:rsidRPr="00F04477">
              <w:t>formance needed to demonstrate achievement of the element. Where bold italicised text is used, further information is detailed in the required skills and knowledge section and the range statement. Assessment of performance is to be consistent with the evid</w:t>
            </w:r>
            <w:r w:rsidRPr="00F04477">
              <w:t>ence guide.</w:t>
            </w:r>
          </w:p>
        </w:tc>
      </w:tr>
    </w:tbl>
    <w:p w:rsidR="00000000" w:rsidRPr="00F04477" w:rsidP="00F04477">
      <w:pPr>
        <w:pStyle w:val="BodyText"/>
      </w:pPr>
    </w:p>
    <w:p w:rsidR="00000000" w:rsidRPr="00F04477" w:rsidP="00F04477">
      <w:pPr>
        <w:pStyle w:val="AllowPageBreak"/>
      </w:pPr>
    </w:p>
    <w:p w:rsidR="00000000" w:rsidRPr="00F04477" w:rsidP="00F04477">
      <w:pPr>
        <w:pStyle w:val="Heading1"/>
      </w:pPr>
      <w:bookmarkStart w:id="8" w:name="O_441554"/>
      <w:bookmarkEnd w:id="8"/>
      <w:r w:rsidRPr="00F0447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0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1</w:t>
            </w:r>
          </w:p>
        </w:tc>
        <w:tc>
          <w:tcPr>
            <w:tcW w:w="1962" w:type="dxa"/>
            <w:vMerge w:val="restart"/>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Identify properties and characteristics of materials used</w:t>
            </w:r>
          </w:p>
        </w:tc>
        <w:tc>
          <w:tcPr>
            <w:tcW w:w="77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1.1</w:t>
            </w:r>
          </w:p>
        </w:tc>
        <w:tc>
          <w:tcPr>
            <w:tcW w:w="561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List all materials used on site</w:t>
            </w:r>
          </w:p>
        </w:tc>
      </w:tr>
      <w:tr w:rsidTr="00F0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1.2</w:t>
            </w:r>
          </w:p>
        </w:tc>
        <w:tc>
          <w:tcPr>
            <w:tcW w:w="561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Interpret material safety data sheet (MSDS) for each material</w:t>
            </w:r>
          </w:p>
        </w:tc>
      </w:tr>
      <w:tr w:rsidTr="00F0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1.3</w:t>
            </w:r>
          </w:p>
        </w:tc>
        <w:tc>
          <w:tcPr>
            <w:tcW w:w="561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Identify relevant manual handling issues</w:t>
            </w:r>
          </w:p>
        </w:tc>
      </w:tr>
      <w:tr w:rsidTr="00F0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1.4</w:t>
            </w:r>
          </w:p>
        </w:tc>
        <w:tc>
          <w:tcPr>
            <w:tcW w:w="561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Identify environmental hazards for each material</w:t>
            </w:r>
          </w:p>
        </w:tc>
      </w:tr>
      <w:tr w:rsidTr="00F0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1.5</w:t>
            </w:r>
          </w:p>
        </w:tc>
        <w:tc>
          <w:tcPr>
            <w:tcW w:w="561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Define the hazards for each material</w:t>
            </w:r>
          </w:p>
        </w:tc>
      </w:tr>
      <w:tr w:rsidTr="00F0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1.6</w:t>
            </w:r>
          </w:p>
        </w:tc>
        <w:tc>
          <w:tcPr>
            <w:tcW w:w="561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Categorise materials into groups based on their hazards</w:t>
            </w:r>
          </w:p>
        </w:tc>
      </w:tr>
      <w:tr w:rsidTr="00F0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1.7</w:t>
            </w:r>
          </w:p>
        </w:tc>
        <w:tc>
          <w:tcPr>
            <w:tcW w:w="5610" w:type="dxa"/>
            <w:tcBorders>
              <w:top w:val="nil"/>
              <w:left w:val="nil"/>
              <w:bottom w:val="nil"/>
              <w:right w:val="nil"/>
            </w:tcBorders>
            <w:tcMar>
              <w:top w:w="0" w:type="dxa"/>
              <w:left w:w="62" w:type="dxa"/>
              <w:bottom w:w="0" w:type="dxa"/>
              <w:right w:w="62" w:type="dxa"/>
            </w:tcMar>
          </w:tcPr>
          <w:p w:rsidR="00000000" w:rsidRPr="00F04477" w:rsidP="00F04477">
            <w:pPr>
              <w:pStyle w:val="BodyText"/>
            </w:pPr>
            <w:r w:rsidRPr="00F04477">
              <w:t>Determine appropriate hazard controls</w:t>
            </w:r>
          </w:p>
        </w:tc>
      </w:tr>
    </w:tbl>
    <w:p w:rsidR="00000000" w:rsidRPr="00F04477" w:rsidP="00F04477">
      <w:pPr>
        <w:pStyle w:val="BodyText"/>
      </w:pPr>
    </w:p>
    <w:tbl>
      <w:tblPr>
        <w:tblW w:w="0" w:type="auto"/>
        <w:tblLayout w:type="fixed"/>
        <w:tblCellMar>
          <w:left w:w="62" w:type="dxa"/>
          <w:right w:w="62" w:type="dxa"/>
        </w:tblCellMar>
        <w:tblLook w:val="0000"/>
      </w:tblPr>
      <w:tblGrid>
        <w:gridCol w:w="678"/>
        <w:gridCol w:w="1962"/>
        <w:gridCol w:w="770"/>
        <w:gridCol w:w="5610"/>
      </w:tblGrid>
      <w:tr w:rsidTr="00F0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2</w:t>
            </w:r>
          </w:p>
        </w:tc>
        <w:tc>
          <w:tcPr>
            <w:tcW w:w="1962" w:type="dxa"/>
            <w:vMerge w:val="restart"/>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Identify key factors effecting storage and handling</w:t>
            </w:r>
          </w:p>
        </w:tc>
        <w:tc>
          <w:tcPr>
            <w:tcW w:w="77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2.1</w:t>
            </w:r>
          </w:p>
        </w:tc>
        <w:tc>
          <w:tcPr>
            <w:tcW w:w="561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Identify requirements for dangerous goods licence</w:t>
            </w:r>
          </w:p>
        </w:tc>
      </w:tr>
      <w:tr w:rsidTr="00F0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2.2</w:t>
            </w:r>
          </w:p>
        </w:tc>
        <w:tc>
          <w:tcPr>
            <w:tcW w:w="561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Identify environmental regulation requirements</w:t>
            </w:r>
          </w:p>
        </w:tc>
      </w:tr>
      <w:tr w:rsidTr="00F0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2.3</w:t>
            </w:r>
          </w:p>
        </w:tc>
        <w:tc>
          <w:tcPr>
            <w:tcW w:w="561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Identify occupational health and safety (OHS) requirements</w:t>
            </w:r>
          </w:p>
        </w:tc>
      </w:tr>
      <w:tr w:rsidTr="00F0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2.4</w:t>
            </w:r>
          </w:p>
        </w:tc>
        <w:tc>
          <w:tcPr>
            <w:tcW w:w="561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Identify usage patterns and frequencies</w:t>
            </w:r>
          </w:p>
        </w:tc>
      </w:tr>
      <w:tr w:rsidTr="00F0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2.5</w:t>
            </w:r>
          </w:p>
        </w:tc>
        <w:tc>
          <w:tcPr>
            <w:tcW w:w="561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Identify cost sensitivity to volume purchased</w:t>
            </w:r>
          </w:p>
        </w:tc>
      </w:tr>
      <w:tr w:rsidTr="00F0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2.6</w:t>
            </w:r>
          </w:p>
        </w:tc>
        <w:tc>
          <w:tcPr>
            <w:tcW w:w="5610" w:type="dxa"/>
            <w:tcBorders>
              <w:top w:val="nil"/>
              <w:left w:val="nil"/>
              <w:bottom w:val="nil"/>
              <w:right w:val="nil"/>
            </w:tcBorders>
            <w:tcMar>
              <w:top w:w="0" w:type="dxa"/>
              <w:left w:w="62" w:type="dxa"/>
              <w:bottom w:w="0" w:type="dxa"/>
              <w:right w:w="62" w:type="dxa"/>
            </w:tcMar>
          </w:tcPr>
          <w:p w:rsidR="00000000" w:rsidRPr="00F04477" w:rsidP="00F04477">
            <w:pPr>
              <w:pStyle w:val="BodyText"/>
            </w:pPr>
            <w:r w:rsidRPr="00F04477">
              <w:t>Identify shelf life</w:t>
            </w:r>
          </w:p>
        </w:tc>
      </w:tr>
    </w:tbl>
    <w:p w:rsidR="00000000" w:rsidRPr="00F04477" w:rsidP="00F04477">
      <w:pPr>
        <w:pStyle w:val="BodyText"/>
      </w:pPr>
    </w:p>
    <w:tbl>
      <w:tblPr>
        <w:tblW w:w="0" w:type="auto"/>
        <w:tblLayout w:type="fixed"/>
        <w:tblCellMar>
          <w:left w:w="62" w:type="dxa"/>
          <w:right w:w="62" w:type="dxa"/>
        </w:tblCellMar>
        <w:tblLook w:val="0000"/>
      </w:tblPr>
      <w:tblGrid>
        <w:gridCol w:w="678"/>
        <w:gridCol w:w="1962"/>
        <w:gridCol w:w="770"/>
        <w:gridCol w:w="5610"/>
      </w:tblGrid>
      <w:tr w:rsidTr="00F0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3</w:t>
            </w:r>
          </w:p>
        </w:tc>
        <w:tc>
          <w:tcPr>
            <w:tcW w:w="1962" w:type="dxa"/>
            <w:vMerge w:val="restart"/>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Determine appropriate storage and handling protocols</w:t>
            </w:r>
          </w:p>
        </w:tc>
        <w:tc>
          <w:tcPr>
            <w:tcW w:w="77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3.1</w:t>
            </w:r>
          </w:p>
        </w:tc>
        <w:tc>
          <w:tcPr>
            <w:tcW w:w="561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Check manufacturer’s storage and handling recommendations/requirements</w:t>
            </w:r>
          </w:p>
        </w:tc>
      </w:tr>
      <w:tr w:rsidTr="00F0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3.2</w:t>
            </w:r>
          </w:p>
        </w:tc>
        <w:tc>
          <w:tcPr>
            <w:tcW w:w="561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Check MSDS</w:t>
            </w:r>
          </w:p>
        </w:tc>
      </w:tr>
      <w:tr w:rsidTr="00F0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3.3</w:t>
            </w:r>
          </w:p>
        </w:tc>
        <w:tc>
          <w:tcPr>
            <w:tcW w:w="561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 xml:space="preserve">Check dangerous goods/environment protection agency </w:t>
            </w:r>
            <w:r w:rsidRPr="00F04477">
              <w:t>(EPA)/OHS requirements</w:t>
            </w:r>
          </w:p>
        </w:tc>
      </w:tr>
      <w:tr w:rsidTr="00F0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3.4</w:t>
            </w:r>
          </w:p>
        </w:tc>
        <w:tc>
          <w:tcPr>
            <w:tcW w:w="561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Check company usage requirements</w:t>
            </w:r>
          </w:p>
        </w:tc>
      </w:tr>
      <w:tr w:rsidTr="00F0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3.5</w:t>
            </w:r>
          </w:p>
        </w:tc>
        <w:tc>
          <w:tcPr>
            <w:tcW w:w="561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Resolve conflicts between different requirements</w:t>
            </w:r>
          </w:p>
        </w:tc>
      </w:tr>
      <w:tr w:rsidTr="00F0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3.6</w:t>
            </w:r>
          </w:p>
        </w:tc>
        <w:tc>
          <w:tcPr>
            <w:tcW w:w="5610" w:type="dxa"/>
            <w:tcBorders>
              <w:top w:val="nil"/>
              <w:left w:val="nil"/>
              <w:bottom w:val="nil"/>
              <w:right w:val="nil"/>
            </w:tcBorders>
            <w:tcMar>
              <w:top w:w="0" w:type="dxa"/>
              <w:left w:w="62" w:type="dxa"/>
              <w:bottom w:w="0" w:type="dxa"/>
              <w:right w:w="62" w:type="dxa"/>
            </w:tcMar>
          </w:tcPr>
          <w:p w:rsidR="00000000" w:rsidRPr="00F04477" w:rsidP="00F04477">
            <w:pPr>
              <w:pStyle w:val="BodyText"/>
            </w:pPr>
            <w:r w:rsidRPr="00F04477">
              <w:t>Prepare storage and handling procedure for materials</w:t>
            </w:r>
          </w:p>
        </w:tc>
      </w:tr>
    </w:tbl>
    <w:p w:rsidR="00000000" w:rsidRPr="00F04477" w:rsidP="00F04477">
      <w:pPr>
        <w:pStyle w:val="BodyText"/>
      </w:pPr>
    </w:p>
    <w:tbl>
      <w:tblPr>
        <w:tblW w:w="0" w:type="auto"/>
        <w:tblLayout w:type="fixed"/>
        <w:tblCellMar>
          <w:left w:w="62" w:type="dxa"/>
          <w:right w:w="62" w:type="dxa"/>
        </w:tblCellMar>
        <w:tblLook w:val="0000"/>
      </w:tblPr>
      <w:tblGrid>
        <w:gridCol w:w="678"/>
        <w:gridCol w:w="1962"/>
        <w:gridCol w:w="770"/>
        <w:gridCol w:w="5610"/>
      </w:tblGrid>
      <w:tr w:rsidTr="00F0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4</w:t>
            </w:r>
          </w:p>
        </w:tc>
        <w:tc>
          <w:tcPr>
            <w:tcW w:w="1962" w:type="dxa"/>
            <w:vMerge w:val="restart"/>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Store and handle materials in accordance with protocols</w:t>
            </w:r>
          </w:p>
        </w:tc>
        <w:tc>
          <w:tcPr>
            <w:tcW w:w="77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4.1</w:t>
            </w:r>
          </w:p>
        </w:tc>
        <w:tc>
          <w:tcPr>
            <w:tcW w:w="561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Identify and control hazards</w:t>
            </w:r>
          </w:p>
        </w:tc>
      </w:tr>
      <w:tr w:rsidTr="00F0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4.2</w:t>
            </w:r>
          </w:p>
        </w:tc>
        <w:tc>
          <w:tcPr>
            <w:tcW w:w="561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Use required handling aids</w:t>
            </w:r>
          </w:p>
        </w:tc>
      </w:tr>
      <w:tr w:rsidTr="00F0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4.3</w:t>
            </w:r>
          </w:p>
        </w:tc>
        <w:tc>
          <w:tcPr>
            <w:tcW w:w="561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Move material in accordance with procedures</w:t>
            </w:r>
          </w:p>
        </w:tc>
      </w:tr>
      <w:tr w:rsidTr="00F0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4.4</w:t>
            </w:r>
          </w:p>
        </w:tc>
        <w:tc>
          <w:tcPr>
            <w:tcW w:w="561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Store materials in accordance with procedures</w:t>
            </w:r>
          </w:p>
        </w:tc>
      </w:tr>
      <w:tr w:rsidTr="00F0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4.5</w:t>
            </w:r>
          </w:p>
        </w:tc>
        <w:tc>
          <w:tcPr>
            <w:tcW w:w="561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Monitor storage and handling of materials</w:t>
            </w:r>
          </w:p>
        </w:tc>
      </w:tr>
      <w:tr w:rsidTr="00F04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4.6</w:t>
            </w:r>
          </w:p>
        </w:tc>
        <w:tc>
          <w:tcPr>
            <w:tcW w:w="5610" w:type="dxa"/>
            <w:tcBorders>
              <w:top w:val="nil"/>
              <w:left w:val="nil"/>
              <w:bottom w:val="nil"/>
              <w:right w:val="nil"/>
            </w:tcBorders>
            <w:tcMar>
              <w:top w:w="0" w:type="dxa"/>
              <w:left w:w="62" w:type="dxa"/>
              <w:bottom w:w="0" w:type="dxa"/>
              <w:right w:w="62" w:type="dxa"/>
            </w:tcMar>
          </w:tcPr>
          <w:p w:rsidR="00000000" w:rsidRPr="00F04477" w:rsidP="00F04477">
            <w:pPr>
              <w:pStyle w:val="BodyText"/>
            </w:pPr>
            <w:r w:rsidRPr="00F04477">
              <w:t>Take appropriate action</w:t>
            </w:r>
          </w:p>
        </w:tc>
      </w:tr>
    </w:tbl>
    <w:p w:rsidR="00090E21" w:rsidP="00F04477">
      <w:pPr>
        <w:pStyle w:val="BodyText"/>
      </w:pPr>
    </w:p>
    <w:p w:rsidR="00090E21" w:rsidP="00F04477">
      <w:pPr>
        <w:pStyle w:val="BodyText"/>
      </w:pPr>
    </w:p>
    <w:p w:rsidR="00000000" w:rsidRPr="00F04477" w:rsidP="00F04477">
      <w:pPr>
        <w:pStyle w:val="Heading1"/>
      </w:pPr>
      <w:bookmarkStart w:id="9" w:name="O_441555"/>
      <w:bookmarkEnd w:id="9"/>
      <w:r w:rsidRPr="00F04477">
        <w:t>Required Skills and Knowledge</w:t>
      </w:r>
    </w:p>
    <w:tbl>
      <w:tblPr>
        <w:tblW w:w="9462" w:type="dxa"/>
        <w:tblLayout w:type="fixed"/>
        <w:tblCellMar>
          <w:left w:w="62" w:type="dxa"/>
          <w:right w:w="62" w:type="dxa"/>
        </w:tblCellMar>
        <w:tblLook w:val="0000"/>
      </w:tblPr>
      <w:tblGrid>
        <w:gridCol w:w="9462"/>
      </w:tblGrid>
      <w:tr w:rsidTr="00F0447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t>This section describes the skills and knowledge required for this unit.</w:t>
            </w:r>
          </w:p>
        </w:tc>
      </w:tr>
      <w:tr w:rsidTr="00F0447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rPr>
                <w:rStyle w:val="SpecialBold"/>
              </w:rPr>
              <w:t>Required skills</w:t>
            </w:r>
          </w:p>
        </w:tc>
      </w:tr>
      <w:tr w:rsidTr="00F0447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04477" w:rsidP="00F04477">
            <w:pPr>
              <w:pStyle w:val="BodyText"/>
            </w:pPr>
            <w:r w:rsidRPr="00F04477">
              <w:t>Required skills include:</w:t>
            </w:r>
          </w:p>
          <w:p w:rsidR="00000000" w:rsidRPr="00F04477" w:rsidP="00F04477">
            <w:pPr>
              <w:pStyle w:val="ListBullet"/>
            </w:pPr>
            <w:r w:rsidRPr="00F04477">
              <w:t>manual handling</w:t>
            </w:r>
          </w:p>
          <w:p w:rsidR="00000000" w:rsidP="00F04477">
            <w:pPr>
              <w:pStyle w:val="ListBullet"/>
              <w:rPr>
                <w:lang w:val="en-NZ"/>
              </w:rPr>
            </w:pPr>
            <w:r w:rsidRPr="00F04477">
              <w:t>using mechanical handling devices</w:t>
            </w:r>
          </w:p>
        </w:tc>
      </w:tr>
      <w:tr w:rsidTr="00F0447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04477">
            <w:pPr>
              <w:pStyle w:val="BodyText"/>
              <w:rPr>
                <w:lang w:val="en-NZ"/>
              </w:rPr>
            </w:pPr>
            <w:r w:rsidRPr="00F04477">
              <w:rPr>
                <w:rStyle w:val="SpecialBold"/>
              </w:rPr>
              <w:t>Required knowledge</w:t>
            </w:r>
          </w:p>
        </w:tc>
      </w:tr>
      <w:tr w:rsidTr="00F0447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04477" w:rsidP="00F04477">
            <w:pPr>
              <w:pStyle w:val="BodyText"/>
            </w:pPr>
            <w:r w:rsidRPr="00F04477">
              <w:t>Required knowledge includes:</w:t>
            </w:r>
          </w:p>
          <w:p w:rsidR="00000000" w:rsidRPr="00F04477" w:rsidP="00F04477">
            <w:pPr>
              <w:pStyle w:val="ListBullet"/>
            </w:pPr>
            <w:r w:rsidRPr="00F04477">
              <w:t>MSDS and product data sheets</w:t>
            </w:r>
          </w:p>
          <w:p w:rsidR="00000000" w:rsidRPr="00F04477" w:rsidP="00F04477">
            <w:pPr>
              <w:pStyle w:val="ListBullet"/>
            </w:pPr>
            <w:r w:rsidRPr="00F04477">
              <w:t>material registers (e.g. set up hazardous goods register, maintain it and use it)</w:t>
            </w:r>
          </w:p>
          <w:p w:rsidR="00000000" w:rsidRPr="00F04477" w:rsidP="00F04477">
            <w:pPr>
              <w:pStyle w:val="ListBullet"/>
            </w:pPr>
            <w:r w:rsidRPr="00F04477">
              <w:t>personal protective equipment required (e.g. for reinforceme</w:t>
            </w:r>
            <w:r w:rsidRPr="00F04477">
              <w:t>nt, resins and catalyst/hardener)</w:t>
            </w:r>
          </w:p>
          <w:p w:rsidR="00000000" w:rsidRPr="00F04477" w:rsidP="00F04477">
            <w:pPr>
              <w:pStyle w:val="ListBullet"/>
            </w:pPr>
            <w:r w:rsidRPr="00F04477">
              <w:t>bunding</w:t>
            </w:r>
          </w:p>
          <w:p w:rsidR="00000000" w:rsidRPr="00F04477" w:rsidP="00F04477">
            <w:pPr>
              <w:pStyle w:val="ListBullet"/>
            </w:pPr>
            <w:r w:rsidRPr="00F04477">
              <w:t>ventilation</w:t>
            </w:r>
          </w:p>
          <w:p w:rsidR="00000000" w:rsidRPr="00F04477" w:rsidP="00F04477">
            <w:pPr>
              <w:pStyle w:val="ListBullet"/>
            </w:pPr>
            <w:r w:rsidRPr="00F04477">
              <w:t>handling and storage and impact on product</w:t>
            </w:r>
          </w:p>
          <w:p w:rsidR="00000000" w:rsidRPr="00F04477" w:rsidP="00F04477">
            <w:pPr>
              <w:pStyle w:val="ListBullet"/>
            </w:pPr>
            <w:r w:rsidRPr="00F04477">
              <w:t>contamination (e.g. from water)</w:t>
            </w:r>
          </w:p>
          <w:p w:rsidR="00000000" w:rsidRPr="00F04477" w:rsidP="00F04477">
            <w:pPr>
              <w:pStyle w:val="ListBullet"/>
            </w:pPr>
            <w:r w:rsidRPr="00F04477">
              <w:t>storage temperature (e.g. low temperature for catalyst)</w:t>
            </w:r>
          </w:p>
        </w:tc>
      </w:tr>
    </w:tbl>
    <w:p w:rsidR="00090E21" w:rsidP="00F04477">
      <w:pPr>
        <w:pStyle w:val="BodyText"/>
      </w:pPr>
    </w:p>
    <w:p w:rsidR="00090E21" w:rsidP="00F04477">
      <w:pPr>
        <w:pStyle w:val="BodyText"/>
      </w:pPr>
    </w:p>
    <w:p w:rsidR="00000000" w:rsidRPr="00F04477" w:rsidP="00F04477">
      <w:pPr>
        <w:pStyle w:val="Heading1"/>
      </w:pPr>
      <w:bookmarkStart w:id="10" w:name="O_441556"/>
      <w:bookmarkEnd w:id="10"/>
      <w:r w:rsidRPr="00F04477">
        <w:t>Evidence Guide</w:t>
      </w:r>
    </w:p>
    <w:tbl>
      <w:tblPr>
        <w:tblW w:w="9462" w:type="dxa"/>
        <w:tblLayout w:type="fixed"/>
        <w:tblCellMar>
          <w:left w:w="62" w:type="dxa"/>
          <w:right w:w="62" w:type="dxa"/>
        </w:tblCellMar>
        <w:tblLook w:val="0000"/>
      </w:tblPr>
      <w:tblGrid>
        <w:gridCol w:w="3800"/>
        <w:gridCol w:w="5662"/>
      </w:tblGrid>
      <w:tr w:rsidTr="00F04477">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F04477">
            <w:pPr>
              <w:pStyle w:val="BodyText"/>
              <w:rPr>
                <w:lang w:val="en-NZ"/>
              </w:rPr>
            </w:pPr>
            <w:r w:rsidRPr="00F04477">
              <w:t>The evidence guide provides advice on assessment and must be read in conjunction with the performance criteria, required skills and knowledge, range statement and the Assessment Guidelines for the Training Package.</w:t>
            </w:r>
          </w:p>
        </w:tc>
      </w:tr>
      <w:tr w:rsidTr="00F044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477">
            <w:pPr>
              <w:pStyle w:val="BodyText"/>
              <w:rPr>
                <w:lang w:val="en-NZ"/>
              </w:rPr>
            </w:pPr>
            <w:r w:rsidRPr="00F04477">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477" w:rsidP="00F04477">
            <w:pPr>
              <w:pStyle w:val="BodyText"/>
            </w:pPr>
            <w:r w:rsidRPr="00F04477">
              <w:t>It is essential that the process and equipment be understood and that the importance of critical material properties, settings and readings is known. Competence mu</w:t>
            </w:r>
            <w:r w:rsidRPr="00F04477">
              <w:t>st be demonstrated in the ability to recognise and analyse potential situations requiring action and then in implementing appropriate corrective action.</w:t>
            </w:r>
          </w:p>
          <w:p w:rsidR="00000000" w:rsidRPr="00F04477" w:rsidP="00F04477">
            <w:pPr>
              <w:pStyle w:val="BodyText"/>
            </w:pPr>
            <w:r w:rsidRPr="00F04477">
              <w:t>Consistent performance should be demonstrated. In particular look to see that:</w:t>
            </w:r>
          </w:p>
          <w:p w:rsidR="00000000" w:rsidRPr="00F04477" w:rsidP="00F04477">
            <w:pPr>
              <w:pStyle w:val="ListBullet"/>
            </w:pPr>
            <w:r w:rsidRPr="00F04477">
              <w:t>all hazards are appropr</w:t>
            </w:r>
            <w:r w:rsidRPr="00F04477">
              <w:t>iately identified</w:t>
            </w:r>
          </w:p>
          <w:p w:rsidR="00000000" w:rsidRPr="00F04477" w:rsidP="00F04477">
            <w:pPr>
              <w:pStyle w:val="ListBullet"/>
            </w:pPr>
            <w:r w:rsidRPr="00F04477">
              <w:t>appropriate hazard controls are determined</w:t>
            </w:r>
          </w:p>
          <w:p w:rsidR="00000000" w:rsidRPr="00F04477" w:rsidP="00F04477">
            <w:pPr>
              <w:pStyle w:val="ListBullet"/>
            </w:pPr>
            <w:r w:rsidRPr="00F04477">
              <w:t>appropriate storage and handling procedures are developed</w:t>
            </w:r>
          </w:p>
          <w:p w:rsidR="00000000" w:rsidRPr="00F04477" w:rsidP="00F04477">
            <w:pPr>
              <w:pStyle w:val="ListBullet"/>
            </w:pPr>
            <w:r w:rsidRPr="00F04477">
              <w:t>appropriate storage and handling is practiced.</w:t>
            </w:r>
          </w:p>
          <w:p w:rsidR="00000000" w:rsidP="00F04477">
            <w:pPr>
              <w:pStyle w:val="BodyText"/>
              <w:rPr>
                <w:lang w:val="en-NZ"/>
              </w:rPr>
            </w:pPr>
            <w:r w:rsidRPr="00F04477">
              <w:t>Competence must be demonstrated in the operation of all ancillary equipment to the level r</w:t>
            </w:r>
            <w:r w:rsidRPr="00F04477">
              <w:t xml:space="preserve">equired for this unit of competency. </w:t>
            </w:r>
          </w:p>
        </w:tc>
      </w:tr>
      <w:tr w:rsidTr="00F044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477">
            <w:pPr>
              <w:pStyle w:val="BodyText"/>
              <w:rPr>
                <w:lang w:val="en-NZ"/>
              </w:rPr>
            </w:pPr>
            <w:r w:rsidRPr="00F04477">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477" w:rsidP="00F04477">
            <w:pPr>
              <w:pStyle w:val="BodyText"/>
            </w:pPr>
            <w:r w:rsidRPr="00F04477">
              <w:t xml:space="preserve">Assessment will require the determining appropriate storage and handling protocols and procedures and then using them for composite materials. </w:t>
            </w:r>
          </w:p>
          <w:p w:rsidR="00000000" w:rsidP="00F04477">
            <w:pPr>
              <w:pStyle w:val="BodyText"/>
              <w:rPr>
                <w:lang w:val="en-NZ"/>
              </w:rPr>
            </w:pPr>
            <w:r w:rsidRPr="00F04477">
              <w:t>Assessment will occur over a range of situations which will include disruptions to normal, smooth operation.</w:t>
            </w:r>
          </w:p>
        </w:tc>
      </w:tr>
      <w:tr w:rsidTr="00F044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477">
            <w:pPr>
              <w:pStyle w:val="BodyText"/>
              <w:rPr>
                <w:lang w:val="en-NZ"/>
              </w:rPr>
            </w:pPr>
            <w:r w:rsidRPr="00F04477">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477" w:rsidP="00F04477">
            <w:pPr>
              <w:pStyle w:val="BodyText"/>
            </w:pPr>
            <w:r w:rsidRPr="00F04477">
              <w:t>A single assessment event is not appropriate. On-the-job assessment should be included as part of the assessment process wher</w:t>
            </w:r>
            <w:r w:rsidRPr="00F04477">
              <w:t>ever possible. Where assessment occurs off the job, judgement must consider evidence of the candidate's performance in a productive work environment that includes a sufficient range of appropriate tasks and materials to cover the scope of application for t</w:t>
            </w:r>
            <w:r w:rsidRPr="00F04477">
              <w:t xml:space="preserve">his unit. </w:t>
            </w:r>
          </w:p>
          <w:p w:rsidR="00000000" w:rsidRPr="00F04477" w:rsidP="00F04477">
            <w:pPr>
              <w:pStyle w:val="BodyText"/>
            </w:pPr>
            <w:r w:rsidRPr="00F04477">
              <w:t>Assessors should gather a range of evidence that is valid, sufficient, current and authentic. Evidence can be gathered through a variety of ways, including direct observation, supervisor's reports, project work, samples and questioning. Question</w:t>
            </w:r>
            <w:r w:rsidRPr="00F04477">
              <w:t xml:space="preserve">ing techniques should not require language, literacy and numeracy skills beyond those required in this unit of competency. </w:t>
            </w:r>
          </w:p>
          <w:p w:rsidR="00000000" w:rsidP="00F04477">
            <w:pPr>
              <w:pStyle w:val="BodyText"/>
              <w:rPr>
                <w:lang w:val="en-NZ"/>
              </w:rPr>
            </w:pPr>
            <w:r w:rsidRPr="00F04477">
              <w:t>The candidate must have access to all tools, equipment, materials and documentation required. The candidate must be permitted to ref</w:t>
            </w:r>
            <w:r w:rsidRPr="00F04477">
              <w:t>er to any relevant workplace procedures, product and manufacturing specifications, codes, standards, manuals and reference materials.</w:t>
            </w:r>
          </w:p>
        </w:tc>
      </w:tr>
      <w:tr w:rsidTr="00F044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477">
            <w:pPr>
              <w:pStyle w:val="BodyText"/>
              <w:rPr>
                <w:lang w:val="en-NZ"/>
              </w:rPr>
            </w:pPr>
            <w:r w:rsidRPr="00F04477">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477" w:rsidP="00F04477">
            <w:pPr>
              <w:pStyle w:val="BodyText"/>
            </w:pPr>
            <w:r w:rsidRPr="00F04477">
              <w:t>Assessment processes and techniques must be culturally appropriate and appropriate to</w:t>
            </w:r>
            <w:r w:rsidRPr="00F04477">
              <w:t xml:space="preserve"> the language and literacy capacity of the candidate and the work being performed.</w:t>
            </w:r>
          </w:p>
        </w:tc>
      </w:tr>
    </w:tbl>
    <w:p w:rsidR="00090E21" w:rsidP="00F04477">
      <w:pPr>
        <w:pStyle w:val="BodyText"/>
      </w:pPr>
    </w:p>
    <w:p w:rsidR="00090E21" w:rsidP="00F04477">
      <w:pPr>
        <w:pStyle w:val="BodyText"/>
      </w:pPr>
    </w:p>
    <w:p w:rsidR="00000000" w:rsidRPr="00F04477" w:rsidP="00F04477">
      <w:pPr>
        <w:pStyle w:val="Heading1"/>
      </w:pPr>
      <w:bookmarkStart w:id="11" w:name="O_441557"/>
      <w:bookmarkEnd w:id="11"/>
      <w:r w:rsidRPr="00F04477">
        <w:t>Range Statement</w:t>
      </w:r>
    </w:p>
    <w:tbl>
      <w:tblPr>
        <w:tblW w:w="9462" w:type="dxa"/>
        <w:tblLayout w:type="fixed"/>
        <w:tblCellMar>
          <w:left w:w="62" w:type="dxa"/>
          <w:right w:w="62" w:type="dxa"/>
        </w:tblCellMar>
        <w:tblLook w:val="0000"/>
      </w:tblPr>
      <w:tblGrid>
        <w:gridCol w:w="3800"/>
        <w:gridCol w:w="5662"/>
      </w:tblGrid>
      <w:tr w:rsidTr="00F04477">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F04477">
            <w:pPr>
              <w:pStyle w:val="BodyText"/>
              <w:rPr>
                <w:lang w:val="en-NZ"/>
              </w:rPr>
            </w:pPr>
            <w:r w:rsidRPr="00F04477">
              <w:t>The range statement relates to the unit of competency as a whole. It allows for different work environments and situations that may affec</w:t>
            </w:r>
            <w:r w:rsidRPr="00F04477">
              <w:t>t performance. Bold italicised wording, if used in the performance criteria, is detailed below. Essential operating conditions that may be present with training and assessment (depending on the work situation, needs of the candidate, accessibility of the i</w:t>
            </w:r>
            <w:r w:rsidRPr="00F04477">
              <w:t>tem, and local industry and regional contexts) may also be included.</w:t>
            </w:r>
          </w:p>
        </w:tc>
      </w:tr>
      <w:tr w:rsidTr="00F044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477">
            <w:pPr>
              <w:pStyle w:val="BodyText"/>
              <w:rPr>
                <w:lang w:val="en-NZ"/>
              </w:rPr>
            </w:pPr>
            <w:r w:rsidRPr="00F04477">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477" w:rsidP="00F04477">
            <w:pPr>
              <w:pStyle w:val="BodyText"/>
            </w:pPr>
            <w:r w:rsidRPr="00F04477">
              <w:t>Procedures may be written, verbal, computer-based or in some other form, and may include:</w:t>
            </w:r>
          </w:p>
          <w:p w:rsidR="00000000" w:rsidRPr="00F04477" w:rsidP="00F04477">
            <w:pPr>
              <w:pStyle w:val="ListBullet"/>
            </w:pPr>
            <w:r w:rsidRPr="00F04477">
              <w:t>all work instructions</w:t>
            </w:r>
          </w:p>
          <w:p w:rsidR="00000000" w:rsidRPr="00F04477" w:rsidP="00F04477">
            <w:pPr>
              <w:pStyle w:val="ListBullet"/>
            </w:pPr>
            <w:r w:rsidRPr="00F04477">
              <w:t>standard operating procedures</w:t>
            </w:r>
          </w:p>
          <w:p w:rsidR="00000000" w:rsidRPr="00F04477" w:rsidP="00F04477">
            <w:pPr>
              <w:pStyle w:val="ListBullet"/>
            </w:pPr>
            <w:r w:rsidRPr="00F04477">
              <w:t>formulas/recipes</w:t>
            </w:r>
          </w:p>
          <w:p w:rsidR="00000000" w:rsidRPr="00F04477" w:rsidP="00F04477">
            <w:pPr>
              <w:pStyle w:val="ListBullet"/>
            </w:pPr>
            <w:r w:rsidRPr="00F04477">
              <w:t>batch sheets</w:t>
            </w:r>
          </w:p>
          <w:p w:rsidR="00000000" w:rsidRPr="00F04477" w:rsidP="00F04477">
            <w:pPr>
              <w:pStyle w:val="ListBullet"/>
            </w:pPr>
            <w:r w:rsidRPr="00F04477">
              <w:t>temporary instructions</w:t>
            </w:r>
          </w:p>
          <w:p w:rsidR="00000000" w:rsidRPr="00F04477" w:rsidP="00F04477">
            <w:pPr>
              <w:pStyle w:val="ListBullet"/>
            </w:pPr>
            <w:r w:rsidRPr="00F04477">
              <w:t xml:space="preserve">any similar instructions provided for the smooth running </w:t>
            </w:r>
            <w:r w:rsidRPr="00F04477">
              <w:t>of the plant</w:t>
            </w:r>
          </w:p>
          <w:p w:rsidR="00000000" w:rsidP="00F04477">
            <w:pPr>
              <w:pStyle w:val="ListBullet"/>
              <w:rPr>
                <w:lang w:val="en-NZ"/>
              </w:rPr>
            </w:pPr>
            <w:r w:rsidRPr="00F04477">
              <w:t>good operating practice as may be defined by industry codes of practice (e.g. Responsible Care) and government regulations</w:t>
            </w:r>
          </w:p>
        </w:tc>
      </w:tr>
      <w:tr w:rsidTr="00F044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477">
            <w:pPr>
              <w:pStyle w:val="BodyText"/>
              <w:rPr>
                <w:lang w:val="en-NZ"/>
              </w:rPr>
            </w:pPr>
            <w:r w:rsidRPr="00F04477">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477" w:rsidP="00F04477">
            <w:pPr>
              <w:pStyle w:val="BodyText"/>
            </w:pPr>
            <w:r w:rsidRPr="00F04477">
              <w:t>Materials may include:</w:t>
            </w:r>
          </w:p>
          <w:p w:rsidR="00000000" w:rsidRPr="00F04477" w:rsidP="00F04477">
            <w:pPr>
              <w:pStyle w:val="ListBullet"/>
            </w:pPr>
            <w:r w:rsidRPr="00F04477">
              <w:t>resins</w:t>
            </w:r>
          </w:p>
          <w:p w:rsidR="00000000" w:rsidRPr="00F04477" w:rsidP="00F04477">
            <w:pPr>
              <w:pStyle w:val="ListBullet"/>
            </w:pPr>
            <w:r w:rsidRPr="00F04477">
              <w:t>catalysts</w:t>
            </w:r>
          </w:p>
          <w:p w:rsidR="00000000" w:rsidRPr="00F04477" w:rsidP="00F04477">
            <w:pPr>
              <w:pStyle w:val="ListBullet"/>
            </w:pPr>
            <w:r w:rsidRPr="00F04477">
              <w:t>promoters</w:t>
            </w:r>
          </w:p>
          <w:p w:rsidR="00000000" w:rsidRPr="00F04477" w:rsidP="00F04477">
            <w:pPr>
              <w:pStyle w:val="ListBullet"/>
            </w:pPr>
            <w:r w:rsidRPr="00F04477">
              <w:t>solvents</w:t>
            </w:r>
          </w:p>
          <w:p w:rsidR="00000000" w:rsidRPr="00F04477" w:rsidP="00F04477">
            <w:pPr>
              <w:pStyle w:val="ListBullet"/>
            </w:pPr>
            <w:r w:rsidRPr="00F04477">
              <w:t>reinforcing</w:t>
            </w:r>
          </w:p>
          <w:p w:rsidR="00000000" w:rsidRPr="00F04477" w:rsidP="00F04477">
            <w:pPr>
              <w:pStyle w:val="ListBullet"/>
            </w:pPr>
            <w:r w:rsidRPr="00F04477">
              <w:t>cores</w:t>
            </w:r>
          </w:p>
          <w:p w:rsidR="00000000" w:rsidRPr="00F04477" w:rsidP="00F04477">
            <w:pPr>
              <w:pStyle w:val="ListBullet"/>
            </w:pPr>
            <w:r w:rsidRPr="00F04477">
              <w:t>fillers</w:t>
            </w:r>
          </w:p>
          <w:p w:rsidR="00000000" w:rsidRPr="00F04477" w:rsidP="00F04477">
            <w:pPr>
              <w:pStyle w:val="ListBullet"/>
            </w:pPr>
            <w:r w:rsidRPr="00F04477">
              <w:t>pigments</w:t>
            </w:r>
          </w:p>
          <w:p w:rsidR="00000000" w:rsidRPr="00F04477" w:rsidP="00F04477">
            <w:pPr>
              <w:pStyle w:val="ListBullet"/>
            </w:pPr>
            <w:r w:rsidRPr="00F04477">
              <w:t>mould release</w:t>
            </w:r>
          </w:p>
          <w:p w:rsidR="00000000" w:rsidP="00F04477">
            <w:pPr>
              <w:pStyle w:val="ListBullet"/>
              <w:rPr>
                <w:lang w:val="en-NZ"/>
              </w:rPr>
            </w:pPr>
            <w:r w:rsidRPr="00F04477">
              <w:t>other materials used directly or indirectly in making products</w:t>
            </w:r>
          </w:p>
        </w:tc>
      </w:tr>
      <w:tr w:rsidTr="00F044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477">
            <w:pPr>
              <w:pStyle w:val="BodyText"/>
              <w:rPr>
                <w:lang w:val="en-NZ"/>
              </w:rPr>
            </w:pPr>
            <w:r w:rsidRPr="00F04477">
              <w:rPr>
                <w:rStyle w:val="SpecialBold"/>
              </w:rPr>
              <w:t>Dangerous goods licence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477" w:rsidP="00F04477">
            <w:pPr>
              <w:pStyle w:val="BodyText"/>
            </w:pPr>
            <w:r w:rsidRPr="00F04477">
              <w:t>The dangerous goods licence conditions may vary between states/territories and coun</w:t>
            </w:r>
            <w:r w:rsidRPr="00F04477">
              <w:t>cils but will typically cover conditions related to:</w:t>
            </w:r>
          </w:p>
          <w:p w:rsidR="00000000" w:rsidRPr="00F04477" w:rsidP="00F04477">
            <w:pPr>
              <w:pStyle w:val="ListBullet"/>
            </w:pPr>
            <w:r w:rsidRPr="00F04477">
              <w:t>fire</w:t>
            </w:r>
          </w:p>
          <w:p w:rsidR="00000000" w:rsidRPr="00F04477" w:rsidP="00F04477">
            <w:pPr>
              <w:pStyle w:val="ListBullet"/>
            </w:pPr>
            <w:r w:rsidRPr="00F04477">
              <w:t>storage</w:t>
            </w:r>
          </w:p>
          <w:p w:rsidR="00000000" w:rsidP="00F04477">
            <w:pPr>
              <w:pStyle w:val="ListBullet"/>
              <w:rPr>
                <w:lang w:val="en-NZ"/>
              </w:rPr>
            </w:pPr>
            <w:r w:rsidRPr="00F04477">
              <w:t>the fee payable</w:t>
            </w:r>
          </w:p>
        </w:tc>
      </w:tr>
      <w:tr w:rsidTr="00F044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477">
            <w:pPr>
              <w:pStyle w:val="BodyText"/>
              <w:rPr>
                <w:lang w:val="en-NZ"/>
              </w:rPr>
            </w:pPr>
            <w:r w:rsidRPr="00F04477">
              <w:rPr>
                <w:rStyle w:val="SpecialBold"/>
              </w:rPr>
              <w:t>Environmental regulations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477" w:rsidP="00F04477">
            <w:pPr>
              <w:pStyle w:val="BodyText"/>
            </w:pPr>
            <w:r w:rsidRPr="00F04477">
              <w:t>Environmental regulations may be from any tier of government and will include:</w:t>
            </w:r>
          </w:p>
          <w:p w:rsidR="00000000" w:rsidRPr="00F04477" w:rsidP="00F04477">
            <w:pPr>
              <w:pStyle w:val="ListBullet"/>
            </w:pPr>
            <w:r w:rsidRPr="00F04477">
              <w:t>trade waste</w:t>
            </w:r>
          </w:p>
          <w:p w:rsidR="00000000" w:rsidRPr="00F04477" w:rsidP="00F04477">
            <w:pPr>
              <w:pStyle w:val="ListBullet"/>
            </w:pPr>
            <w:r w:rsidRPr="00F04477">
              <w:t>atmosphere</w:t>
            </w:r>
          </w:p>
          <w:p w:rsidR="00000000" w:rsidRPr="00F04477" w:rsidP="00F04477">
            <w:pPr>
              <w:pStyle w:val="ListBullet"/>
            </w:pPr>
            <w:r w:rsidRPr="00F04477">
              <w:t>other wastes</w:t>
            </w:r>
          </w:p>
          <w:p w:rsidR="00000000" w:rsidP="00F04477">
            <w:pPr>
              <w:pStyle w:val="ListBullet"/>
              <w:rPr>
                <w:lang w:val="en-NZ"/>
              </w:rPr>
            </w:pPr>
            <w:r w:rsidRPr="00F04477">
              <w:t>other emissions</w:t>
            </w:r>
          </w:p>
        </w:tc>
      </w:tr>
      <w:tr w:rsidTr="00F044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477">
            <w:pPr>
              <w:pStyle w:val="BodyText"/>
              <w:rPr>
                <w:lang w:val="en-NZ"/>
              </w:rPr>
            </w:pPr>
            <w:r w:rsidRPr="00F04477">
              <w:rPr>
                <w:rStyle w:val="SpecialBold"/>
              </w:rPr>
              <w:t>Hazard controls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477" w:rsidP="00F04477">
            <w:pPr>
              <w:pStyle w:val="BodyText"/>
            </w:pPr>
            <w:r w:rsidRPr="00F04477">
              <w:t>Hazard controls should be based on the hierarchy of control:</w:t>
            </w:r>
          </w:p>
          <w:p w:rsidR="00000000" w:rsidRPr="00F04477" w:rsidP="00F04477">
            <w:pPr>
              <w:pStyle w:val="ListBullet"/>
            </w:pPr>
            <w:r w:rsidRPr="00F04477">
              <w:t>eliminate</w:t>
            </w:r>
          </w:p>
          <w:p w:rsidR="00000000" w:rsidRPr="00F04477" w:rsidP="00F04477">
            <w:pPr>
              <w:pStyle w:val="ListBullet"/>
            </w:pPr>
            <w:r w:rsidRPr="00F04477">
              <w:t>substitute</w:t>
            </w:r>
          </w:p>
          <w:p w:rsidR="00000000" w:rsidRPr="00F04477" w:rsidP="00F04477">
            <w:pPr>
              <w:pStyle w:val="ListBullet"/>
            </w:pPr>
            <w:r w:rsidRPr="00F04477">
              <w:t>isolate</w:t>
            </w:r>
          </w:p>
          <w:p w:rsidR="00000000" w:rsidRPr="00F04477" w:rsidP="00F04477">
            <w:pPr>
              <w:pStyle w:val="ListBullet"/>
            </w:pPr>
            <w:r w:rsidRPr="00F04477">
              <w:t>engineering controls</w:t>
            </w:r>
          </w:p>
          <w:p w:rsidR="00000000" w:rsidRPr="00F04477" w:rsidP="00F04477">
            <w:pPr>
              <w:pStyle w:val="ListBullet"/>
            </w:pPr>
            <w:r w:rsidRPr="00F04477">
              <w:t>administrative controls</w:t>
            </w:r>
          </w:p>
          <w:p w:rsidR="00000000" w:rsidP="00F04477">
            <w:pPr>
              <w:pStyle w:val="ListBullet"/>
              <w:rPr>
                <w:lang w:val="en-NZ"/>
              </w:rPr>
            </w:pPr>
            <w:r w:rsidRPr="00F04477">
              <w:t>personal protective equipment</w:t>
            </w:r>
          </w:p>
        </w:tc>
      </w:tr>
      <w:tr w:rsidTr="00F044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477">
            <w:pPr>
              <w:pStyle w:val="BodyText"/>
              <w:rPr>
                <w:lang w:val="en-NZ"/>
              </w:rPr>
            </w:pPr>
            <w:r w:rsidRPr="00F04477">
              <w:rPr>
                <w:rStyle w:val="SpecialBold"/>
              </w:rPr>
              <w:t>Logs and reports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477" w:rsidP="00F04477">
            <w:pPr>
              <w:pStyle w:val="BodyText"/>
            </w:pPr>
            <w:r w:rsidRPr="00F04477">
              <w:t>Logs and reports may include:</w:t>
            </w:r>
          </w:p>
          <w:p w:rsidR="00000000" w:rsidRPr="00F04477" w:rsidP="00F04477">
            <w:pPr>
              <w:pStyle w:val="ListBullet"/>
            </w:pPr>
            <w:r w:rsidRPr="00F04477">
              <w:t xml:space="preserve">paper or electronic based </w:t>
            </w:r>
          </w:p>
          <w:p w:rsidR="00000000" w:rsidRPr="00F04477" w:rsidP="00F04477">
            <w:pPr>
              <w:pStyle w:val="ListBullet"/>
            </w:pPr>
            <w:r w:rsidRPr="00F04477">
              <w:t>verbal reports</w:t>
            </w:r>
          </w:p>
          <w:p w:rsidR="00000000" w:rsidP="00F04477">
            <w:pPr>
              <w:pStyle w:val="ListBullet"/>
              <w:rPr>
                <w:lang w:val="en-NZ"/>
              </w:rPr>
            </w:pPr>
            <w:r w:rsidRPr="00F04477">
              <w:t>items found which require action</w:t>
            </w:r>
          </w:p>
        </w:tc>
      </w:tr>
      <w:tr w:rsidTr="00F044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477">
            <w:pPr>
              <w:pStyle w:val="BodyText"/>
              <w:rPr>
                <w:lang w:val="en-NZ"/>
              </w:rPr>
            </w:pPr>
            <w:r w:rsidRPr="00F04477">
              <w:rPr>
                <w:rStyle w:val="SpecialBold"/>
              </w:rPr>
              <w:t>Appropriate action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477" w:rsidP="00F04477">
            <w:pPr>
              <w:pStyle w:val="BodyText"/>
            </w:pPr>
            <w:r w:rsidRPr="00F04477">
              <w:t>Appropriate action includes:</w:t>
            </w:r>
          </w:p>
          <w:p w:rsidR="00000000" w:rsidRPr="00F04477" w:rsidP="00F04477">
            <w:pPr>
              <w:pStyle w:val="ListBullet"/>
            </w:pPr>
            <w:r w:rsidRPr="00F04477">
              <w:t>determining problems needing action</w:t>
            </w:r>
          </w:p>
          <w:p w:rsidR="00000000" w:rsidRPr="00F04477" w:rsidP="00F04477">
            <w:pPr>
              <w:pStyle w:val="ListBullet"/>
            </w:pPr>
            <w:r w:rsidRPr="00F04477">
              <w:t>determining possible fault causes</w:t>
            </w:r>
          </w:p>
          <w:p w:rsidR="00000000" w:rsidRPr="00F04477" w:rsidP="00F04477">
            <w:pPr>
              <w:pStyle w:val="ListBullet"/>
            </w:pPr>
            <w:r w:rsidRPr="00F04477">
              <w:t>rectifying problem using appropriate solution within area of responsibility</w:t>
            </w:r>
          </w:p>
          <w:p w:rsidR="00000000" w:rsidRPr="00F04477" w:rsidP="00F04477">
            <w:pPr>
              <w:pStyle w:val="ListBullet"/>
            </w:pPr>
            <w:r w:rsidRPr="00F04477">
              <w:t>following through items initiated until final resolution has occurred</w:t>
            </w:r>
          </w:p>
          <w:p w:rsidR="00000000" w:rsidP="00F04477">
            <w:pPr>
              <w:pStyle w:val="ListBullet"/>
              <w:rPr>
                <w:lang w:val="en-NZ"/>
              </w:rPr>
            </w:pPr>
            <w:r w:rsidRPr="00F04477">
              <w:t>reporting problems outside area of responsibility to designated person</w:t>
            </w:r>
          </w:p>
        </w:tc>
      </w:tr>
      <w:tr w:rsidTr="00F044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477">
            <w:pPr>
              <w:pStyle w:val="BodyText"/>
              <w:rPr>
                <w:lang w:val="en-NZ"/>
              </w:rPr>
            </w:pPr>
            <w:r w:rsidRPr="00F04477">
              <w:rPr>
                <w:rStyle w:val="SpecialBold"/>
              </w:rPr>
              <w:t>Typical problems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477" w:rsidP="00F04477">
            <w:pPr>
              <w:pStyle w:val="BodyText"/>
            </w:pPr>
            <w:r w:rsidRPr="00F04477">
              <w:t xml:space="preserve">Typical problems may </w:t>
            </w:r>
            <w:r w:rsidRPr="00F04477">
              <w:t>include:</w:t>
            </w:r>
          </w:p>
          <w:p w:rsidR="00000000" w:rsidRPr="00F04477" w:rsidP="00F04477">
            <w:pPr>
              <w:pStyle w:val="ListBullet"/>
            </w:pPr>
            <w:r w:rsidRPr="00F04477">
              <w:t>conflicting requirements</w:t>
            </w:r>
          </w:p>
          <w:p w:rsidR="00000000" w:rsidP="00F04477">
            <w:pPr>
              <w:pStyle w:val="ListBullet"/>
              <w:rPr>
                <w:lang w:val="en-NZ"/>
              </w:rPr>
            </w:pPr>
            <w:r w:rsidRPr="00F04477">
              <w:t>inadequate storage facilities</w:t>
            </w:r>
          </w:p>
        </w:tc>
      </w:tr>
      <w:tr w:rsidTr="00F044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477">
            <w:pPr>
              <w:pStyle w:val="BodyText"/>
              <w:rPr>
                <w:lang w:val="en-NZ"/>
              </w:rPr>
            </w:pPr>
            <w:r w:rsidRPr="00F04477">
              <w:rPr>
                <w:rStyle w:val="SpecialBold"/>
              </w:rPr>
              <w:t>Health, safety and environment (HSE)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477" w:rsidP="00F04477">
            <w:pPr>
              <w:pStyle w:val="BodyText"/>
            </w:pPr>
            <w:r w:rsidRPr="00F04477">
              <w:t>All operations to which this unit applies are subject to stringent HSE requirements, which may be imposed through state/territory or federal legislation,</w:t>
            </w:r>
            <w:r w:rsidRPr="00F04477">
              <w:t xml:space="preserve"> and these must not be compromised at any time. Where there is an apparent conflict between Performance Criteria and HSE requirements, the HSE requirements take precedence</w:t>
            </w:r>
          </w:p>
        </w:tc>
      </w:tr>
    </w:tbl>
    <w:p w:rsidR="00090E21" w:rsidP="00F04477">
      <w:pPr>
        <w:pStyle w:val="BodyText"/>
      </w:pPr>
    </w:p>
    <w:p w:rsidR="00090E21" w:rsidP="00F04477">
      <w:pPr>
        <w:pStyle w:val="BodyText"/>
      </w:pPr>
    </w:p>
    <w:p w:rsidR="00000000" w:rsidRPr="00F04477" w:rsidP="00F04477">
      <w:pPr>
        <w:pStyle w:val="Heading1"/>
      </w:pPr>
      <w:bookmarkStart w:id="12" w:name="O_441558"/>
      <w:bookmarkEnd w:id="12"/>
      <w:r w:rsidRPr="00F04477">
        <w:t>Unit Sector(s)</w:t>
      </w:r>
    </w:p>
    <w:p w:rsidR="00000000" w:rsidRPr="00F04477" w:rsidP="00F04477">
      <w:pPr>
        <w:pStyle w:val="BodyText"/>
      </w:pPr>
      <w:r w:rsidRPr="00F04477">
        <w:t>Composites</w:t>
      </w:r>
    </w:p>
    <w:p w:rsidR="00000000" w:rsidRPr="00F04477" w:rsidP="00F04477">
      <w:pPr>
        <w:pStyle w:val="AllowPageBreak"/>
      </w:pPr>
    </w:p>
    <w:p w:rsidR="00000000" w:rsidRPr="00F04477" w:rsidP="00F04477">
      <w:pPr>
        <w:pStyle w:val="Heading1"/>
      </w:pPr>
      <w:bookmarkStart w:id="13" w:name="O_441559"/>
      <w:bookmarkEnd w:id="13"/>
      <w:r w:rsidRPr="00F04477">
        <w:t>Custom Content Section</w:t>
      </w:r>
    </w:p>
    <w:p w:rsidR="00000000" w:rsidRPr="00F04477" w:rsidP="00F04477">
      <w:pPr>
        <w:pStyle w:val="BodyText"/>
      </w:pPr>
      <w:r w:rsidRPr="00F04477">
        <w:t>Not applicable.</w:t>
      </w:r>
    </w:p>
    <w:p w:rsidR="00000000" w:rsidRPr="00F04477" w:rsidP="00F04477"/>
    <w:sectPr w:rsidSect="00F044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4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0E21" w:rsidP="00090E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4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E21" w:rsidP="00F044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90E21" w:rsidP="00F044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90E21" w:rsidP="00F044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4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0E21" w:rsidP="00090E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4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E21" w:rsidP="00F04477">
    <w:pPr>
      <w:pStyle w:val="Header"/>
      <w:framePr w:wrap="around"/>
    </w:pPr>
    <w:r>
      <w:fldChar w:fldCharType="begin"/>
    </w:r>
    <w:r>
      <w:instrText xml:space="preserve"> TITLE   \* MERGEFORMAT </w:instrText>
    </w:r>
    <w:r>
      <w:fldChar w:fldCharType="separate"/>
    </w:r>
    <w:r>
      <w:t>MEM26010A Store and handle composite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0E21" w:rsidP="00F044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DCDA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C8B7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4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4477"/>
    <w:pPr>
      <w:spacing w:before="360" w:after="60"/>
      <w:outlineLvl w:val="0"/>
    </w:pPr>
    <w:rPr>
      <w:sz w:val="32"/>
    </w:rPr>
  </w:style>
  <w:style w:type="paragraph" w:styleId="Heading2">
    <w:name w:val="heading 2"/>
    <w:basedOn w:val="HeadingBase"/>
    <w:next w:val="BodyText"/>
    <w:link w:val="Heading2Char"/>
    <w:qFormat/>
    <w:rsid w:val="00F04477"/>
    <w:pPr>
      <w:keepLines/>
      <w:spacing w:before="240" w:after="120"/>
      <w:outlineLvl w:val="1"/>
    </w:pPr>
    <w:rPr>
      <w:sz w:val="28"/>
      <w:szCs w:val="40"/>
    </w:rPr>
  </w:style>
  <w:style w:type="paragraph" w:styleId="Heading3">
    <w:name w:val="heading 3"/>
    <w:basedOn w:val="HeadingBase"/>
    <w:next w:val="BodyText"/>
    <w:link w:val="Heading3Char"/>
    <w:qFormat/>
    <w:rsid w:val="00F04477"/>
    <w:pPr>
      <w:spacing w:before="180" w:after="120"/>
      <w:outlineLvl w:val="2"/>
    </w:pPr>
    <w:rPr>
      <w:spacing w:val="-10"/>
      <w:kern w:val="32"/>
    </w:rPr>
  </w:style>
  <w:style w:type="paragraph" w:styleId="Heading4">
    <w:name w:val="heading 4"/>
    <w:basedOn w:val="HeadingBase"/>
    <w:next w:val="BodyText"/>
    <w:link w:val="Heading4Char"/>
    <w:qFormat/>
    <w:rsid w:val="00F04477"/>
    <w:pPr>
      <w:spacing w:before="160" w:after="120"/>
      <w:outlineLvl w:val="3"/>
    </w:pPr>
    <w:rPr>
      <w:sz w:val="22"/>
    </w:rPr>
  </w:style>
  <w:style w:type="paragraph" w:styleId="Heading5">
    <w:name w:val="heading 5"/>
    <w:basedOn w:val="HeadingBase"/>
    <w:next w:val="Normal"/>
    <w:link w:val="Heading5Char"/>
    <w:qFormat/>
    <w:rsid w:val="00F04477"/>
    <w:pPr>
      <w:spacing w:before="80"/>
      <w:outlineLvl w:val="4"/>
    </w:pPr>
    <w:rPr>
      <w:color w:val="918585"/>
      <w:sz w:val="20"/>
    </w:rPr>
  </w:style>
  <w:style w:type="paragraph" w:styleId="Heading6">
    <w:name w:val="heading 6"/>
    <w:basedOn w:val="HeadingBase"/>
    <w:next w:val="Normal"/>
    <w:link w:val="Heading6Char"/>
    <w:qFormat/>
    <w:rsid w:val="00F04477"/>
    <w:pPr>
      <w:spacing w:before="60"/>
      <w:outlineLvl w:val="5"/>
    </w:pPr>
    <w:rPr>
      <w:color w:val="918585"/>
      <w:sz w:val="20"/>
    </w:rPr>
  </w:style>
  <w:style w:type="paragraph" w:styleId="Heading7">
    <w:name w:val="heading 7"/>
    <w:basedOn w:val="Normal"/>
    <w:next w:val="Normal"/>
    <w:link w:val="Heading7Char"/>
    <w:qFormat/>
    <w:rsid w:val="00F04477"/>
    <w:pPr>
      <w:ind w:left="720"/>
      <w:outlineLvl w:val="6"/>
    </w:pPr>
    <w:rPr>
      <w:i/>
    </w:rPr>
  </w:style>
  <w:style w:type="paragraph" w:styleId="Heading8">
    <w:name w:val="heading 8"/>
    <w:basedOn w:val="Normal"/>
    <w:next w:val="Normal"/>
    <w:link w:val="Heading8Char"/>
    <w:qFormat/>
    <w:rsid w:val="00F04477"/>
    <w:pPr>
      <w:ind w:left="720"/>
      <w:outlineLvl w:val="7"/>
    </w:pPr>
    <w:rPr>
      <w:i/>
    </w:rPr>
  </w:style>
  <w:style w:type="paragraph" w:styleId="Heading9">
    <w:name w:val="heading 9"/>
    <w:basedOn w:val="Normal"/>
    <w:next w:val="Normal"/>
    <w:link w:val="Heading9Char"/>
    <w:qFormat/>
    <w:rsid w:val="00F04477"/>
    <w:pPr>
      <w:ind w:left="720"/>
      <w:outlineLvl w:val="8"/>
    </w:pPr>
    <w:rPr>
      <w:i/>
    </w:rPr>
  </w:style>
  <w:style w:type="character" w:default="1" w:styleId="DefaultParagraphFont">
    <w:name w:val="Default Paragraph Font"/>
    <w:uiPriority w:val="1"/>
    <w:unhideWhenUsed/>
    <w:rsid w:val="00F044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4477"/>
  </w:style>
  <w:style w:type="character" w:customStyle="1" w:styleId="Heading1Char">
    <w:name w:val="Heading 1 Char"/>
    <w:basedOn w:val="DefaultParagraphFont"/>
    <w:link w:val="Heading1"/>
    <w:rsid w:val="00F04477"/>
    <w:rPr>
      <w:rFonts w:ascii="Times New Roman" w:eastAsia="Times New Roman" w:hAnsi="Times New Roman" w:cs="Times New Roman"/>
      <w:b/>
      <w:sz w:val="32"/>
      <w:szCs w:val="20"/>
      <w:lang w:eastAsia="en-US"/>
    </w:rPr>
  </w:style>
  <w:style w:type="paragraph" w:styleId="BodyText">
    <w:name w:val="Body Text"/>
    <w:basedOn w:val="Normal"/>
    <w:link w:val="BodyTextChar"/>
    <w:rsid w:val="00F044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4477"/>
    <w:rPr>
      <w:rFonts w:ascii="Times New Roman" w:eastAsia="Times New Roman" w:hAnsi="Times New Roman" w:cs="Times New Roman"/>
      <w:sz w:val="24"/>
      <w:lang w:val="en-US" w:eastAsia="en-US"/>
    </w:rPr>
  </w:style>
  <w:style w:type="paragraph" w:styleId="Footer">
    <w:name w:val="footer"/>
    <w:basedOn w:val="Normal"/>
    <w:link w:val="FooterChar"/>
    <w:rsid w:val="00F044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4477"/>
    <w:rPr>
      <w:rFonts w:ascii="Times New Roman" w:eastAsia="Times New Roman" w:hAnsi="Times New Roman" w:cs="Times New Roman"/>
      <w:sz w:val="16"/>
      <w:lang w:val="en-US" w:eastAsia="en-US"/>
    </w:rPr>
  </w:style>
  <w:style w:type="paragraph" w:styleId="ListBullet">
    <w:name w:val="List Bullet"/>
    <w:basedOn w:val="List"/>
    <w:rsid w:val="00F04477"/>
    <w:pPr>
      <w:numPr>
        <w:numId w:val="12"/>
      </w:numPr>
      <w:tabs>
        <w:tab w:val="clear" w:pos="340"/>
      </w:tabs>
      <w:spacing w:before="40" w:after="40"/>
    </w:pPr>
  </w:style>
  <w:style w:type="character" w:customStyle="1" w:styleId="SpecialBold">
    <w:name w:val="Special Bold"/>
    <w:basedOn w:val="DefaultParagraphFont"/>
    <w:rsid w:val="00F04477"/>
    <w:rPr>
      <w:b/>
      <w:spacing w:val="0"/>
    </w:rPr>
  </w:style>
  <w:style w:type="paragraph" w:styleId="Header">
    <w:name w:val="header"/>
    <w:basedOn w:val="Normal"/>
    <w:link w:val="HeaderChar"/>
    <w:rsid w:val="00F044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447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04477"/>
    <w:rPr>
      <w:i/>
    </w:rPr>
  </w:style>
  <w:style w:type="paragraph" w:customStyle="1" w:styleId="SuperHeading">
    <w:name w:val="SuperHeading"/>
    <w:basedOn w:val="Normal"/>
    <w:rsid w:val="00F04477"/>
    <w:pPr>
      <w:spacing w:before="240" w:after="120"/>
      <w:outlineLvl w:val="0"/>
    </w:pPr>
    <w:rPr>
      <w:rFonts w:ascii="Times New Roman" w:hAnsi="Times New Roman"/>
      <w:b/>
      <w:sz w:val="28"/>
    </w:rPr>
  </w:style>
  <w:style w:type="paragraph" w:customStyle="1" w:styleId="AllowPageBreak">
    <w:name w:val="AllowPageBreak"/>
    <w:rsid w:val="00F044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44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44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44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44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44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44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44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4477"/>
    <w:rPr>
      <w:rFonts w:ascii="Courier New" w:eastAsia="Times New Roman" w:hAnsi="Courier New" w:cs="Times New Roman"/>
      <w:i/>
      <w:szCs w:val="20"/>
      <w:lang w:val="en-US" w:eastAsia="en-US"/>
    </w:rPr>
  </w:style>
  <w:style w:type="paragraph" w:customStyle="1" w:styleId="HeadingBase">
    <w:name w:val="Heading Base"/>
    <w:rsid w:val="00F044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4477"/>
    <w:pPr>
      <w:tabs>
        <w:tab w:val="right" w:leader="dot" w:pos="9072"/>
      </w:tabs>
      <w:ind w:left="567"/>
    </w:pPr>
    <w:rPr>
      <w:szCs w:val="22"/>
    </w:rPr>
  </w:style>
  <w:style w:type="paragraph" w:customStyle="1" w:styleId="TOCBase">
    <w:name w:val="TOC Base"/>
    <w:rsid w:val="00F044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4477"/>
    <w:pPr>
      <w:tabs>
        <w:tab w:val="right" w:leader="dot" w:pos="9072"/>
      </w:tabs>
      <w:spacing w:before="40" w:after="40"/>
      <w:ind w:left="284"/>
    </w:pPr>
    <w:rPr>
      <w:rFonts w:ascii="Times New Roman" w:hAnsi="Times New Roman"/>
    </w:rPr>
  </w:style>
  <w:style w:type="paragraph" w:styleId="TOC1">
    <w:name w:val="toc 1"/>
    <w:basedOn w:val="TOCBase"/>
    <w:next w:val="Normal"/>
    <w:rsid w:val="00F044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4477"/>
    <w:pPr>
      <w:spacing w:before="5040"/>
      <w:jc w:val="center"/>
    </w:pPr>
    <w:rPr>
      <w:sz w:val="48"/>
      <w:szCs w:val="72"/>
      <w:lang w:val="en-US"/>
    </w:rPr>
  </w:style>
  <w:style w:type="character" w:customStyle="1" w:styleId="TitleChar">
    <w:name w:val="Title Char"/>
    <w:basedOn w:val="DefaultParagraphFont"/>
    <w:link w:val="Title"/>
    <w:rsid w:val="00F044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4477"/>
    <w:pPr>
      <w:tabs>
        <w:tab w:val="left" w:pos="3600"/>
        <w:tab w:val="left" w:pos="3958"/>
      </w:tabs>
    </w:pPr>
  </w:style>
  <w:style w:type="paragraph" w:styleId="List">
    <w:name w:val="List"/>
    <w:basedOn w:val="BodyText"/>
    <w:next w:val="BodyText"/>
    <w:rsid w:val="00F04477"/>
    <w:pPr>
      <w:tabs>
        <w:tab w:val="left" w:pos="340"/>
      </w:tabs>
      <w:spacing w:before="60" w:after="60"/>
      <w:ind w:left="340" w:hanging="340"/>
    </w:pPr>
  </w:style>
  <w:style w:type="paragraph" w:customStyle="1" w:styleId="Note">
    <w:name w:val="Note"/>
    <w:basedOn w:val="BodyText"/>
    <w:rsid w:val="00F044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4477"/>
    <w:pPr>
      <w:framePr w:wrap="auto" w:hAnchor="text" w:y="6049"/>
    </w:pPr>
    <w:rPr>
      <w:color w:val="000000"/>
      <w:sz w:val="40"/>
    </w:rPr>
  </w:style>
  <w:style w:type="paragraph" w:customStyle="1" w:styleId="TOCTitle">
    <w:name w:val="TOCTitle"/>
    <w:basedOn w:val="Heading1"/>
    <w:rsid w:val="00F04477"/>
    <w:pPr>
      <w:spacing w:after="240"/>
      <w:jc w:val="center"/>
      <w:outlineLvl w:val="9"/>
    </w:pPr>
    <w:rPr>
      <w:caps/>
    </w:rPr>
  </w:style>
  <w:style w:type="paragraph" w:customStyle="1" w:styleId="Version">
    <w:name w:val="Version"/>
    <w:rsid w:val="00F044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4477"/>
    <w:pPr>
      <w:numPr>
        <w:numId w:val="13"/>
      </w:numPr>
      <w:tabs>
        <w:tab w:val="clear" w:pos="680"/>
      </w:tabs>
    </w:pPr>
  </w:style>
  <w:style w:type="paragraph" w:styleId="Index1">
    <w:name w:val="index 1"/>
    <w:basedOn w:val="Normal"/>
    <w:next w:val="Normal"/>
    <w:semiHidden/>
    <w:rsid w:val="00F04477"/>
    <w:pPr>
      <w:keepNext w:val="0"/>
      <w:tabs>
        <w:tab w:val="right" w:pos="4176"/>
      </w:tabs>
      <w:ind w:left="198" w:hanging="198"/>
    </w:pPr>
    <w:rPr>
      <w:rFonts w:ascii="Garamond" w:hAnsi="Garamond"/>
    </w:rPr>
  </w:style>
  <w:style w:type="paragraph" w:styleId="IndexHeading">
    <w:name w:val="index heading"/>
    <w:basedOn w:val="Normal"/>
    <w:next w:val="Index1"/>
    <w:semiHidden/>
    <w:rsid w:val="00F04477"/>
    <w:pPr>
      <w:spacing w:before="120" w:after="120"/>
    </w:pPr>
    <w:rPr>
      <w:rFonts w:ascii="Arial" w:hAnsi="Arial"/>
      <w:b/>
      <w:color w:val="918585"/>
      <w:sz w:val="24"/>
    </w:rPr>
  </w:style>
  <w:style w:type="paragraph" w:customStyle="1" w:styleId="Chapter">
    <w:name w:val="Chapter"/>
    <w:basedOn w:val="Normal"/>
    <w:rsid w:val="00F04477"/>
    <w:pPr>
      <w:spacing w:before="240"/>
    </w:pPr>
    <w:rPr>
      <w:rFonts w:ascii="Times New Roman" w:hAnsi="Times New Roman"/>
      <w:smallCaps/>
      <w:spacing w:val="80"/>
      <w:sz w:val="28"/>
    </w:rPr>
  </w:style>
  <w:style w:type="paragraph" w:customStyle="1" w:styleId="InChapter">
    <w:name w:val="InChapter"/>
    <w:basedOn w:val="Heading3"/>
    <w:rsid w:val="00F04477"/>
    <w:pPr>
      <w:spacing w:after="240"/>
      <w:outlineLvl w:val="9"/>
    </w:pPr>
    <w:rPr>
      <w:noProof/>
    </w:rPr>
  </w:style>
  <w:style w:type="paragraph" w:styleId="Index2">
    <w:name w:val="index 2"/>
    <w:basedOn w:val="Normal"/>
    <w:next w:val="Normal"/>
    <w:semiHidden/>
    <w:rsid w:val="00F04477"/>
    <w:pPr>
      <w:tabs>
        <w:tab w:val="right" w:pos="4176"/>
      </w:tabs>
      <w:ind w:left="568" w:hanging="284"/>
    </w:pPr>
    <w:rPr>
      <w:rFonts w:ascii="Garamond" w:hAnsi="Garamond"/>
    </w:rPr>
  </w:style>
  <w:style w:type="paragraph" w:customStyle="1" w:styleId="Byline">
    <w:name w:val="Byline"/>
    <w:rsid w:val="00F044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4477"/>
    <w:pPr>
      <w:tabs>
        <w:tab w:val="clear" w:pos="3600"/>
        <w:tab w:val="clear" w:pos="3958"/>
      </w:tabs>
      <w:jc w:val="right"/>
    </w:pPr>
  </w:style>
  <w:style w:type="paragraph" w:styleId="Caption">
    <w:name w:val="caption"/>
    <w:basedOn w:val="BodyText"/>
    <w:next w:val="Normal"/>
    <w:qFormat/>
    <w:rsid w:val="00F04477"/>
    <w:pPr>
      <w:framePr w:w="2268" w:hSpace="181" w:vSpace="181" w:wrap="around" w:vAnchor="text" w:hAnchor="page" w:x="1135" w:y="285" w:anchorLock="1"/>
    </w:pPr>
    <w:rPr>
      <w:i/>
    </w:rPr>
  </w:style>
  <w:style w:type="paragraph" w:customStyle="1" w:styleId="MiniTOCTitle">
    <w:name w:val="MiniTOCTitle"/>
    <w:basedOn w:val="Heading4"/>
    <w:rsid w:val="00F04477"/>
    <w:pPr>
      <w:spacing w:before="240"/>
      <w:outlineLvl w:val="9"/>
    </w:pPr>
    <w:rPr>
      <w:noProof/>
      <w:sz w:val="24"/>
    </w:rPr>
  </w:style>
  <w:style w:type="paragraph" w:customStyle="1" w:styleId="MiniTOCItem">
    <w:name w:val="MiniTOCItem"/>
    <w:basedOn w:val="ListBullet"/>
    <w:rsid w:val="00F04477"/>
    <w:pPr>
      <w:numPr>
        <w:numId w:val="0"/>
      </w:numPr>
      <w:tabs>
        <w:tab w:val="right" w:leader="dot" w:pos="6521"/>
      </w:tabs>
      <w:spacing w:before="0" w:after="0"/>
    </w:pPr>
  </w:style>
  <w:style w:type="paragraph" w:customStyle="1" w:styleId="TOFTitle">
    <w:name w:val="TOFTitle"/>
    <w:basedOn w:val="TOCTitle"/>
    <w:rsid w:val="00F04477"/>
  </w:style>
  <w:style w:type="paragraph" w:styleId="TableofFigures">
    <w:name w:val="table of figures"/>
    <w:basedOn w:val="Normal"/>
    <w:next w:val="Normal"/>
    <w:semiHidden/>
    <w:rsid w:val="00F04477"/>
    <w:pPr>
      <w:tabs>
        <w:tab w:val="right" w:leader="dot" w:pos="9072"/>
      </w:tabs>
      <w:ind w:left="970" w:hanging="403"/>
    </w:pPr>
    <w:rPr>
      <w:rFonts w:ascii="Times New Roman" w:hAnsi="Times New Roman"/>
      <w:b/>
    </w:rPr>
  </w:style>
  <w:style w:type="paragraph" w:styleId="ListNumber">
    <w:name w:val="List Number"/>
    <w:basedOn w:val="List"/>
    <w:rsid w:val="00F04477"/>
    <w:pPr>
      <w:numPr>
        <w:numId w:val="10"/>
      </w:numPr>
    </w:pPr>
  </w:style>
  <w:style w:type="character" w:customStyle="1" w:styleId="WingdingSymbols">
    <w:name w:val="Wingding Symbols"/>
    <w:rsid w:val="00F04477"/>
    <w:rPr>
      <w:rFonts w:ascii="Wingdings" w:hAnsi="Wingdings"/>
    </w:rPr>
  </w:style>
  <w:style w:type="paragraph" w:customStyle="1" w:styleId="TableHeading">
    <w:name w:val="Table Heading"/>
    <w:basedOn w:val="HeadingBase"/>
    <w:rsid w:val="00F04477"/>
    <w:pPr>
      <w:keepLines/>
      <w:pBdr>
        <w:bottom w:val="single" w:sz="6" w:space="1" w:color="918585"/>
      </w:pBdr>
      <w:spacing w:before="240"/>
    </w:pPr>
  </w:style>
  <w:style w:type="character" w:customStyle="1" w:styleId="HotSpot">
    <w:name w:val="HotSpot"/>
    <w:rsid w:val="00F04477"/>
    <w:rPr>
      <w:color w:val="0033CC"/>
      <w:u w:val="none"/>
    </w:rPr>
  </w:style>
  <w:style w:type="paragraph" w:customStyle="1" w:styleId="BodyTextRight">
    <w:name w:val="Body Text Right"/>
    <w:basedOn w:val="BodyText"/>
    <w:rsid w:val="00F04477"/>
    <w:pPr>
      <w:spacing w:before="0" w:after="0"/>
      <w:jc w:val="right"/>
    </w:pPr>
  </w:style>
  <w:style w:type="paragraph" w:styleId="Index3">
    <w:name w:val="index 3"/>
    <w:basedOn w:val="ListNumber2"/>
    <w:next w:val="Normal"/>
    <w:semiHidden/>
    <w:rsid w:val="00F04477"/>
    <w:pPr>
      <w:numPr>
        <w:numId w:val="0"/>
      </w:numPr>
      <w:tabs>
        <w:tab w:val="right" w:leader="dot" w:pos="4176"/>
      </w:tabs>
    </w:pPr>
  </w:style>
  <w:style w:type="paragraph" w:styleId="ListNumber2">
    <w:name w:val="List Number 2"/>
    <w:basedOn w:val="List2"/>
    <w:rsid w:val="00F04477"/>
    <w:pPr>
      <w:numPr>
        <w:numId w:val="9"/>
      </w:numPr>
      <w:tabs>
        <w:tab w:val="clear" w:pos="1060"/>
      </w:tabs>
    </w:pPr>
  </w:style>
  <w:style w:type="paragraph" w:customStyle="1" w:styleId="MarginNote">
    <w:name w:val="Margin Note"/>
    <w:basedOn w:val="BodyText"/>
    <w:rsid w:val="00F044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44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44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4477"/>
    <w:rPr>
      <w:sz w:val="32"/>
    </w:rPr>
  </w:style>
  <w:style w:type="paragraph" w:customStyle="1" w:styleId="HeadingProcedure">
    <w:name w:val="Heading Procedure"/>
    <w:basedOn w:val="HeadingBase"/>
    <w:next w:val="Normal"/>
    <w:rsid w:val="00F04477"/>
    <w:pPr>
      <w:tabs>
        <w:tab w:val="left" w:pos="0"/>
      </w:tabs>
      <w:spacing w:before="120" w:after="60"/>
    </w:pPr>
    <w:rPr>
      <w:i/>
      <w:color w:val="918585"/>
      <w:sz w:val="22"/>
    </w:rPr>
  </w:style>
  <w:style w:type="paragraph" w:customStyle="1" w:styleId="TableBodyText">
    <w:name w:val="Table Body Text"/>
    <w:basedOn w:val="BodyText"/>
    <w:rsid w:val="00F04477"/>
    <w:pPr>
      <w:spacing w:before="60" w:after="60"/>
    </w:pPr>
  </w:style>
  <w:style w:type="paragraph" w:styleId="ListContinue">
    <w:name w:val="List Continue"/>
    <w:basedOn w:val="List"/>
    <w:rsid w:val="00F04477"/>
    <w:pPr>
      <w:ind w:firstLine="0"/>
    </w:pPr>
  </w:style>
  <w:style w:type="paragraph" w:customStyle="1" w:styleId="ListNote">
    <w:name w:val="List Note"/>
    <w:basedOn w:val="List"/>
    <w:rsid w:val="00F04477"/>
    <w:pPr>
      <w:pBdr>
        <w:top w:val="single" w:sz="6" w:space="2" w:color="918585"/>
        <w:bottom w:val="single" w:sz="6" w:space="2" w:color="918585"/>
      </w:pBdr>
      <w:tabs>
        <w:tab w:val="left" w:pos="1021"/>
      </w:tabs>
      <w:ind w:firstLine="0"/>
    </w:pPr>
  </w:style>
  <w:style w:type="paragraph" w:customStyle="1" w:styleId="Warning">
    <w:name w:val="Warning"/>
    <w:basedOn w:val="BodyText"/>
    <w:rsid w:val="00F04477"/>
    <w:pPr>
      <w:shd w:val="clear" w:color="auto" w:fill="D9D9D9"/>
      <w:tabs>
        <w:tab w:val="left" w:pos="992"/>
      </w:tabs>
      <w:ind w:left="119" w:right="119"/>
    </w:pPr>
    <w:rPr>
      <w:sz w:val="20"/>
    </w:rPr>
  </w:style>
  <w:style w:type="paragraph" w:customStyle="1" w:styleId="MarginIcons">
    <w:name w:val="Margin Icons"/>
    <w:basedOn w:val="BodyText"/>
    <w:rsid w:val="00F044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4477"/>
    <w:rPr>
      <w:rFonts w:ascii="Courier New" w:hAnsi="Courier New"/>
    </w:rPr>
  </w:style>
  <w:style w:type="paragraph" w:customStyle="1" w:styleId="NoteBullet">
    <w:name w:val="Note Bullet"/>
    <w:basedOn w:val="Note"/>
    <w:rsid w:val="00F04477"/>
    <w:pPr>
      <w:tabs>
        <w:tab w:val="clear" w:pos="680"/>
      </w:tabs>
      <w:spacing w:before="60" w:after="60"/>
    </w:pPr>
  </w:style>
  <w:style w:type="paragraph" w:customStyle="1" w:styleId="SubHeading2">
    <w:name w:val="SubHeading2"/>
    <w:basedOn w:val="HeadingBase"/>
    <w:rsid w:val="00F04477"/>
    <w:pPr>
      <w:spacing w:before="240" w:after="60"/>
    </w:pPr>
    <w:rPr>
      <w:sz w:val="20"/>
    </w:rPr>
  </w:style>
  <w:style w:type="paragraph" w:customStyle="1" w:styleId="SubHeading1">
    <w:name w:val="SubHeading1"/>
    <w:basedOn w:val="HeadingBase"/>
    <w:rsid w:val="00F04477"/>
    <w:pPr>
      <w:spacing w:before="240" w:after="60"/>
    </w:pPr>
    <w:rPr>
      <w:color w:val="918585"/>
      <w:sz w:val="22"/>
    </w:rPr>
  </w:style>
  <w:style w:type="paragraph" w:customStyle="1" w:styleId="SideHeading">
    <w:name w:val="Side Heading"/>
    <w:basedOn w:val="HeadingBase"/>
    <w:rsid w:val="00F044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4477"/>
    <w:pPr>
      <w:tabs>
        <w:tab w:val="num" w:pos="360"/>
      </w:tabs>
    </w:pPr>
  </w:style>
  <w:style w:type="paragraph" w:styleId="PlainText">
    <w:name w:val="Plain Text"/>
    <w:basedOn w:val="Normal"/>
    <w:link w:val="PlainTextChar"/>
    <w:rsid w:val="00F04477"/>
    <w:rPr>
      <w:sz w:val="20"/>
    </w:rPr>
  </w:style>
  <w:style w:type="character" w:customStyle="1" w:styleId="PlainTextChar">
    <w:name w:val="Plain Text Char"/>
    <w:basedOn w:val="DefaultParagraphFont"/>
    <w:link w:val="PlainText"/>
    <w:rsid w:val="00F044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4477"/>
    <w:rPr>
      <w:b/>
      <w:smallCaps/>
    </w:rPr>
  </w:style>
  <w:style w:type="paragraph" w:customStyle="1" w:styleId="TableListNumber">
    <w:name w:val="Table List Number"/>
    <w:basedOn w:val="ListNumber"/>
    <w:rsid w:val="00F04477"/>
    <w:pPr>
      <w:numPr>
        <w:numId w:val="0"/>
      </w:numPr>
    </w:pPr>
  </w:style>
  <w:style w:type="paragraph" w:styleId="TOC4">
    <w:name w:val="toc 4"/>
    <w:basedOn w:val="TOCBase"/>
    <w:next w:val="Normal"/>
    <w:semiHidden/>
    <w:rsid w:val="00F04477"/>
    <w:pPr>
      <w:tabs>
        <w:tab w:val="right" w:leader="dot" w:pos="9071"/>
      </w:tabs>
      <w:ind w:left="1701"/>
    </w:pPr>
  </w:style>
  <w:style w:type="paragraph" w:customStyle="1" w:styleId="ListAlpha">
    <w:name w:val="List Alpha"/>
    <w:basedOn w:val="List"/>
    <w:rsid w:val="00F04477"/>
    <w:pPr>
      <w:numPr>
        <w:numId w:val="8"/>
      </w:numPr>
    </w:pPr>
  </w:style>
  <w:style w:type="paragraph" w:customStyle="1" w:styleId="ListAlpha2">
    <w:name w:val="List Alpha 2"/>
    <w:basedOn w:val="List2"/>
    <w:rsid w:val="00F04477"/>
    <w:pPr>
      <w:numPr>
        <w:numId w:val="7"/>
      </w:numPr>
    </w:pPr>
  </w:style>
  <w:style w:type="paragraph" w:styleId="List2">
    <w:name w:val="List 2"/>
    <w:basedOn w:val="BodyText"/>
    <w:rsid w:val="00F04477"/>
    <w:pPr>
      <w:tabs>
        <w:tab w:val="left" w:pos="680"/>
      </w:tabs>
      <w:spacing w:before="60" w:after="60"/>
      <w:ind w:left="680" w:hanging="340"/>
    </w:pPr>
  </w:style>
  <w:style w:type="paragraph" w:styleId="List3">
    <w:name w:val="List 3"/>
    <w:basedOn w:val="BodyText"/>
    <w:rsid w:val="00F04477"/>
    <w:pPr>
      <w:tabs>
        <w:tab w:val="left" w:pos="1021"/>
      </w:tabs>
      <w:spacing w:before="60" w:after="60"/>
      <w:ind w:left="1020" w:hanging="340"/>
    </w:pPr>
  </w:style>
  <w:style w:type="paragraph" w:styleId="List4">
    <w:name w:val="List 4"/>
    <w:basedOn w:val="BodyText"/>
    <w:rsid w:val="00F04477"/>
    <w:pPr>
      <w:tabs>
        <w:tab w:val="left" w:pos="1361"/>
      </w:tabs>
      <w:spacing w:before="60" w:after="60"/>
      <w:ind w:left="1361" w:hanging="340"/>
    </w:pPr>
  </w:style>
  <w:style w:type="paragraph" w:styleId="List5">
    <w:name w:val="List 5"/>
    <w:basedOn w:val="BodyText"/>
    <w:rsid w:val="00F04477"/>
    <w:pPr>
      <w:tabs>
        <w:tab w:val="left" w:pos="1701"/>
      </w:tabs>
      <w:spacing w:before="60" w:after="60"/>
      <w:ind w:left="1701" w:hanging="340"/>
    </w:pPr>
  </w:style>
  <w:style w:type="paragraph" w:styleId="ListBullet3">
    <w:name w:val="List Bullet 3"/>
    <w:basedOn w:val="List3"/>
    <w:rsid w:val="00F04477"/>
    <w:pPr>
      <w:numPr>
        <w:numId w:val="14"/>
      </w:numPr>
      <w:tabs>
        <w:tab w:val="clear" w:pos="1021"/>
      </w:tabs>
      <w:ind w:left="1037" w:hanging="357"/>
    </w:pPr>
  </w:style>
  <w:style w:type="paragraph" w:styleId="ListBullet4">
    <w:name w:val="List Bullet 4"/>
    <w:basedOn w:val="List4"/>
    <w:rsid w:val="00F04477"/>
    <w:pPr>
      <w:numPr>
        <w:numId w:val="2"/>
      </w:numPr>
    </w:pPr>
  </w:style>
  <w:style w:type="paragraph" w:styleId="ListBullet5">
    <w:name w:val="List Bullet 5"/>
    <w:basedOn w:val="List5"/>
    <w:rsid w:val="00F04477"/>
    <w:pPr>
      <w:numPr>
        <w:numId w:val="3"/>
      </w:numPr>
    </w:pPr>
  </w:style>
  <w:style w:type="paragraph" w:styleId="ListContinue2">
    <w:name w:val="List Continue 2"/>
    <w:basedOn w:val="List2"/>
    <w:rsid w:val="00F04477"/>
    <w:pPr>
      <w:ind w:firstLine="0"/>
    </w:pPr>
  </w:style>
  <w:style w:type="paragraph" w:styleId="ListContinue3">
    <w:name w:val="List Continue 3"/>
    <w:basedOn w:val="List3"/>
    <w:rsid w:val="00F04477"/>
    <w:pPr>
      <w:ind w:left="1021" w:firstLine="0"/>
    </w:pPr>
  </w:style>
  <w:style w:type="paragraph" w:styleId="ListContinue4">
    <w:name w:val="List Continue 4"/>
    <w:basedOn w:val="List4"/>
    <w:rsid w:val="00F04477"/>
    <w:pPr>
      <w:ind w:firstLine="0"/>
    </w:pPr>
  </w:style>
  <w:style w:type="paragraph" w:styleId="ListContinue5">
    <w:name w:val="List Continue 5"/>
    <w:basedOn w:val="List5"/>
    <w:rsid w:val="00F04477"/>
    <w:pPr>
      <w:ind w:firstLine="0"/>
    </w:pPr>
  </w:style>
  <w:style w:type="paragraph" w:styleId="ListNumber3">
    <w:name w:val="List Number 3"/>
    <w:basedOn w:val="List3"/>
    <w:rsid w:val="00F04477"/>
    <w:pPr>
      <w:numPr>
        <w:numId w:val="4"/>
      </w:numPr>
    </w:pPr>
  </w:style>
  <w:style w:type="paragraph" w:styleId="ListNumber4">
    <w:name w:val="List Number 4"/>
    <w:basedOn w:val="List4"/>
    <w:rsid w:val="00F04477"/>
    <w:pPr>
      <w:numPr>
        <w:numId w:val="5"/>
      </w:numPr>
    </w:pPr>
  </w:style>
  <w:style w:type="paragraph" w:styleId="ListNumber5">
    <w:name w:val="List Number 5"/>
    <w:basedOn w:val="List5"/>
    <w:rsid w:val="00F04477"/>
    <w:pPr>
      <w:numPr>
        <w:numId w:val="6"/>
      </w:numPr>
    </w:pPr>
  </w:style>
  <w:style w:type="paragraph" w:styleId="BlockText">
    <w:name w:val="Block Text"/>
    <w:basedOn w:val="Normal"/>
    <w:rsid w:val="00F04477"/>
    <w:pPr>
      <w:spacing w:after="120"/>
      <w:ind w:left="1440" w:right="1440"/>
    </w:pPr>
  </w:style>
  <w:style w:type="character" w:customStyle="1" w:styleId="Subscript">
    <w:name w:val="Subscript"/>
    <w:basedOn w:val="DefaultParagraphFont"/>
    <w:rsid w:val="00F04477"/>
    <w:rPr>
      <w:sz w:val="16"/>
      <w:vertAlign w:val="subscript"/>
    </w:rPr>
  </w:style>
  <w:style w:type="character" w:customStyle="1" w:styleId="Superscript">
    <w:name w:val="Superscript"/>
    <w:basedOn w:val="DefaultParagraphFont"/>
    <w:rsid w:val="00F04477"/>
    <w:rPr>
      <w:sz w:val="16"/>
      <w:vertAlign w:val="superscript"/>
    </w:rPr>
  </w:style>
  <w:style w:type="character" w:customStyle="1" w:styleId="Symbols">
    <w:name w:val="Symbols"/>
    <w:basedOn w:val="DefaultParagraphFont"/>
    <w:rsid w:val="00F04477"/>
    <w:rPr>
      <w:rFonts w:ascii="Symbol" w:hAnsi="Symbol"/>
    </w:rPr>
  </w:style>
  <w:style w:type="character" w:customStyle="1" w:styleId="MenuOptions">
    <w:name w:val="Menu Options"/>
    <w:basedOn w:val="DefaultParagraphFont"/>
    <w:rsid w:val="00F04477"/>
    <w:rPr>
      <w:rFonts w:ascii="Arial Narrow" w:hAnsi="Arial Narrow"/>
      <w:smallCaps/>
    </w:rPr>
  </w:style>
  <w:style w:type="character" w:customStyle="1" w:styleId="Buttons">
    <w:name w:val="Buttons"/>
    <w:basedOn w:val="DefaultParagraphFont"/>
    <w:rsid w:val="00F04477"/>
    <w:rPr>
      <w:b/>
    </w:rPr>
  </w:style>
  <w:style w:type="character" w:customStyle="1" w:styleId="Underlined">
    <w:name w:val="Underlined"/>
    <w:basedOn w:val="DefaultParagraphFont"/>
    <w:rsid w:val="00F04477"/>
    <w:rPr>
      <w:u w:val="single"/>
    </w:rPr>
  </w:style>
  <w:style w:type="paragraph" w:customStyle="1" w:styleId="TableBodyTextRight">
    <w:name w:val="Table Body Text Right"/>
    <w:basedOn w:val="TableBodyText"/>
    <w:rsid w:val="00F04477"/>
    <w:pPr>
      <w:widowControl w:val="0"/>
      <w:autoSpaceDE w:val="0"/>
      <w:autoSpaceDN w:val="0"/>
      <w:adjustRightInd w:val="0"/>
      <w:jc w:val="right"/>
    </w:pPr>
    <w:rPr>
      <w:rFonts w:cs="Arial"/>
      <w:szCs w:val="18"/>
    </w:rPr>
  </w:style>
  <w:style w:type="paragraph" w:customStyle="1" w:styleId="CopyrightText">
    <w:name w:val="Copyright Text"/>
    <w:basedOn w:val="BodyText"/>
    <w:rsid w:val="00F04477"/>
    <w:rPr>
      <w:sz w:val="18"/>
    </w:rPr>
  </w:style>
  <w:style w:type="paragraph" w:customStyle="1" w:styleId="BodySmallRight">
    <w:name w:val="Body Small Right"/>
    <w:basedOn w:val="BodyTextRight"/>
    <w:rsid w:val="00F04477"/>
    <w:rPr>
      <w:sz w:val="18"/>
      <w:szCs w:val="18"/>
    </w:rPr>
  </w:style>
  <w:style w:type="paragraph" w:customStyle="1" w:styleId="MarginEdition">
    <w:name w:val="Margin Edition"/>
    <w:basedOn w:val="MarginNote"/>
    <w:rsid w:val="00F04477"/>
    <w:pPr>
      <w:spacing w:before="0" w:after="0"/>
    </w:pPr>
    <w:rPr>
      <w:rFonts w:ascii="Times New Roman" w:hAnsi="Times New Roman"/>
      <w:color w:val="999999"/>
    </w:rPr>
  </w:style>
  <w:style w:type="paragraph" w:customStyle="1" w:styleId="Spacer">
    <w:name w:val="Spacer"/>
    <w:basedOn w:val="Normal"/>
    <w:rsid w:val="00F04477"/>
    <w:rPr>
      <w:sz w:val="2"/>
      <w:szCs w:val="2"/>
    </w:rPr>
  </w:style>
  <w:style w:type="character" w:customStyle="1" w:styleId="Small">
    <w:name w:val="Small"/>
    <w:basedOn w:val="DefaultParagraphFont"/>
    <w:rsid w:val="00F04477"/>
    <w:rPr>
      <w:sz w:val="16"/>
    </w:rPr>
  </w:style>
  <w:style w:type="paragraph" w:customStyle="1" w:styleId="WideTable">
    <w:name w:val="Wide Table"/>
    <w:basedOn w:val="Normal"/>
    <w:rsid w:val="00F04477"/>
    <w:pPr>
      <w:ind w:left="-1418"/>
    </w:pPr>
    <w:rPr>
      <w:sz w:val="2"/>
      <w:szCs w:val="2"/>
    </w:rPr>
  </w:style>
  <w:style w:type="character" w:styleId="PageNumber">
    <w:name w:val="page number"/>
    <w:basedOn w:val="DefaultParagraphFont"/>
    <w:rsid w:val="00F04477"/>
  </w:style>
  <w:style w:type="paragraph" w:styleId="Quote">
    <w:name w:val="Quote"/>
    <w:basedOn w:val="Heading1"/>
    <w:link w:val="QuoteChar"/>
    <w:qFormat/>
    <w:rsid w:val="00F04477"/>
    <w:rPr>
      <w:b w:val="0"/>
      <w:sz w:val="72"/>
      <w:szCs w:val="72"/>
      <w:lang w:val="en-NZ"/>
    </w:rPr>
  </w:style>
  <w:style w:type="character" w:customStyle="1" w:styleId="QuoteChar">
    <w:name w:val="Quote Char"/>
    <w:basedOn w:val="DefaultParagraphFont"/>
    <w:link w:val="Quote"/>
    <w:rsid w:val="00F044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4477"/>
    <w:pPr>
      <w:pageBreakBefore/>
    </w:pPr>
  </w:style>
  <w:style w:type="paragraph" w:customStyle="1" w:styleId="Border">
    <w:name w:val="Border"/>
    <w:basedOn w:val="Normal"/>
    <w:qFormat/>
    <w:rsid w:val="00F044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4477"/>
    <w:rPr>
      <w:b/>
      <w:bCs/>
      <w:i/>
      <w:iCs/>
      <w:color w:val="auto"/>
    </w:rPr>
  </w:style>
  <w:style w:type="paragraph" w:styleId="IntenseQuote">
    <w:name w:val="Intense Quote"/>
    <w:basedOn w:val="Normal"/>
    <w:next w:val="Normal"/>
    <w:link w:val="IntenseQuoteChar"/>
    <w:uiPriority w:val="30"/>
    <w:qFormat/>
    <w:rsid w:val="00F044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44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4477"/>
    <w:rPr>
      <w:smallCaps/>
      <w:color w:val="auto"/>
      <w:u w:val="single"/>
    </w:rPr>
  </w:style>
  <w:style w:type="character" w:styleId="IntenseReference">
    <w:name w:val="Intense Reference"/>
    <w:basedOn w:val="DefaultParagraphFont"/>
    <w:uiPriority w:val="32"/>
    <w:qFormat/>
    <w:rsid w:val="00F04477"/>
    <w:rPr>
      <w:b/>
      <w:bCs/>
      <w:smallCaps/>
      <w:color w:val="auto"/>
      <w:spacing w:val="5"/>
      <w:u w:val="single"/>
    </w:rPr>
  </w:style>
  <w:style w:type="paragraph" w:customStyle="1" w:styleId="2ColumnHeading">
    <w:name w:val="2Column Heading"/>
    <w:basedOn w:val="BodyText"/>
    <w:qFormat/>
    <w:rsid w:val="00F04477"/>
    <w:pPr>
      <w:spacing w:after="60"/>
      <w:ind w:left="-2268"/>
    </w:pPr>
    <w:rPr>
      <w:b/>
    </w:rPr>
  </w:style>
  <w:style w:type="paragraph" w:customStyle="1" w:styleId="Heading1TOC">
    <w:name w:val="Heading1 TOC"/>
    <w:basedOn w:val="Normal"/>
    <w:qFormat/>
    <w:rsid w:val="00F04477"/>
    <w:pPr>
      <w:spacing w:before="240" w:after="120"/>
    </w:pPr>
    <w:rPr>
      <w:rFonts w:ascii="Times New Roman" w:hAnsi="Times New Roman"/>
      <w:b/>
      <w:sz w:val="32"/>
    </w:rPr>
  </w:style>
  <w:style w:type="paragraph" w:customStyle="1" w:styleId="Heading2TOC">
    <w:name w:val="Heading2 TOC"/>
    <w:basedOn w:val="Normal"/>
    <w:qFormat/>
    <w:rsid w:val="00F04477"/>
    <w:pPr>
      <w:spacing w:before="240" w:after="60"/>
    </w:pPr>
    <w:rPr>
      <w:rFonts w:ascii="Times New Roman" w:hAnsi="Times New Roman"/>
      <w:b/>
      <w:sz w:val="28"/>
    </w:rPr>
  </w:style>
  <w:style w:type="character" w:customStyle="1" w:styleId="Underline">
    <w:name w:val="Underline"/>
    <w:basedOn w:val="DefaultParagraphFont"/>
    <w:qFormat/>
    <w:rsid w:val="00F04477"/>
    <w:rPr>
      <w:u w:val="single"/>
    </w:rPr>
  </w:style>
  <w:style w:type="character" w:customStyle="1" w:styleId="BoldandItalics">
    <w:name w:val="Bold and Italics"/>
    <w:qFormat/>
    <w:rsid w:val="00F04477"/>
    <w:rPr>
      <w:b/>
      <w:i/>
      <w:u w:val="none"/>
    </w:rPr>
  </w:style>
  <w:style w:type="paragraph" w:styleId="BalloonText">
    <w:name w:val="Balloon Text"/>
    <w:basedOn w:val="Normal"/>
    <w:link w:val="BalloonTextChar"/>
    <w:rsid w:val="00F04477"/>
    <w:rPr>
      <w:rFonts w:ascii="Tahoma" w:hAnsi="Tahoma" w:cs="Tahoma"/>
      <w:sz w:val="16"/>
      <w:szCs w:val="16"/>
    </w:rPr>
  </w:style>
  <w:style w:type="character" w:customStyle="1" w:styleId="BalloonTextChar">
    <w:name w:val="Balloon Text Char"/>
    <w:basedOn w:val="DefaultParagraphFont"/>
    <w:link w:val="BalloonText"/>
    <w:rsid w:val="00F044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44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44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1254</Words>
  <Characters>7872</Characters>
  <Application>Microsoft Office Word</Application>
  <DocSecurity>0</DocSecurity>
  <Lines>336</Lines>
  <Paragraphs>184</Paragraphs>
  <ScaleCrop>false</ScaleCrop>
  <Company>Author-it Software Corporation Ltd.</Company>
  <LinksUpToDate>false</LinksUpToDate>
  <CharactersWithSpaces>9004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MEM26010A Store and handle composite materials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2012-05-27T02:13:00Z</dcterms:created>
  <dcterms:modified xsi:type="dcterms:W3CDTF">2012-05-27T02:13:00Z</dcterms:modified>
</cp:coreProperties>
</file>