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717" w:rsidP="00D40717">
      <w:pPr>
        <w:pStyle w:val="Title"/>
      </w:pPr>
      <w:r>
        <w:fldChar w:fldCharType="begin"/>
      </w:r>
      <w:r>
        <w:instrText xml:space="preserve"> TITLE   \* MERGEFORMAT </w:instrText>
      </w:r>
      <w:r>
        <w:fldChar w:fldCharType="separate"/>
      </w:r>
      <w:r>
        <w:t>MEM26009A Select and use cores and fillers appropriate for product</w:t>
      </w:r>
      <w:r>
        <w:fldChar w:fldCharType="end"/>
      </w:r>
    </w:p>
    <w:p w:rsidR="00D40717" w:rsidP="00D40717">
      <w:pPr>
        <w:pStyle w:val="Version"/>
        <w:sectPr w:rsidSect="00373A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A41" w:rsidP="00373A41">
      <w:pPr>
        <w:pStyle w:val="SuperHeading"/>
      </w:pPr>
      <w:r w:rsidRPr="00373A41">
        <w:t>MEM26009A Select and use cores and fillers appropriate for product</w:t>
      </w:r>
    </w:p>
    <w:p w:rsidR="00000000" w:rsidRPr="00373A41" w:rsidP="00373A41">
      <w:pPr>
        <w:pStyle w:val="Heading1"/>
      </w:pPr>
      <w:bookmarkStart w:id="1" w:name="O_441518"/>
      <w:bookmarkEnd w:id="1"/>
      <w:r w:rsidRPr="00373A41">
        <w:t>Modification History</w:t>
      </w:r>
    </w:p>
    <w:tbl>
      <w:tblPr>
        <w:tblW w:w="0" w:type="auto"/>
        <w:tblLayout w:type="fixed"/>
        <w:tblCellMar>
          <w:left w:w="62" w:type="dxa"/>
          <w:right w:w="62" w:type="dxa"/>
        </w:tblCellMar>
        <w:tblLook w:val="0000"/>
      </w:tblPr>
      <w:tblGrid>
        <w:gridCol w:w="1192"/>
        <w:gridCol w:w="7878"/>
      </w:tblGrid>
      <w:tr w:rsidTr="00373A41">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Release 1</w:t>
            </w:r>
          </w:p>
        </w:tc>
        <w:tc>
          <w:tcPr>
            <w:tcW w:w="7878" w:type="dxa"/>
            <w:tcBorders>
              <w:top w:val="nil"/>
              <w:left w:val="nil"/>
              <w:bottom w:val="nil"/>
              <w:right w:val="nil"/>
            </w:tcBorders>
            <w:tcMar>
              <w:top w:w="0" w:type="dxa"/>
              <w:left w:w="62" w:type="dxa"/>
              <w:bottom w:w="0" w:type="dxa"/>
              <w:right w:w="62" w:type="dxa"/>
            </w:tcMar>
          </w:tcPr>
          <w:p w:rsidR="00000000" w:rsidRPr="00373A41" w:rsidP="00373A41">
            <w:pPr>
              <w:pStyle w:val="BodyText"/>
            </w:pPr>
            <w:r w:rsidRPr="00373A41">
              <w:t>New unit</w:t>
            </w:r>
          </w:p>
        </w:tc>
      </w:tr>
    </w:tbl>
    <w:p w:rsidR="00000000" w:rsidRPr="00373A41" w:rsidP="00373A41">
      <w:pPr>
        <w:pStyle w:val="BodyText"/>
      </w:pPr>
    </w:p>
    <w:p w:rsidR="00000000" w:rsidRPr="00373A41" w:rsidP="00373A41">
      <w:pPr>
        <w:pStyle w:val="AllowPageBreak"/>
      </w:pPr>
    </w:p>
    <w:p w:rsidR="00000000" w:rsidRPr="00373A41" w:rsidP="00373A41">
      <w:pPr>
        <w:pStyle w:val="Heading1"/>
      </w:pPr>
      <w:bookmarkStart w:id="2" w:name="O_441519"/>
      <w:bookmarkEnd w:id="2"/>
      <w:r w:rsidRPr="00373A41">
        <w:t>Unit Descriptor</w:t>
      </w:r>
    </w:p>
    <w:p w:rsidR="00000000" w:rsidRPr="00373A41" w:rsidP="00373A41">
      <w:pPr>
        <w:pStyle w:val="BodyText"/>
      </w:pPr>
      <w:r w:rsidRPr="00373A41">
        <w:t>This unit of competency covers the skills and knowledge required to select and use appropriate cores and fillers for a job from what is normally used by organisation, as well as what is available commercially. It includes purposes of cores and fillers, typ</w:t>
      </w:r>
      <w:r w:rsidRPr="00373A41">
        <w:t>ical applications of core materials, strengths and weaknesses, and fabrication processes.</w:t>
      </w:r>
    </w:p>
    <w:p w:rsidR="00000000" w:rsidRPr="00373A41" w:rsidP="00373A41">
      <w:pPr>
        <w:pStyle w:val="BodyText"/>
      </w:pPr>
      <w:r w:rsidRPr="00373A41">
        <w:t>Some industry usage includes cores as a subset of reinforcing, but they are separated in this qualification for purposes of clarity.</w:t>
      </w:r>
    </w:p>
    <w:p w:rsidR="00000000" w:rsidRPr="00373A41" w:rsidP="00373A41">
      <w:pPr>
        <w:pStyle w:val="AllowPageBreak"/>
      </w:pPr>
    </w:p>
    <w:p w:rsidR="00000000" w:rsidRPr="00373A41" w:rsidP="00373A41">
      <w:pPr>
        <w:pStyle w:val="Heading1"/>
      </w:pPr>
      <w:bookmarkStart w:id="3" w:name="O_441520"/>
      <w:bookmarkEnd w:id="3"/>
      <w:r w:rsidRPr="00373A41">
        <w:t>Application of t</w:t>
      </w:r>
      <w:r w:rsidRPr="00373A41">
        <w:t>he Unit</w:t>
      </w:r>
    </w:p>
    <w:p w:rsidR="00000000" w:rsidRPr="00373A41" w:rsidP="00373A41">
      <w:pPr>
        <w:pStyle w:val="BodyText"/>
      </w:pPr>
      <w:r w:rsidRPr="00373A41">
        <w:t>This unit may cover the redesign of an existing product (e.g. using a different process) or the design of a new product similar to an existing product.</w:t>
      </w:r>
    </w:p>
    <w:p w:rsidR="00000000" w:rsidRPr="00373A41" w:rsidP="00373A41">
      <w:pPr>
        <w:pStyle w:val="BodyText"/>
      </w:pPr>
      <w:r w:rsidRPr="00373A41">
        <w:t>This unit does not include the selection of a suitable resin system. Where the resin system also</w:t>
      </w:r>
      <w:r w:rsidRPr="00373A41">
        <w:t xml:space="preserve"> needs to be chosen refer to MEM2626008A Select and use resin systems appropriate for product.</w:t>
      </w:r>
    </w:p>
    <w:p w:rsidR="00000000" w:rsidRPr="00373A41" w:rsidP="00373A41">
      <w:pPr>
        <w:pStyle w:val="BodyText"/>
      </w:pPr>
      <w:r w:rsidRPr="00373A41">
        <w:t>This unit does not cover the selection of suitable reinforcing. Where reinforcing also needs to be chosen refer to MEM26007A Select and use reinforcing appropria</w:t>
      </w:r>
      <w:r w:rsidRPr="00373A41">
        <w:t>te for product.</w:t>
      </w:r>
    </w:p>
    <w:p w:rsidR="00000000" w:rsidRPr="00373A41" w:rsidP="00373A41">
      <w:pPr>
        <w:pStyle w:val="BodyText"/>
      </w:pPr>
      <w:r w:rsidRPr="00373A41">
        <w:t>Core and filler selection and use may typically be undertaken by an individual in liaison with relevant stakeholders or it may undertaken by a team. Selection may be undertaken in an office environment or at the worksite.</w:t>
      </w:r>
    </w:p>
    <w:p w:rsidR="00000000" w:rsidRPr="00373A41" w:rsidP="00373A41">
      <w:pPr>
        <w:pStyle w:val="BodyText"/>
      </w:pPr>
      <w:r w:rsidRPr="00373A41">
        <w:t>Use of the core an</w:t>
      </w:r>
      <w:r w:rsidRPr="00373A41">
        <w:t>d filler will be as part of a fabrication and may be undertaken by an individual or a team. It may be undertaken in a workshop or factory environment or in the field and may be used to manufacture new products, prototypes and samples, or to make repairs.</w:t>
      </w:r>
    </w:p>
    <w:p w:rsidR="00000000" w:rsidRPr="00373A41" w:rsidP="00373A41">
      <w:pPr>
        <w:pStyle w:val="AllowPageBreak"/>
      </w:pPr>
    </w:p>
    <w:p w:rsidR="00000000" w:rsidRPr="00373A41" w:rsidP="00373A41">
      <w:pPr>
        <w:pStyle w:val="Heading1"/>
      </w:pPr>
      <w:bookmarkStart w:id="4" w:name="O_441521"/>
      <w:bookmarkEnd w:id="4"/>
      <w:r w:rsidRPr="00373A41">
        <w:t>Licensing/Regulatory Information</w:t>
      </w:r>
    </w:p>
    <w:p w:rsidR="00000000" w:rsidRPr="00373A41" w:rsidP="00373A41">
      <w:pPr>
        <w:pStyle w:val="BodyText"/>
      </w:pPr>
      <w:r w:rsidRPr="00373A41">
        <w:t>Not applicable.</w:t>
      </w:r>
    </w:p>
    <w:p w:rsidR="00000000" w:rsidRPr="00373A41" w:rsidP="00373A41">
      <w:pPr>
        <w:pStyle w:val="AllowPageBreak"/>
      </w:pPr>
    </w:p>
    <w:p w:rsidR="00000000" w:rsidRPr="00373A41" w:rsidP="00373A41">
      <w:pPr>
        <w:pStyle w:val="Heading1"/>
      </w:pPr>
      <w:bookmarkStart w:id="5" w:name="O_441522"/>
      <w:bookmarkEnd w:id="5"/>
      <w:r w:rsidRPr="00373A41">
        <w:t>Pre-Requisites</w:t>
      </w:r>
    </w:p>
    <w:p w:rsidR="00000000" w:rsidRPr="00373A41" w:rsidP="00373A41">
      <w:pPr>
        <w:pStyle w:val="BodyText"/>
      </w:pPr>
      <w:r w:rsidRPr="00373A41">
        <w:t>Not applicable.</w:t>
      </w:r>
    </w:p>
    <w:p w:rsidR="00000000" w:rsidRPr="00373A41" w:rsidP="00373A41">
      <w:pPr>
        <w:pStyle w:val="AllowPageBreak"/>
      </w:pPr>
    </w:p>
    <w:p w:rsidR="00000000" w:rsidRPr="00373A41" w:rsidP="00373A41">
      <w:pPr>
        <w:pStyle w:val="Heading1"/>
      </w:pPr>
      <w:bookmarkStart w:id="6" w:name="O_441523"/>
      <w:bookmarkEnd w:id="6"/>
      <w:r w:rsidRPr="00373A41">
        <w:t>Employability Skills Information</w:t>
      </w:r>
    </w:p>
    <w:p w:rsidR="00000000" w:rsidRPr="00373A41" w:rsidP="00373A41">
      <w:pPr>
        <w:pStyle w:val="BodyText"/>
      </w:pPr>
      <w:r w:rsidRPr="00373A41">
        <w:t>This unit contains employability skills.</w:t>
      </w:r>
    </w:p>
    <w:p w:rsidR="00000000" w:rsidRPr="00373A41" w:rsidP="00373A41">
      <w:pPr>
        <w:pStyle w:val="AllowPageBreak"/>
      </w:pPr>
    </w:p>
    <w:p w:rsidR="00000000" w:rsidRPr="00373A41" w:rsidP="00373A41">
      <w:pPr>
        <w:pStyle w:val="Heading1"/>
      </w:pPr>
      <w:bookmarkStart w:id="7" w:name="O_441524"/>
      <w:bookmarkEnd w:id="7"/>
      <w:r w:rsidRPr="00373A41">
        <w:t>Elements and Performance Criteria Pre-Content</w:t>
      </w:r>
    </w:p>
    <w:tbl>
      <w:tblPr>
        <w:tblW w:w="0" w:type="auto"/>
        <w:tblLayout w:type="fixed"/>
        <w:tblCellMar>
          <w:left w:w="62" w:type="dxa"/>
          <w:right w:w="62" w:type="dxa"/>
        </w:tblCellMar>
        <w:tblLook w:val="0000"/>
      </w:tblPr>
      <w:tblGrid>
        <w:gridCol w:w="2640"/>
        <w:gridCol w:w="6380"/>
      </w:tblGrid>
      <w:tr w:rsidTr="00373A4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73A41" w:rsidP="00373A41">
            <w:pPr>
              <w:pStyle w:val="BodyText"/>
            </w:pPr>
            <w:r w:rsidRPr="00373A41">
              <w:t>Performance criteria describe the performance needed to demonstrate achievement of the element. Where bold italicised text is used, further info</w:t>
            </w:r>
            <w:r w:rsidRPr="00373A41">
              <w:t>rmation is detailed in the required skills and knowledge section and the range statement. Assessment of performance is to be consistent with the evidence guide.</w:t>
            </w:r>
          </w:p>
        </w:tc>
      </w:tr>
    </w:tbl>
    <w:p w:rsidR="00000000" w:rsidRPr="00373A41" w:rsidP="00373A41">
      <w:pPr>
        <w:pStyle w:val="BodyText"/>
      </w:pPr>
    </w:p>
    <w:p w:rsidR="00000000" w:rsidRPr="00373A41" w:rsidP="00373A41">
      <w:pPr>
        <w:pStyle w:val="AllowPageBreak"/>
      </w:pPr>
    </w:p>
    <w:p w:rsidR="00000000" w:rsidRPr="00373A41" w:rsidP="00373A41">
      <w:pPr>
        <w:pStyle w:val="Heading1"/>
      </w:pPr>
      <w:bookmarkStart w:id="8" w:name="O_441525"/>
      <w:bookmarkEnd w:id="8"/>
      <w:r w:rsidRPr="00373A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1</w:t>
            </w:r>
          </w:p>
        </w:tc>
        <w:tc>
          <w:tcPr>
            <w:tcW w:w="1962" w:type="dxa"/>
            <w:vMerge w:val="restart"/>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Interpret product requirements</w:t>
            </w: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1.1</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Determine requirements of final products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1.2</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Determine requirements of core and/or filler</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1.3</w:t>
            </w:r>
          </w:p>
        </w:tc>
        <w:tc>
          <w:tcPr>
            <w:tcW w:w="5610" w:type="dxa"/>
            <w:tcBorders>
              <w:top w:val="nil"/>
              <w:left w:val="nil"/>
              <w:bottom w:val="nil"/>
              <w:right w:val="nil"/>
            </w:tcBorders>
            <w:tcMar>
              <w:top w:w="0" w:type="dxa"/>
              <w:left w:w="62" w:type="dxa"/>
              <w:bottom w:w="0" w:type="dxa"/>
              <w:right w:w="62" w:type="dxa"/>
            </w:tcMar>
          </w:tcPr>
          <w:p w:rsidR="00000000" w:rsidRPr="00373A41" w:rsidP="00373A41">
            <w:pPr>
              <w:pStyle w:val="BodyText"/>
            </w:pPr>
            <w:r w:rsidRPr="00373A41">
              <w:t>Select appropriate process to be used to fabricate product</w:t>
            </w:r>
          </w:p>
        </w:tc>
      </w:tr>
    </w:tbl>
    <w:p w:rsidR="00000000" w:rsidRPr="00373A41" w:rsidP="00373A41">
      <w:pPr>
        <w:pStyle w:val="BodyText"/>
      </w:pPr>
    </w:p>
    <w:tbl>
      <w:tblPr>
        <w:tblW w:w="0" w:type="auto"/>
        <w:tblLayout w:type="fixed"/>
        <w:tblCellMar>
          <w:left w:w="62" w:type="dxa"/>
          <w:right w:w="62" w:type="dxa"/>
        </w:tblCellMar>
        <w:tblLook w:val="0000"/>
      </w:tblPr>
      <w:tblGrid>
        <w:gridCol w:w="678"/>
        <w:gridCol w:w="1962"/>
        <w:gridCol w:w="770"/>
        <w:gridCol w:w="5610"/>
      </w:tblGrid>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2</w:t>
            </w:r>
          </w:p>
        </w:tc>
        <w:tc>
          <w:tcPr>
            <w:tcW w:w="1962" w:type="dxa"/>
            <w:vMerge w:val="restart"/>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Select most appropriate core and/or fillers for job</w:t>
            </w: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2.1</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Compile specification of required composite properties relevant to the core and/or filler</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2.2</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Compare required properties with specifications of available cores and/or fillers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2.3</w:t>
            </w:r>
          </w:p>
        </w:tc>
        <w:tc>
          <w:tcPr>
            <w:tcW w:w="5610" w:type="dxa"/>
            <w:tcBorders>
              <w:top w:val="nil"/>
              <w:left w:val="nil"/>
              <w:bottom w:val="nil"/>
              <w:right w:val="nil"/>
            </w:tcBorders>
            <w:tcMar>
              <w:top w:w="0" w:type="dxa"/>
              <w:left w:w="62" w:type="dxa"/>
              <w:bottom w:w="0" w:type="dxa"/>
              <w:right w:w="62" w:type="dxa"/>
            </w:tcMar>
          </w:tcPr>
          <w:p w:rsidR="00000000" w:rsidRPr="00373A41" w:rsidP="00373A41">
            <w:pPr>
              <w:pStyle w:val="BodyText"/>
            </w:pPr>
            <w:r w:rsidRPr="00373A41">
              <w:t>Select most appropriate core and/or filler</w:t>
            </w:r>
          </w:p>
        </w:tc>
      </w:tr>
    </w:tbl>
    <w:p w:rsidR="00000000" w:rsidRPr="00373A41" w:rsidP="00373A41">
      <w:pPr>
        <w:pStyle w:val="BodyText"/>
      </w:pPr>
    </w:p>
    <w:tbl>
      <w:tblPr>
        <w:tblW w:w="0" w:type="auto"/>
        <w:tblLayout w:type="fixed"/>
        <w:tblCellMar>
          <w:left w:w="62" w:type="dxa"/>
          <w:right w:w="62" w:type="dxa"/>
        </w:tblCellMar>
        <w:tblLook w:val="0000"/>
      </w:tblPr>
      <w:tblGrid>
        <w:gridCol w:w="678"/>
        <w:gridCol w:w="1962"/>
        <w:gridCol w:w="770"/>
        <w:gridCol w:w="5610"/>
      </w:tblGrid>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3</w:t>
            </w:r>
          </w:p>
        </w:tc>
        <w:tc>
          <w:tcPr>
            <w:tcW w:w="1962" w:type="dxa"/>
            <w:vMerge w:val="restart"/>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Evaluate selected core and/or filler</w:t>
            </w: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3.1</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Fabricate a sample using the selected core and/or filler and nominated resin and reinforcing system</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3.2</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Conduct/organise for relevant tests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3.3</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Evaluate process evaluation test (PET) results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3.4</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Review match of PET results with product requirements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3.5</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Review fabrication process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3.6</w:t>
            </w:r>
          </w:p>
        </w:tc>
        <w:tc>
          <w:tcPr>
            <w:tcW w:w="5610" w:type="dxa"/>
            <w:tcBorders>
              <w:top w:val="nil"/>
              <w:left w:val="nil"/>
              <w:bottom w:val="nil"/>
              <w:right w:val="nil"/>
            </w:tcBorders>
            <w:tcMar>
              <w:top w:w="0" w:type="dxa"/>
              <w:left w:w="62" w:type="dxa"/>
              <w:bottom w:w="0" w:type="dxa"/>
              <w:right w:w="62" w:type="dxa"/>
            </w:tcMar>
          </w:tcPr>
          <w:p w:rsidR="00000000" w:rsidRPr="00373A41" w:rsidP="00373A41">
            <w:pPr>
              <w:pStyle w:val="BodyText"/>
            </w:pPr>
            <w:r w:rsidRPr="00373A41">
              <w:t>Make any required changes to core, filler or process</w:t>
            </w:r>
          </w:p>
        </w:tc>
      </w:tr>
    </w:tbl>
    <w:p w:rsidR="00000000" w:rsidRPr="00373A41" w:rsidP="00373A41">
      <w:pPr>
        <w:pStyle w:val="BodyText"/>
      </w:pPr>
    </w:p>
    <w:tbl>
      <w:tblPr>
        <w:tblW w:w="0" w:type="auto"/>
        <w:tblLayout w:type="fixed"/>
        <w:tblCellMar>
          <w:left w:w="62" w:type="dxa"/>
          <w:right w:w="62" w:type="dxa"/>
        </w:tblCellMar>
        <w:tblLook w:val="0000"/>
      </w:tblPr>
      <w:tblGrid>
        <w:gridCol w:w="678"/>
        <w:gridCol w:w="1962"/>
        <w:gridCol w:w="770"/>
        <w:gridCol w:w="5610"/>
      </w:tblGrid>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w:t>
            </w:r>
          </w:p>
        </w:tc>
        <w:tc>
          <w:tcPr>
            <w:tcW w:w="1962" w:type="dxa"/>
            <w:vMerge w:val="restart"/>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Fabricate product</w:t>
            </w: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4.1</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Identify and control hazards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4.2</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Prepare selected core and/or filler, as required</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4.3</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Lay core in correct direction, as appropriate</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4.4</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Prepare nominated reinforcing, as required</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4.5</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Lay reinforcing in correct direction, as appropriate</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4.6</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Mix nominated resin system, as required</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4.7</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Prepare and incorporate core and/or filler, as required</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4.8</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Fabricate product using selected process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4.9</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Minimise waste</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4.10</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Review product compared to requirements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4.11</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Review core and/or filler selection and fabrication process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4.12</w:t>
            </w:r>
          </w:p>
        </w:tc>
        <w:tc>
          <w:tcPr>
            <w:tcW w:w="561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Identify areas for improvement and take appropriate actions</w:t>
            </w:r>
          </w:p>
        </w:tc>
      </w:tr>
      <w:tr w:rsidTr="00373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4.13</w:t>
            </w:r>
          </w:p>
        </w:tc>
        <w:tc>
          <w:tcPr>
            <w:tcW w:w="5610" w:type="dxa"/>
            <w:tcBorders>
              <w:top w:val="nil"/>
              <w:left w:val="nil"/>
              <w:bottom w:val="nil"/>
              <w:right w:val="nil"/>
            </w:tcBorders>
            <w:tcMar>
              <w:top w:w="0" w:type="dxa"/>
              <w:left w:w="62" w:type="dxa"/>
              <w:bottom w:w="0" w:type="dxa"/>
              <w:right w:w="62" w:type="dxa"/>
            </w:tcMar>
          </w:tcPr>
          <w:p w:rsidR="00000000" w:rsidRPr="00373A41" w:rsidP="00373A41">
            <w:pPr>
              <w:pStyle w:val="BodyText"/>
            </w:pPr>
            <w:r w:rsidRPr="00373A41">
              <w:t>Complete any required documentation/reporting</w:t>
            </w:r>
          </w:p>
        </w:tc>
      </w:tr>
    </w:tbl>
    <w:p w:rsidR="00D40717" w:rsidP="00373A41">
      <w:pPr>
        <w:pStyle w:val="BodyText"/>
      </w:pPr>
    </w:p>
    <w:p w:rsidR="00D40717" w:rsidP="00373A41">
      <w:pPr>
        <w:pStyle w:val="BodyText"/>
      </w:pPr>
    </w:p>
    <w:p w:rsidR="00000000" w:rsidRPr="00373A41" w:rsidP="00373A41">
      <w:pPr>
        <w:pStyle w:val="Heading1"/>
      </w:pPr>
      <w:bookmarkStart w:id="9" w:name="O_441526"/>
      <w:bookmarkEnd w:id="9"/>
      <w:r w:rsidRPr="00373A41">
        <w:t>Required Skills and Knowledge</w:t>
      </w:r>
    </w:p>
    <w:tbl>
      <w:tblPr>
        <w:tblW w:w="9462" w:type="dxa"/>
        <w:tblLayout w:type="fixed"/>
        <w:tblCellMar>
          <w:left w:w="62" w:type="dxa"/>
          <w:right w:w="62" w:type="dxa"/>
        </w:tblCellMar>
        <w:tblLook w:val="0000"/>
      </w:tblPr>
      <w:tblGrid>
        <w:gridCol w:w="9462"/>
      </w:tblGrid>
      <w:tr w:rsidTr="00373A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t>This section describes the skills and knowledge required for this unit.</w:t>
            </w:r>
          </w:p>
        </w:tc>
      </w:tr>
      <w:tr w:rsidTr="00373A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rPr>
                <w:rStyle w:val="SpecialBold"/>
              </w:rPr>
              <w:t>Required skills</w:t>
            </w:r>
          </w:p>
        </w:tc>
      </w:tr>
      <w:tr w:rsidTr="00373A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73A41" w:rsidP="00373A41">
            <w:pPr>
              <w:pStyle w:val="BodyText"/>
            </w:pPr>
            <w:r w:rsidRPr="00373A41">
              <w:t>Required skills include:</w:t>
            </w:r>
          </w:p>
          <w:p w:rsidR="00000000" w:rsidRPr="00373A41" w:rsidP="00373A41">
            <w:pPr>
              <w:pStyle w:val="ListBullet"/>
            </w:pPr>
            <w:r w:rsidRPr="00373A41">
              <w:t>using relevant hand and power tools</w:t>
            </w:r>
          </w:p>
          <w:p w:rsidR="00000000" w:rsidRPr="00373A41" w:rsidP="00373A41">
            <w:pPr>
              <w:pStyle w:val="ListBullet"/>
            </w:pPr>
            <w:r w:rsidRPr="00373A41">
              <w:t>fabricating composite products using appropriate techniques</w:t>
            </w:r>
          </w:p>
          <w:p w:rsidR="00000000" w:rsidRPr="00373A41" w:rsidP="00373A41">
            <w:pPr>
              <w:pStyle w:val="ListBullet"/>
            </w:pPr>
            <w:r w:rsidRPr="00373A41">
              <w:t>interpreting quality control and quality assurance requirements</w:t>
            </w:r>
          </w:p>
          <w:p w:rsidR="00000000" w:rsidRPr="00373A41" w:rsidP="00373A41">
            <w:pPr>
              <w:pStyle w:val="ListBullet"/>
            </w:pPr>
            <w:r w:rsidRPr="00373A41">
              <w:t>interpreting specifications</w:t>
            </w:r>
          </w:p>
          <w:p w:rsidR="00000000" w:rsidP="00373A41">
            <w:pPr>
              <w:pStyle w:val="ListBullet"/>
              <w:rPr>
                <w:lang w:val="en-NZ"/>
              </w:rPr>
            </w:pPr>
            <w:r w:rsidRPr="00373A41">
              <w:t>interpreting product/technical data sheets and material safety data sheets (MSDS)</w:t>
            </w:r>
          </w:p>
        </w:tc>
      </w:tr>
      <w:tr w:rsidTr="00373A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p>
        </w:tc>
      </w:tr>
      <w:tr w:rsidTr="00373A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73A41">
            <w:pPr>
              <w:pStyle w:val="BodyText"/>
              <w:rPr>
                <w:lang w:val="en-NZ"/>
              </w:rPr>
            </w:pPr>
            <w:r w:rsidRPr="00373A41">
              <w:rPr>
                <w:rStyle w:val="SpecialBold"/>
              </w:rPr>
              <w:t>Required knowledge</w:t>
            </w:r>
          </w:p>
        </w:tc>
      </w:tr>
      <w:tr w:rsidTr="00373A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73A41" w:rsidP="00373A41">
            <w:pPr>
              <w:pStyle w:val="BodyText"/>
            </w:pPr>
            <w:r w:rsidRPr="00373A41">
              <w:t>Required knowledge includes:</w:t>
            </w:r>
          </w:p>
          <w:p w:rsidR="00000000" w:rsidRPr="00373A41" w:rsidP="00373A41">
            <w:pPr>
              <w:pStyle w:val="ListBullet"/>
            </w:pPr>
            <w:r w:rsidRPr="00373A41">
              <w:t>types of cores</w:t>
            </w:r>
          </w:p>
          <w:p w:rsidR="00000000" w:rsidRPr="00373A41" w:rsidP="00373A41">
            <w:pPr>
              <w:pStyle w:val="ListBullet"/>
            </w:pPr>
            <w:r w:rsidRPr="00373A41">
              <w:t>chemical makeu</w:t>
            </w:r>
            <w:r w:rsidRPr="00373A41">
              <w:t>p of cores, including urethane, polyvinyl chloride (PVC), styrene acrylonitrile (SAN) (e.g. Corefell), polymethacrylimide (PMI) (e.g. Rohacell), wood (e.g. end grain balsa), cellulose (e.g. phenolic coated paper), polypropylene (PP), polyethylene (PE), alu</w:t>
            </w:r>
            <w:r w:rsidRPr="00373A41">
              <w:t>minium honeycomb and aramid honeycomb (e.g. Nomex)</w:t>
            </w:r>
          </w:p>
          <w:p w:rsidR="00000000" w:rsidRPr="00373A41" w:rsidP="00373A41">
            <w:pPr>
              <w:pStyle w:val="ListBullet"/>
            </w:pPr>
            <w:r w:rsidRPr="00373A41">
              <w:t>types of fillers</w:t>
            </w:r>
          </w:p>
          <w:p w:rsidR="00000000" w:rsidRPr="00373A41" w:rsidP="00373A41">
            <w:pPr>
              <w:pStyle w:val="ListBullet"/>
            </w:pPr>
            <w:r w:rsidRPr="00373A41">
              <w:t>machining techniques</w:t>
            </w:r>
          </w:p>
          <w:p w:rsidR="00000000" w:rsidRPr="00373A41" w:rsidP="00373A41">
            <w:pPr>
              <w:pStyle w:val="ListBullet"/>
            </w:pPr>
            <w:r w:rsidRPr="00373A41">
              <w:t>function of cores and fillers</w:t>
            </w:r>
          </w:p>
          <w:p w:rsidR="00000000" w:rsidRPr="00373A41" w:rsidP="00373A41">
            <w:pPr>
              <w:pStyle w:val="ListBullet"/>
            </w:pPr>
            <w:r w:rsidRPr="00373A41">
              <w:t>bonding of cores and fillers</w:t>
            </w:r>
          </w:p>
          <w:p w:rsidR="00000000" w:rsidRPr="00373A41" w:rsidP="00373A41">
            <w:pPr>
              <w:pStyle w:val="ListBullet"/>
            </w:pPr>
            <w:r w:rsidRPr="00373A41">
              <w:t>wetability of cores and fillers by the resin</w:t>
            </w:r>
          </w:p>
          <w:p w:rsidR="00000000" w:rsidRPr="00373A41" w:rsidP="00373A41">
            <w:pPr>
              <w:pStyle w:val="ListBullet"/>
            </w:pPr>
            <w:r w:rsidRPr="00373A41">
              <w:t>properties of cores and fillers and their contributions to the properties of the composite</w:t>
            </w:r>
          </w:p>
          <w:p w:rsidR="00000000" w:rsidRPr="00373A41" w:rsidP="00373A41">
            <w:pPr>
              <w:pStyle w:val="ListBullet"/>
            </w:pPr>
            <w:r w:rsidRPr="00373A41">
              <w:t>interrelationship between cores, fillers and matrix</w:t>
            </w:r>
          </w:p>
          <w:p w:rsidR="00000000" w:rsidRPr="00373A41" w:rsidP="00373A41">
            <w:pPr>
              <w:pStyle w:val="ListBullet"/>
            </w:pPr>
            <w:r w:rsidRPr="00373A41">
              <w:t>modes of core failure</w:t>
            </w:r>
          </w:p>
        </w:tc>
      </w:tr>
    </w:tbl>
    <w:p w:rsidR="00D40717" w:rsidP="00373A41">
      <w:pPr>
        <w:pStyle w:val="BodyText"/>
      </w:pPr>
    </w:p>
    <w:p w:rsidR="00D40717" w:rsidP="00373A41">
      <w:pPr>
        <w:pStyle w:val="BodyText"/>
      </w:pPr>
    </w:p>
    <w:p w:rsidR="00000000" w:rsidRPr="00373A41" w:rsidP="00373A41">
      <w:pPr>
        <w:pStyle w:val="Heading1"/>
      </w:pPr>
      <w:bookmarkStart w:id="10" w:name="O_441527"/>
      <w:bookmarkEnd w:id="10"/>
      <w:r w:rsidRPr="00373A41">
        <w:t>Evidence Guide</w:t>
      </w:r>
    </w:p>
    <w:tbl>
      <w:tblPr>
        <w:tblW w:w="9462" w:type="dxa"/>
        <w:tblLayout w:type="fixed"/>
        <w:tblCellMar>
          <w:left w:w="62" w:type="dxa"/>
          <w:right w:w="62" w:type="dxa"/>
        </w:tblCellMar>
        <w:tblLook w:val="0000"/>
      </w:tblPr>
      <w:tblGrid>
        <w:gridCol w:w="3800"/>
        <w:gridCol w:w="5662"/>
      </w:tblGrid>
      <w:tr w:rsidTr="00373A41">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373A41">
            <w:pPr>
              <w:pStyle w:val="BodyText"/>
              <w:rPr>
                <w:lang w:val="en-NZ"/>
              </w:rPr>
            </w:pPr>
            <w:r w:rsidRPr="00373A41">
              <w:t>The evidence guide provides advice on assessment and mus</w:t>
            </w:r>
            <w:r w:rsidRPr="00373A41">
              <w:t>t be read in conjunction with the performance criteria, required skills and knowledge, range statement and the Assessment Guidelines for the Training Package.</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It is essential that the process and equipment be understood and that the importance of critical material properties, settings and readings is known. Competence must be demonstrated in the ability to recognise and analyse potential situations requiring act</w:t>
            </w:r>
            <w:r w:rsidRPr="00373A41">
              <w:t>ion and then in implementing appropriate corrective action.</w:t>
            </w:r>
          </w:p>
          <w:p w:rsidR="00000000" w:rsidRPr="00373A41" w:rsidP="00373A41">
            <w:pPr>
              <w:pStyle w:val="BodyText"/>
            </w:pPr>
            <w:r w:rsidRPr="00373A41">
              <w:t>Consistent performance should be demonstrated. In particular look to see that:</w:t>
            </w:r>
          </w:p>
          <w:p w:rsidR="00000000" w:rsidRPr="00373A41" w:rsidP="00373A41">
            <w:pPr>
              <w:pStyle w:val="ListBullet"/>
            </w:pPr>
            <w:r w:rsidRPr="00373A41">
              <w:t>all reasonably available cores and/or fillers have been considered</w:t>
            </w:r>
          </w:p>
          <w:p w:rsidR="00000000" w:rsidRPr="00373A41" w:rsidP="00373A41">
            <w:pPr>
              <w:pStyle w:val="ListBullet"/>
            </w:pPr>
            <w:r w:rsidRPr="00373A41">
              <w:t>an appropriate core/filler has been chosen</w:t>
            </w:r>
          </w:p>
          <w:p w:rsidR="00000000" w:rsidRPr="00373A41" w:rsidP="00373A41">
            <w:pPr>
              <w:pStyle w:val="ListBullet"/>
            </w:pPr>
            <w:r w:rsidRPr="00373A41">
              <w:t>the re</w:t>
            </w:r>
            <w:r w:rsidRPr="00373A41">
              <w:t>asons for choosing the core and/or filler are sound</w:t>
            </w:r>
          </w:p>
          <w:p w:rsidR="00000000" w:rsidRPr="00373A41" w:rsidP="00373A41">
            <w:pPr>
              <w:pStyle w:val="ListBullet"/>
            </w:pPr>
            <w:r w:rsidRPr="00373A41">
              <w:t>the product meets its required performance.</w:t>
            </w:r>
          </w:p>
          <w:p w:rsidR="00000000" w:rsidP="00373A41">
            <w:pPr>
              <w:pStyle w:val="BodyText"/>
              <w:rPr>
                <w:lang w:val="en-NZ"/>
              </w:rPr>
            </w:pPr>
            <w:r w:rsidRPr="00373A41">
              <w:t xml:space="preserve">Competence must be demonstrated in the operation of all ancillary equipment to the level required for this unit of competency. </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 xml:space="preserve">Assessment will require the selection and use of appropriate cores and fillers for specified composite jobs. </w:t>
            </w:r>
          </w:p>
          <w:p w:rsidR="00000000" w:rsidP="00373A41">
            <w:pPr>
              <w:pStyle w:val="BodyText"/>
              <w:rPr>
                <w:lang w:val="en-NZ"/>
              </w:rPr>
            </w:pPr>
            <w:r w:rsidRPr="00373A41">
              <w:t>Assessment will occur over a range of situations which will include disruptions to normal, smooth</w:t>
            </w:r>
            <w:r w:rsidRPr="00373A41">
              <w:t xml:space="preserve"> operation.</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A single assessment event is not appropriate. On-the-job assessment should be included as part of the assessment process wherever possible. Where assessment occurs off the job, judgement must consider evidence of the candi</w:t>
            </w:r>
            <w:r w:rsidRPr="00373A41">
              <w:t xml:space="preserve">date's performance in a productive work environment that includes a sufficient range of appropriate tasks and materials to cover the scope of application for this unit. </w:t>
            </w:r>
          </w:p>
          <w:p w:rsidR="00000000" w:rsidRPr="00373A41" w:rsidP="00373A41">
            <w:pPr>
              <w:pStyle w:val="BodyText"/>
            </w:pPr>
            <w:r w:rsidRPr="00373A41">
              <w:t>Assessors should gather a range of evidence that is valid, sufficient, current and aut</w:t>
            </w:r>
            <w:r w:rsidRPr="00373A41">
              <w:t>hentic. Evidence can be gathered through a variety of ways, including direct observation, supervisor's reports, project work, samples and questioning. Questioning techniques should not require language, literacy and numeracy skills beyond those required in</w:t>
            </w:r>
            <w:r w:rsidRPr="00373A41">
              <w:t xml:space="preserve"> this unit of competency. </w:t>
            </w:r>
          </w:p>
          <w:p w:rsidR="00000000" w:rsidP="00373A41">
            <w:pPr>
              <w:pStyle w:val="BodyText"/>
              <w:rPr>
                <w:lang w:val="en-NZ"/>
              </w:rPr>
            </w:pPr>
            <w:r w:rsidRPr="00373A41">
              <w:t>The candidate must have access to all tools, equipment, materials and documentation required. The candidate must be permitted to refer to any relevant workplace procedures, product and manufacturing specifications, codes, standar</w:t>
            </w:r>
            <w:r w:rsidRPr="00373A41">
              <w:t>ds, manuals and reference materials.</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Assessment processes and techniques must be culturally appropriate and appropriate to the language and literacy capacity of the candidate and the work being performed.</w:t>
            </w:r>
          </w:p>
        </w:tc>
      </w:tr>
    </w:tbl>
    <w:p w:rsidR="00D40717" w:rsidP="00373A41">
      <w:pPr>
        <w:pStyle w:val="BodyText"/>
      </w:pPr>
    </w:p>
    <w:p w:rsidR="00D40717" w:rsidP="00373A41">
      <w:pPr>
        <w:pStyle w:val="BodyText"/>
      </w:pPr>
    </w:p>
    <w:p w:rsidR="00000000" w:rsidRPr="00373A41" w:rsidP="00373A41">
      <w:pPr>
        <w:pStyle w:val="Heading1"/>
      </w:pPr>
      <w:bookmarkStart w:id="11" w:name="O_441528"/>
      <w:bookmarkEnd w:id="11"/>
      <w:r w:rsidRPr="00373A41">
        <w:t>Range Statement</w:t>
      </w:r>
    </w:p>
    <w:tbl>
      <w:tblPr>
        <w:tblW w:w="9462" w:type="dxa"/>
        <w:tblLayout w:type="fixed"/>
        <w:tblCellMar>
          <w:left w:w="62" w:type="dxa"/>
          <w:right w:w="62" w:type="dxa"/>
        </w:tblCellMar>
        <w:tblLook w:val="0000"/>
      </w:tblPr>
      <w:tblGrid>
        <w:gridCol w:w="3800"/>
        <w:gridCol w:w="5662"/>
      </w:tblGrid>
      <w:tr w:rsidTr="00373A41">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373A41">
            <w:pPr>
              <w:pStyle w:val="BodyText"/>
              <w:rPr>
                <w:lang w:val="en-NZ"/>
              </w:rPr>
            </w:pPr>
            <w:r w:rsidRPr="00373A41">
              <w:t>The range statement relates to the unit of competency as a whole. It allows for different work environments and situations that may affect performance. Bold italicised wording, if used in the performance criteria, is detailed below. E</w:t>
            </w:r>
            <w:r w:rsidRPr="00373A41">
              <w:t>ssential operating conditions that may be present with training and assessment (depending on the work situation, needs of the candidate, accessibility of the item, and local industry and regional contexts) may also be included.</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Procedures may be written, verbal, computer-based or in some other form, and may include:</w:t>
            </w:r>
          </w:p>
          <w:p w:rsidR="00000000" w:rsidRPr="00373A41" w:rsidP="00373A41">
            <w:pPr>
              <w:pStyle w:val="ListBullet"/>
            </w:pPr>
            <w:r w:rsidRPr="00373A41">
              <w:t>all work instructions</w:t>
            </w:r>
          </w:p>
          <w:p w:rsidR="00000000" w:rsidRPr="00373A41" w:rsidP="00373A41">
            <w:pPr>
              <w:pStyle w:val="ListBullet"/>
            </w:pPr>
            <w:r w:rsidRPr="00373A41">
              <w:t>standard operating procedures</w:t>
            </w:r>
          </w:p>
          <w:p w:rsidR="00000000" w:rsidRPr="00373A41" w:rsidP="00373A41">
            <w:pPr>
              <w:pStyle w:val="ListBullet"/>
            </w:pPr>
            <w:r w:rsidRPr="00373A41">
              <w:t>formulas/recipes</w:t>
            </w:r>
          </w:p>
          <w:p w:rsidR="00000000" w:rsidRPr="00373A41" w:rsidP="00373A41">
            <w:pPr>
              <w:pStyle w:val="ListBullet"/>
            </w:pPr>
            <w:r w:rsidRPr="00373A41">
              <w:t>batch sheets</w:t>
            </w:r>
          </w:p>
          <w:p w:rsidR="00000000" w:rsidRPr="00373A41" w:rsidP="00373A41">
            <w:pPr>
              <w:pStyle w:val="ListBullet"/>
            </w:pPr>
            <w:r w:rsidRPr="00373A41">
              <w:t>temporary instructions</w:t>
            </w:r>
          </w:p>
          <w:p w:rsidR="00000000" w:rsidRPr="00373A41" w:rsidP="00373A41">
            <w:pPr>
              <w:pStyle w:val="ListBullet"/>
            </w:pPr>
            <w:r w:rsidRPr="00373A41">
              <w:t xml:space="preserve">any similar instructions provided for the smooth running of </w:t>
            </w:r>
            <w:r w:rsidRPr="00373A41">
              <w:t>the plant</w:t>
            </w:r>
          </w:p>
          <w:p w:rsidR="00000000" w:rsidP="00373A41">
            <w:pPr>
              <w:pStyle w:val="ListBullet"/>
              <w:rPr>
                <w:lang w:val="en-NZ"/>
              </w:rPr>
            </w:pPr>
            <w:r w:rsidRPr="00373A41">
              <w:t>good operating practice as may be defined by industry codes of practice (e.g. Responsible Care) and government regulations</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Cores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Core is used to include:</w:t>
            </w:r>
          </w:p>
          <w:p w:rsidR="00000000" w:rsidP="00373A41">
            <w:pPr>
              <w:pStyle w:val="ListBullet"/>
              <w:rPr>
                <w:lang w:val="en-NZ"/>
              </w:rPr>
            </w:pPr>
            <w:r w:rsidRPr="00373A41">
              <w:t xml:space="preserve">materials used to provide thickness and so rigidity (and perhaps thermal and acoustic </w:t>
            </w:r>
            <w:r w:rsidRPr="00373A41">
              <w:t>insulation) to a laminate, but not significant structural strength, which is provided by reinforcing</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Fillers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Fillers include:</w:t>
            </w:r>
          </w:p>
          <w:p w:rsidR="00000000" w:rsidP="00373A41">
            <w:pPr>
              <w:pStyle w:val="ListBullet"/>
              <w:rPr>
                <w:lang w:val="en-NZ"/>
              </w:rPr>
            </w:pPr>
            <w:r w:rsidRPr="00373A41">
              <w:t>particulate materials which may be added to the composite matrix to vary the bulk, stiffness, density or other properties of the</w:t>
            </w:r>
            <w:r w:rsidRPr="00373A41">
              <w:t xml:space="preserve"> final composite</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Requirements of final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Requirements of final product may be determined from various sources, including:</w:t>
            </w:r>
          </w:p>
          <w:p w:rsidR="00000000" w:rsidRPr="00373A41" w:rsidP="00373A41">
            <w:pPr>
              <w:pStyle w:val="ListBullet"/>
            </w:pPr>
            <w:r w:rsidRPr="00373A41">
              <w:t>drawings</w:t>
            </w:r>
          </w:p>
          <w:p w:rsidR="00000000" w:rsidRPr="00373A41" w:rsidP="00373A41">
            <w:pPr>
              <w:pStyle w:val="ListBullet"/>
            </w:pPr>
            <w:r w:rsidRPr="00373A41">
              <w:t>product specifications</w:t>
            </w:r>
          </w:p>
          <w:p w:rsidR="00000000" w:rsidRPr="00373A41" w:rsidP="00373A41">
            <w:pPr>
              <w:pStyle w:val="ListBullet"/>
            </w:pPr>
            <w:r w:rsidRPr="00373A41">
              <w:t>customer requests</w:t>
            </w:r>
          </w:p>
          <w:p w:rsidR="00000000" w:rsidP="00373A41">
            <w:pPr>
              <w:pStyle w:val="ListBullet"/>
              <w:rPr>
                <w:lang w:val="en-NZ"/>
              </w:rPr>
            </w:pPr>
            <w:r w:rsidRPr="00373A41">
              <w:t>descriptions of required use of product</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Requirements of core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Requirements of core include:</w:t>
            </w:r>
          </w:p>
          <w:p w:rsidR="00000000" w:rsidRPr="00373A41" w:rsidP="00373A41">
            <w:pPr>
              <w:pStyle w:val="ListBullet"/>
            </w:pPr>
            <w:r w:rsidRPr="00373A41">
              <w:t>stiffness/flexibility</w:t>
            </w:r>
          </w:p>
          <w:p w:rsidR="00000000" w:rsidRPr="00373A41" w:rsidP="00373A41">
            <w:pPr>
              <w:pStyle w:val="ListBullet"/>
            </w:pPr>
            <w:r w:rsidRPr="00373A41">
              <w:t>directionality</w:t>
            </w:r>
          </w:p>
          <w:p w:rsidR="00000000" w:rsidRPr="00373A41" w:rsidP="00373A41">
            <w:pPr>
              <w:pStyle w:val="ListBullet"/>
            </w:pPr>
            <w:r w:rsidRPr="00373A41">
              <w:t>density</w:t>
            </w:r>
          </w:p>
          <w:p w:rsidR="00000000" w:rsidRPr="00373A41" w:rsidP="00373A41">
            <w:pPr>
              <w:pStyle w:val="ListBullet"/>
            </w:pPr>
            <w:r w:rsidRPr="00373A41">
              <w:t>shear strength</w:t>
            </w:r>
          </w:p>
          <w:p w:rsidR="00000000" w:rsidRPr="00373A41" w:rsidP="00373A41">
            <w:pPr>
              <w:pStyle w:val="ListBullet"/>
            </w:pPr>
            <w:r w:rsidRPr="00373A41">
              <w:t>insulating properties</w:t>
            </w:r>
          </w:p>
          <w:p w:rsidR="00000000" w:rsidP="00373A41">
            <w:pPr>
              <w:pStyle w:val="ListBullet"/>
              <w:rPr>
                <w:lang w:val="en-NZ"/>
              </w:rPr>
            </w:pPr>
            <w:r w:rsidRPr="00373A41">
              <w:t>operating temperature</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Most appropriate core/filler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Most appropriate core/filler refers to that core/filler which has:</w:t>
            </w:r>
          </w:p>
          <w:p w:rsidR="00000000" w:rsidRPr="00373A41" w:rsidP="00373A41">
            <w:pPr>
              <w:pStyle w:val="ListBullet"/>
            </w:pPr>
            <w:r w:rsidRPr="00373A41">
              <w:t>compliance with product</w:t>
            </w:r>
            <w:r w:rsidRPr="00373A41">
              <w:t xml:space="preserve"> requirements</w:t>
            </w:r>
          </w:p>
          <w:p w:rsidR="00000000" w:rsidRPr="00373A41" w:rsidP="00373A41">
            <w:pPr>
              <w:pStyle w:val="ListBullet"/>
            </w:pPr>
            <w:r w:rsidRPr="00373A41">
              <w:t>greatest ease of use in manufacture</w:t>
            </w:r>
          </w:p>
          <w:p w:rsidR="00000000" w:rsidRPr="00373A41" w:rsidP="00373A41">
            <w:pPr>
              <w:pStyle w:val="ListBullet"/>
            </w:pPr>
            <w:r w:rsidRPr="00373A41">
              <w:t>best financial return</w:t>
            </w:r>
          </w:p>
          <w:p w:rsidR="00000000" w:rsidP="00373A41">
            <w:pPr>
              <w:pStyle w:val="ListBullet"/>
              <w:rPr>
                <w:lang w:val="en-NZ"/>
              </w:rPr>
            </w:pPr>
            <w:r w:rsidRPr="00373A41">
              <w:t>greatest sustainability contribution</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Sustainability incorporates the three aspects of:</w:t>
            </w:r>
          </w:p>
          <w:p w:rsidR="00000000" w:rsidRPr="00373A41" w:rsidP="00373A41">
            <w:pPr>
              <w:pStyle w:val="ListBullet"/>
            </w:pPr>
            <w:r w:rsidRPr="00373A41">
              <w:t xml:space="preserve">survival of the ecology/physical environment – which means that an enterprise </w:t>
            </w:r>
            <w:r w:rsidRPr="00373A41">
              <w:t>needs to manage the impact of the business to ensure the survival of the physical environment</w:t>
            </w:r>
          </w:p>
          <w:p w:rsidR="00000000" w:rsidRPr="00373A41" w:rsidP="00373A41">
            <w:pPr>
              <w:pStyle w:val="ListBullet"/>
            </w:pPr>
            <w:r w:rsidRPr="00373A41">
              <w:t>economic viability – efficiency, cost and waste reduction and competitiveness to support survival of the business</w:t>
            </w:r>
          </w:p>
          <w:p w:rsidR="00000000" w:rsidP="00373A41">
            <w:pPr>
              <w:pStyle w:val="ListBullet"/>
              <w:rPr>
                <w:lang w:val="en-NZ"/>
              </w:rPr>
            </w:pPr>
            <w:r w:rsidRPr="00373A41">
              <w:t>social sustainability – an enterprise needs to m</w:t>
            </w:r>
            <w:r w:rsidRPr="00373A41">
              <w:t>anage the impact of the business to ensure its continued survival within the community and the survival of the community, including occupational health and safety ( OHS)</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Preparing core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Preparing core includes:</w:t>
            </w:r>
          </w:p>
          <w:p w:rsidR="00000000" w:rsidRPr="00373A41" w:rsidP="00373A41">
            <w:pPr>
              <w:pStyle w:val="ListBullet"/>
            </w:pPr>
            <w:r w:rsidRPr="00373A41">
              <w:t>cutting to size/shape, as required</w:t>
            </w:r>
          </w:p>
          <w:p w:rsidR="00000000" w:rsidRPr="00373A41" w:rsidP="00373A41">
            <w:pPr>
              <w:pStyle w:val="ListBullet"/>
            </w:pPr>
            <w:r w:rsidRPr="00373A41">
              <w:t xml:space="preserve">tapering </w:t>
            </w:r>
            <w:r w:rsidRPr="00373A41">
              <w:t>edges, as required</w:t>
            </w:r>
          </w:p>
          <w:p w:rsidR="00000000" w:rsidP="00373A41">
            <w:pPr>
              <w:pStyle w:val="ListBullet"/>
              <w:rPr>
                <w:lang w:val="en-NZ"/>
              </w:rPr>
            </w:pPr>
            <w:r w:rsidRPr="00373A41">
              <w:t>any pre-treatment required (e.g. dehumidifying and priming)</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Preparing reinforcing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Preparing reinforcing includes:</w:t>
            </w:r>
          </w:p>
          <w:p w:rsidR="00000000" w:rsidRPr="00373A41" w:rsidP="00373A41">
            <w:pPr>
              <w:pStyle w:val="ListBullet"/>
            </w:pPr>
            <w:r w:rsidRPr="00373A41">
              <w:t>cutting to size/shape, as required,</w:t>
            </w:r>
          </w:p>
          <w:p w:rsidR="00000000" w:rsidRPr="00373A41" w:rsidP="00373A41">
            <w:pPr>
              <w:pStyle w:val="ListBullet"/>
            </w:pPr>
            <w:r w:rsidRPr="00373A41">
              <w:t xml:space="preserve">packaging into kits, as required </w:t>
            </w:r>
          </w:p>
          <w:p w:rsidR="00000000" w:rsidP="00373A41">
            <w:pPr>
              <w:pStyle w:val="ListBullet"/>
              <w:rPr>
                <w:lang w:val="en-NZ"/>
              </w:rPr>
            </w:pPr>
            <w:r w:rsidRPr="00373A41">
              <w:t>any pre-treatment required</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Preparing filler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Preparing filler may include:</w:t>
            </w:r>
          </w:p>
          <w:p w:rsidR="00000000" w:rsidRPr="00373A41" w:rsidP="00373A41">
            <w:pPr>
              <w:pStyle w:val="ListBullet"/>
            </w:pPr>
            <w:r w:rsidRPr="00373A41">
              <w:t>weighing</w:t>
            </w:r>
          </w:p>
          <w:p w:rsidR="00000000" w:rsidRPr="00373A41" w:rsidP="00373A41">
            <w:pPr>
              <w:pStyle w:val="ListBullet"/>
            </w:pPr>
            <w:r w:rsidRPr="00373A41">
              <w:t>mixing with resin to required viscosity</w:t>
            </w:r>
          </w:p>
          <w:p w:rsidR="00000000" w:rsidRPr="00373A41" w:rsidP="00373A41">
            <w:pPr>
              <w:pStyle w:val="ListBullet"/>
            </w:pPr>
            <w:r w:rsidRPr="00373A41">
              <w:t>any other required preparation</w:t>
            </w:r>
          </w:p>
          <w:p w:rsidR="00000000" w:rsidRPr="00373A41" w:rsidP="00373A41">
            <w:pPr>
              <w:pStyle w:val="BodyText"/>
            </w:pPr>
            <w:r w:rsidRPr="00373A41">
              <w:t>Fillers may include:</w:t>
            </w:r>
          </w:p>
          <w:p w:rsidR="00000000" w:rsidP="00373A41">
            <w:pPr>
              <w:pStyle w:val="ListBullet"/>
              <w:rPr>
                <w:lang w:val="en-NZ"/>
              </w:rPr>
            </w:pPr>
            <w:r w:rsidRPr="00373A41">
              <w:t>fillers, such as syntactic foam</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Core direction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Core direction includes considerations such as:</w:t>
            </w:r>
          </w:p>
          <w:p w:rsidR="00000000" w:rsidP="00373A41">
            <w:pPr>
              <w:pStyle w:val="ListBullet"/>
              <w:rPr>
                <w:lang w:val="en-NZ"/>
              </w:rPr>
            </w:pPr>
            <w:r w:rsidRPr="00373A41">
              <w:t>directional properties</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Reinforcing direction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Reinforcing direction includes considerations such as:</w:t>
            </w:r>
          </w:p>
          <w:p w:rsidR="00000000" w:rsidRPr="00373A41" w:rsidP="00373A41">
            <w:pPr>
              <w:pStyle w:val="ListBullet"/>
            </w:pPr>
            <w:r w:rsidRPr="00373A41">
              <w:t>fibre orientation</w:t>
            </w:r>
          </w:p>
          <w:p w:rsidR="00000000" w:rsidP="00373A41">
            <w:pPr>
              <w:pStyle w:val="ListBullet"/>
              <w:rPr>
                <w:lang w:val="en-NZ"/>
              </w:rPr>
            </w:pPr>
            <w:r w:rsidRPr="00373A41">
              <w:t>fibre pre-forming</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Logs and reports may include:</w:t>
            </w:r>
          </w:p>
          <w:p w:rsidR="00000000" w:rsidRPr="00373A41" w:rsidP="00373A41">
            <w:pPr>
              <w:pStyle w:val="ListBullet"/>
            </w:pPr>
            <w:r w:rsidRPr="00373A41">
              <w:t xml:space="preserve">paper or electronic based </w:t>
            </w:r>
          </w:p>
          <w:p w:rsidR="00000000" w:rsidRPr="00373A41" w:rsidP="00373A41">
            <w:pPr>
              <w:pStyle w:val="ListBullet"/>
            </w:pPr>
            <w:r w:rsidRPr="00373A41">
              <w:t>verbal reports</w:t>
            </w:r>
          </w:p>
          <w:p w:rsidR="00000000" w:rsidP="00373A41">
            <w:pPr>
              <w:pStyle w:val="ListBullet"/>
              <w:rPr>
                <w:lang w:val="en-NZ"/>
              </w:rPr>
            </w:pPr>
            <w:r w:rsidRPr="00373A41">
              <w:t>items found which require action</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Appropriate actio</w:t>
            </w:r>
            <w:r w:rsidRPr="00373A41">
              <w:rPr>
                <w:rStyle w:val="SpecialBold"/>
              </w:rPr>
              <w:t>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Appropriate action includes:</w:t>
            </w:r>
          </w:p>
          <w:p w:rsidR="00000000" w:rsidRPr="00373A41" w:rsidP="00373A41">
            <w:pPr>
              <w:pStyle w:val="ListBullet"/>
            </w:pPr>
            <w:r w:rsidRPr="00373A41">
              <w:t>determining problems needing action</w:t>
            </w:r>
          </w:p>
          <w:p w:rsidR="00000000" w:rsidRPr="00373A41" w:rsidP="00373A41">
            <w:pPr>
              <w:pStyle w:val="ListBullet"/>
            </w:pPr>
            <w:r w:rsidRPr="00373A41">
              <w:t>determining possible fault causes</w:t>
            </w:r>
          </w:p>
          <w:p w:rsidR="00000000" w:rsidRPr="00373A41" w:rsidP="00373A41">
            <w:pPr>
              <w:pStyle w:val="ListBullet"/>
            </w:pPr>
            <w:r w:rsidRPr="00373A41">
              <w:t>rectifying problem using appropriate solution within area of responsibility</w:t>
            </w:r>
          </w:p>
          <w:p w:rsidR="00000000" w:rsidRPr="00373A41" w:rsidP="00373A41">
            <w:pPr>
              <w:pStyle w:val="ListBullet"/>
            </w:pPr>
            <w:r w:rsidRPr="00373A41">
              <w:t>following through items initiated until final resolution has occurred</w:t>
            </w:r>
          </w:p>
          <w:p w:rsidR="00000000" w:rsidP="00373A41">
            <w:pPr>
              <w:pStyle w:val="ListBullet"/>
              <w:rPr>
                <w:lang w:val="en-NZ"/>
              </w:rPr>
            </w:pPr>
            <w:r w:rsidRPr="00373A41">
              <w:t>reporting problems outside area of responsibility to designated person</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Typical problems may include:</w:t>
            </w:r>
          </w:p>
          <w:p w:rsidR="00000000" w:rsidRPr="00373A41" w:rsidP="00373A41">
            <w:pPr>
              <w:pStyle w:val="ListBullet"/>
            </w:pPr>
            <w:r w:rsidRPr="00373A41">
              <w:t>cost/benefit of different core/filler systems</w:t>
            </w:r>
          </w:p>
          <w:p w:rsidR="00000000" w:rsidRPr="00373A41" w:rsidP="00373A41">
            <w:pPr>
              <w:pStyle w:val="ListBullet"/>
            </w:pPr>
            <w:r w:rsidRPr="00373A41">
              <w:t>air/vapour entrapment</w:t>
            </w:r>
          </w:p>
          <w:p w:rsidR="00000000" w:rsidRPr="00373A41" w:rsidP="00373A41">
            <w:pPr>
              <w:pStyle w:val="ListBullet"/>
            </w:pPr>
            <w:r w:rsidRPr="00373A41">
              <w:t>bonding/delaminating</w:t>
            </w:r>
          </w:p>
          <w:p w:rsidR="00000000" w:rsidRPr="00373A41" w:rsidP="00373A41">
            <w:pPr>
              <w:pStyle w:val="ListBullet"/>
            </w:pPr>
            <w:r w:rsidRPr="00373A41">
              <w:t>contamination</w:t>
            </w:r>
          </w:p>
          <w:p w:rsidR="00000000" w:rsidP="00373A41">
            <w:pPr>
              <w:pStyle w:val="ListBullet"/>
              <w:rPr>
                <w:lang w:val="en-NZ"/>
              </w:rPr>
            </w:pPr>
            <w:r w:rsidRPr="00373A41">
              <w:t>selecting a core/filler suited to</w:t>
            </w:r>
            <w:r w:rsidRPr="00373A41">
              <w:t xml:space="preserve"> the fabrication process</w:t>
            </w:r>
          </w:p>
        </w:tc>
      </w:tr>
      <w:tr w:rsidTr="00373A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A41">
            <w:pPr>
              <w:pStyle w:val="BodyText"/>
              <w:rPr>
                <w:lang w:val="en-NZ"/>
              </w:rPr>
            </w:pPr>
            <w:r w:rsidRPr="00373A41">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A41" w:rsidP="00373A41">
            <w:pPr>
              <w:pStyle w:val="BodyText"/>
            </w:pPr>
            <w:r w:rsidRPr="00373A41">
              <w:t>All operations to which this unit applies are subject to stringent HSE requirements, which may be imposed through state/territory or federal legislation, and these must not be compromised at an</w:t>
            </w:r>
            <w:r w:rsidRPr="00373A41">
              <w:t>y time. Where there is an apparent conflict between Performance Criteria and HSE requirements, the HSE requirements take precedence</w:t>
            </w:r>
          </w:p>
        </w:tc>
      </w:tr>
    </w:tbl>
    <w:p w:rsidR="00D40717" w:rsidP="00373A41">
      <w:pPr>
        <w:pStyle w:val="BodyText"/>
      </w:pPr>
    </w:p>
    <w:p w:rsidR="00D40717" w:rsidP="00373A41">
      <w:pPr>
        <w:pStyle w:val="BodyText"/>
      </w:pPr>
    </w:p>
    <w:p w:rsidR="00000000" w:rsidRPr="00373A41" w:rsidP="00373A41">
      <w:pPr>
        <w:pStyle w:val="Heading1"/>
      </w:pPr>
      <w:bookmarkStart w:id="12" w:name="O_441529"/>
      <w:bookmarkEnd w:id="12"/>
      <w:r w:rsidRPr="00373A41">
        <w:t>Unit Sector(s)</w:t>
      </w:r>
    </w:p>
    <w:p w:rsidR="00000000" w:rsidRPr="00373A41" w:rsidP="00373A41">
      <w:pPr>
        <w:pStyle w:val="BodyText"/>
      </w:pPr>
      <w:r w:rsidRPr="00373A41">
        <w:t>Composites</w:t>
      </w:r>
    </w:p>
    <w:p w:rsidR="00000000" w:rsidRPr="00373A41" w:rsidP="00373A41">
      <w:pPr>
        <w:pStyle w:val="AllowPageBreak"/>
      </w:pPr>
    </w:p>
    <w:p w:rsidR="00000000" w:rsidRPr="00373A41" w:rsidP="00373A41">
      <w:pPr>
        <w:pStyle w:val="Heading1"/>
      </w:pPr>
      <w:bookmarkStart w:id="13" w:name="O_441530"/>
      <w:bookmarkEnd w:id="13"/>
      <w:r w:rsidRPr="00373A41">
        <w:t>Custom Content Section</w:t>
      </w:r>
    </w:p>
    <w:p w:rsidR="00000000" w:rsidRPr="00373A41" w:rsidP="00373A41">
      <w:pPr>
        <w:pStyle w:val="BodyText"/>
      </w:pPr>
      <w:r w:rsidRPr="00373A41">
        <w:t>Not applicable.</w:t>
      </w:r>
    </w:p>
    <w:p w:rsidR="00000000" w:rsidRPr="00373A41" w:rsidP="00373A41"/>
    <w:sectPr w:rsidSect="00373A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717" w:rsidP="00D40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17" w:rsidP="00373A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0717" w:rsidP="00373A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0717" w:rsidP="00373A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717" w:rsidP="00D407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17" w:rsidP="00373A41">
    <w:pPr>
      <w:pStyle w:val="Header"/>
      <w:framePr w:wrap="around"/>
    </w:pPr>
    <w:r>
      <w:fldChar w:fldCharType="begin"/>
    </w:r>
    <w:r>
      <w:instrText xml:space="preserve"> TITLE   \* MERGEFORMAT </w:instrText>
    </w:r>
    <w:r>
      <w:fldChar w:fldCharType="separate"/>
    </w:r>
    <w:r>
      <w:t>MEM26009A Select and use cores and fillers appropriate for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0717" w:rsidP="00373A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C1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94FB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A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A41"/>
    <w:pPr>
      <w:spacing w:before="360" w:after="60"/>
      <w:outlineLvl w:val="0"/>
    </w:pPr>
    <w:rPr>
      <w:sz w:val="32"/>
    </w:rPr>
  </w:style>
  <w:style w:type="paragraph" w:styleId="Heading2">
    <w:name w:val="heading 2"/>
    <w:basedOn w:val="HeadingBase"/>
    <w:next w:val="BodyText"/>
    <w:link w:val="Heading2Char"/>
    <w:qFormat/>
    <w:rsid w:val="00373A41"/>
    <w:pPr>
      <w:keepLines/>
      <w:spacing w:before="240" w:after="120"/>
      <w:outlineLvl w:val="1"/>
    </w:pPr>
    <w:rPr>
      <w:sz w:val="28"/>
      <w:szCs w:val="40"/>
    </w:rPr>
  </w:style>
  <w:style w:type="paragraph" w:styleId="Heading3">
    <w:name w:val="heading 3"/>
    <w:basedOn w:val="HeadingBase"/>
    <w:next w:val="BodyText"/>
    <w:link w:val="Heading3Char"/>
    <w:qFormat/>
    <w:rsid w:val="00373A41"/>
    <w:pPr>
      <w:spacing w:before="180" w:after="120"/>
      <w:outlineLvl w:val="2"/>
    </w:pPr>
    <w:rPr>
      <w:spacing w:val="-10"/>
      <w:kern w:val="32"/>
    </w:rPr>
  </w:style>
  <w:style w:type="paragraph" w:styleId="Heading4">
    <w:name w:val="heading 4"/>
    <w:basedOn w:val="HeadingBase"/>
    <w:next w:val="BodyText"/>
    <w:link w:val="Heading4Char"/>
    <w:qFormat/>
    <w:rsid w:val="00373A41"/>
    <w:pPr>
      <w:spacing w:before="160" w:after="120"/>
      <w:outlineLvl w:val="3"/>
    </w:pPr>
    <w:rPr>
      <w:sz w:val="22"/>
    </w:rPr>
  </w:style>
  <w:style w:type="paragraph" w:styleId="Heading5">
    <w:name w:val="heading 5"/>
    <w:basedOn w:val="HeadingBase"/>
    <w:next w:val="Normal"/>
    <w:link w:val="Heading5Char"/>
    <w:qFormat/>
    <w:rsid w:val="00373A41"/>
    <w:pPr>
      <w:spacing w:before="80"/>
      <w:outlineLvl w:val="4"/>
    </w:pPr>
    <w:rPr>
      <w:color w:val="918585"/>
      <w:sz w:val="20"/>
    </w:rPr>
  </w:style>
  <w:style w:type="paragraph" w:styleId="Heading6">
    <w:name w:val="heading 6"/>
    <w:basedOn w:val="HeadingBase"/>
    <w:next w:val="Normal"/>
    <w:link w:val="Heading6Char"/>
    <w:qFormat/>
    <w:rsid w:val="00373A41"/>
    <w:pPr>
      <w:spacing w:before="60"/>
      <w:outlineLvl w:val="5"/>
    </w:pPr>
    <w:rPr>
      <w:color w:val="918585"/>
      <w:sz w:val="20"/>
    </w:rPr>
  </w:style>
  <w:style w:type="paragraph" w:styleId="Heading7">
    <w:name w:val="heading 7"/>
    <w:basedOn w:val="Normal"/>
    <w:next w:val="Normal"/>
    <w:link w:val="Heading7Char"/>
    <w:qFormat/>
    <w:rsid w:val="00373A41"/>
    <w:pPr>
      <w:ind w:left="720"/>
      <w:outlineLvl w:val="6"/>
    </w:pPr>
    <w:rPr>
      <w:i/>
    </w:rPr>
  </w:style>
  <w:style w:type="paragraph" w:styleId="Heading8">
    <w:name w:val="heading 8"/>
    <w:basedOn w:val="Normal"/>
    <w:next w:val="Normal"/>
    <w:link w:val="Heading8Char"/>
    <w:qFormat/>
    <w:rsid w:val="00373A41"/>
    <w:pPr>
      <w:ind w:left="720"/>
      <w:outlineLvl w:val="7"/>
    </w:pPr>
    <w:rPr>
      <w:i/>
    </w:rPr>
  </w:style>
  <w:style w:type="paragraph" w:styleId="Heading9">
    <w:name w:val="heading 9"/>
    <w:basedOn w:val="Normal"/>
    <w:next w:val="Normal"/>
    <w:link w:val="Heading9Char"/>
    <w:qFormat/>
    <w:rsid w:val="00373A41"/>
    <w:pPr>
      <w:ind w:left="720"/>
      <w:outlineLvl w:val="8"/>
    </w:pPr>
    <w:rPr>
      <w:i/>
    </w:rPr>
  </w:style>
  <w:style w:type="character" w:default="1" w:styleId="DefaultParagraphFont">
    <w:name w:val="Default Paragraph Font"/>
    <w:uiPriority w:val="1"/>
    <w:unhideWhenUsed/>
    <w:rsid w:val="00373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A41"/>
  </w:style>
  <w:style w:type="character" w:customStyle="1" w:styleId="Heading1Char">
    <w:name w:val="Heading 1 Char"/>
    <w:basedOn w:val="DefaultParagraphFont"/>
    <w:link w:val="Heading1"/>
    <w:rsid w:val="00373A41"/>
    <w:rPr>
      <w:rFonts w:ascii="Times New Roman" w:eastAsia="Times New Roman" w:hAnsi="Times New Roman" w:cs="Times New Roman"/>
      <w:b/>
      <w:sz w:val="32"/>
      <w:szCs w:val="20"/>
      <w:lang w:eastAsia="en-US"/>
    </w:rPr>
  </w:style>
  <w:style w:type="paragraph" w:styleId="BodyText">
    <w:name w:val="Body Text"/>
    <w:basedOn w:val="Normal"/>
    <w:link w:val="BodyTextChar"/>
    <w:rsid w:val="00373A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A41"/>
    <w:rPr>
      <w:rFonts w:ascii="Times New Roman" w:eastAsia="Times New Roman" w:hAnsi="Times New Roman" w:cs="Times New Roman"/>
      <w:sz w:val="24"/>
      <w:lang w:val="en-US" w:eastAsia="en-US"/>
    </w:rPr>
  </w:style>
  <w:style w:type="paragraph" w:styleId="Footer">
    <w:name w:val="footer"/>
    <w:basedOn w:val="Normal"/>
    <w:link w:val="FooterChar"/>
    <w:rsid w:val="00373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A41"/>
    <w:rPr>
      <w:rFonts w:ascii="Times New Roman" w:eastAsia="Times New Roman" w:hAnsi="Times New Roman" w:cs="Times New Roman"/>
      <w:sz w:val="16"/>
      <w:lang w:val="en-US" w:eastAsia="en-US"/>
    </w:rPr>
  </w:style>
  <w:style w:type="paragraph" w:styleId="ListBullet">
    <w:name w:val="List Bullet"/>
    <w:basedOn w:val="List"/>
    <w:rsid w:val="00373A41"/>
    <w:pPr>
      <w:numPr>
        <w:numId w:val="12"/>
      </w:numPr>
      <w:tabs>
        <w:tab w:val="clear" w:pos="340"/>
      </w:tabs>
      <w:spacing w:before="40" w:after="40"/>
    </w:pPr>
  </w:style>
  <w:style w:type="character" w:customStyle="1" w:styleId="SpecialBold">
    <w:name w:val="Special Bold"/>
    <w:basedOn w:val="DefaultParagraphFont"/>
    <w:rsid w:val="00373A41"/>
    <w:rPr>
      <w:b/>
      <w:spacing w:val="0"/>
    </w:rPr>
  </w:style>
  <w:style w:type="paragraph" w:styleId="Header">
    <w:name w:val="header"/>
    <w:basedOn w:val="Normal"/>
    <w:link w:val="HeaderChar"/>
    <w:rsid w:val="00373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A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A41"/>
    <w:pPr>
      <w:spacing w:before="240" w:after="120"/>
      <w:outlineLvl w:val="0"/>
    </w:pPr>
    <w:rPr>
      <w:rFonts w:ascii="Times New Roman" w:hAnsi="Times New Roman"/>
      <w:b/>
      <w:sz w:val="28"/>
    </w:rPr>
  </w:style>
  <w:style w:type="paragraph" w:customStyle="1" w:styleId="AllowPageBreak">
    <w:name w:val="AllowPageBreak"/>
    <w:rsid w:val="00373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A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A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A41"/>
    <w:rPr>
      <w:rFonts w:ascii="Courier New" w:eastAsia="Times New Roman" w:hAnsi="Courier New" w:cs="Times New Roman"/>
      <w:i/>
      <w:szCs w:val="20"/>
      <w:lang w:val="en-US" w:eastAsia="en-US"/>
    </w:rPr>
  </w:style>
  <w:style w:type="paragraph" w:customStyle="1" w:styleId="HeadingBase">
    <w:name w:val="Heading Base"/>
    <w:rsid w:val="00373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A41"/>
    <w:pPr>
      <w:tabs>
        <w:tab w:val="right" w:leader="dot" w:pos="9072"/>
      </w:tabs>
      <w:ind w:left="567"/>
    </w:pPr>
    <w:rPr>
      <w:szCs w:val="22"/>
    </w:rPr>
  </w:style>
  <w:style w:type="paragraph" w:customStyle="1" w:styleId="TOCBase">
    <w:name w:val="TOC Base"/>
    <w:rsid w:val="00373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A41"/>
    <w:pPr>
      <w:tabs>
        <w:tab w:val="right" w:leader="dot" w:pos="9072"/>
      </w:tabs>
      <w:spacing w:before="40" w:after="40"/>
      <w:ind w:left="284"/>
    </w:pPr>
    <w:rPr>
      <w:rFonts w:ascii="Times New Roman" w:hAnsi="Times New Roman"/>
    </w:rPr>
  </w:style>
  <w:style w:type="paragraph" w:styleId="TOC1">
    <w:name w:val="toc 1"/>
    <w:basedOn w:val="TOCBase"/>
    <w:next w:val="Normal"/>
    <w:rsid w:val="00373A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A41"/>
    <w:pPr>
      <w:spacing w:before="5040"/>
      <w:jc w:val="center"/>
    </w:pPr>
    <w:rPr>
      <w:sz w:val="48"/>
      <w:szCs w:val="72"/>
      <w:lang w:val="en-US"/>
    </w:rPr>
  </w:style>
  <w:style w:type="character" w:customStyle="1" w:styleId="TitleChar">
    <w:name w:val="Title Char"/>
    <w:basedOn w:val="DefaultParagraphFont"/>
    <w:link w:val="Title"/>
    <w:rsid w:val="00373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A41"/>
    <w:pPr>
      <w:tabs>
        <w:tab w:val="left" w:pos="3600"/>
        <w:tab w:val="left" w:pos="3958"/>
      </w:tabs>
    </w:pPr>
  </w:style>
  <w:style w:type="paragraph" w:styleId="List">
    <w:name w:val="List"/>
    <w:basedOn w:val="BodyText"/>
    <w:next w:val="BodyText"/>
    <w:rsid w:val="00373A41"/>
    <w:pPr>
      <w:tabs>
        <w:tab w:val="left" w:pos="340"/>
      </w:tabs>
      <w:spacing w:before="60" w:after="60"/>
      <w:ind w:left="340" w:hanging="340"/>
    </w:pPr>
  </w:style>
  <w:style w:type="paragraph" w:customStyle="1" w:styleId="Note">
    <w:name w:val="Note"/>
    <w:basedOn w:val="BodyText"/>
    <w:rsid w:val="00373A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A41"/>
    <w:pPr>
      <w:framePr w:wrap="auto" w:hAnchor="text" w:y="6049"/>
    </w:pPr>
    <w:rPr>
      <w:color w:val="000000"/>
      <w:sz w:val="40"/>
    </w:rPr>
  </w:style>
  <w:style w:type="paragraph" w:customStyle="1" w:styleId="TOCTitle">
    <w:name w:val="TOCTitle"/>
    <w:basedOn w:val="Heading1"/>
    <w:rsid w:val="00373A41"/>
    <w:pPr>
      <w:spacing w:after="240"/>
      <w:jc w:val="center"/>
      <w:outlineLvl w:val="9"/>
    </w:pPr>
    <w:rPr>
      <w:caps/>
    </w:rPr>
  </w:style>
  <w:style w:type="paragraph" w:customStyle="1" w:styleId="Version">
    <w:name w:val="Version"/>
    <w:rsid w:val="00373A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A41"/>
    <w:pPr>
      <w:numPr>
        <w:numId w:val="13"/>
      </w:numPr>
      <w:tabs>
        <w:tab w:val="clear" w:pos="680"/>
      </w:tabs>
    </w:pPr>
  </w:style>
  <w:style w:type="paragraph" w:styleId="Index1">
    <w:name w:val="index 1"/>
    <w:basedOn w:val="Normal"/>
    <w:next w:val="Normal"/>
    <w:semiHidden/>
    <w:rsid w:val="00373A41"/>
    <w:pPr>
      <w:keepNext w:val="0"/>
      <w:tabs>
        <w:tab w:val="right" w:pos="4176"/>
      </w:tabs>
      <w:ind w:left="198" w:hanging="198"/>
    </w:pPr>
    <w:rPr>
      <w:rFonts w:ascii="Garamond" w:hAnsi="Garamond"/>
    </w:rPr>
  </w:style>
  <w:style w:type="paragraph" w:styleId="IndexHeading">
    <w:name w:val="index heading"/>
    <w:basedOn w:val="Normal"/>
    <w:next w:val="Index1"/>
    <w:semiHidden/>
    <w:rsid w:val="00373A41"/>
    <w:pPr>
      <w:spacing w:before="120" w:after="120"/>
    </w:pPr>
    <w:rPr>
      <w:rFonts w:ascii="Arial" w:hAnsi="Arial"/>
      <w:b/>
      <w:color w:val="918585"/>
      <w:sz w:val="24"/>
    </w:rPr>
  </w:style>
  <w:style w:type="paragraph" w:customStyle="1" w:styleId="Chapter">
    <w:name w:val="Chapter"/>
    <w:basedOn w:val="Normal"/>
    <w:rsid w:val="00373A41"/>
    <w:pPr>
      <w:spacing w:before="240"/>
    </w:pPr>
    <w:rPr>
      <w:rFonts w:ascii="Times New Roman" w:hAnsi="Times New Roman"/>
      <w:smallCaps/>
      <w:spacing w:val="80"/>
      <w:sz w:val="28"/>
    </w:rPr>
  </w:style>
  <w:style w:type="paragraph" w:customStyle="1" w:styleId="InChapter">
    <w:name w:val="InChapter"/>
    <w:basedOn w:val="Heading3"/>
    <w:rsid w:val="00373A41"/>
    <w:pPr>
      <w:spacing w:after="240"/>
      <w:outlineLvl w:val="9"/>
    </w:pPr>
    <w:rPr>
      <w:noProof/>
    </w:rPr>
  </w:style>
  <w:style w:type="paragraph" w:styleId="Index2">
    <w:name w:val="index 2"/>
    <w:basedOn w:val="Normal"/>
    <w:next w:val="Normal"/>
    <w:semiHidden/>
    <w:rsid w:val="00373A41"/>
    <w:pPr>
      <w:tabs>
        <w:tab w:val="right" w:pos="4176"/>
      </w:tabs>
      <w:ind w:left="568" w:hanging="284"/>
    </w:pPr>
    <w:rPr>
      <w:rFonts w:ascii="Garamond" w:hAnsi="Garamond"/>
    </w:rPr>
  </w:style>
  <w:style w:type="paragraph" w:customStyle="1" w:styleId="Byline">
    <w:name w:val="Byline"/>
    <w:rsid w:val="00373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A41"/>
    <w:pPr>
      <w:tabs>
        <w:tab w:val="clear" w:pos="3600"/>
        <w:tab w:val="clear" w:pos="3958"/>
      </w:tabs>
      <w:jc w:val="right"/>
    </w:pPr>
  </w:style>
  <w:style w:type="character" w:styleId="Emphasis">
    <w:name w:val="Emphasis"/>
    <w:basedOn w:val="DefaultParagraphFont"/>
    <w:qFormat/>
    <w:rsid w:val="00373A41"/>
    <w:rPr>
      <w:i/>
    </w:rPr>
  </w:style>
  <w:style w:type="paragraph" w:styleId="Caption">
    <w:name w:val="caption"/>
    <w:basedOn w:val="BodyText"/>
    <w:next w:val="Normal"/>
    <w:qFormat/>
    <w:rsid w:val="00373A41"/>
    <w:pPr>
      <w:framePr w:w="2268" w:hSpace="181" w:vSpace="181" w:wrap="around" w:vAnchor="text" w:hAnchor="page" w:x="1135" w:y="285" w:anchorLock="1"/>
    </w:pPr>
    <w:rPr>
      <w:i/>
    </w:rPr>
  </w:style>
  <w:style w:type="paragraph" w:customStyle="1" w:styleId="MiniTOCTitle">
    <w:name w:val="MiniTOCTitle"/>
    <w:basedOn w:val="Heading4"/>
    <w:rsid w:val="00373A41"/>
    <w:pPr>
      <w:spacing w:before="240"/>
      <w:outlineLvl w:val="9"/>
    </w:pPr>
    <w:rPr>
      <w:noProof/>
      <w:sz w:val="24"/>
    </w:rPr>
  </w:style>
  <w:style w:type="paragraph" w:customStyle="1" w:styleId="MiniTOCItem">
    <w:name w:val="MiniTOCItem"/>
    <w:basedOn w:val="ListBullet"/>
    <w:rsid w:val="00373A41"/>
    <w:pPr>
      <w:numPr>
        <w:numId w:val="0"/>
      </w:numPr>
      <w:tabs>
        <w:tab w:val="right" w:leader="dot" w:pos="6521"/>
      </w:tabs>
      <w:spacing w:before="0" w:after="0"/>
    </w:pPr>
  </w:style>
  <w:style w:type="paragraph" w:customStyle="1" w:styleId="TOFTitle">
    <w:name w:val="TOFTitle"/>
    <w:basedOn w:val="TOCTitle"/>
    <w:rsid w:val="00373A41"/>
  </w:style>
  <w:style w:type="paragraph" w:styleId="TableofFigures">
    <w:name w:val="table of figures"/>
    <w:basedOn w:val="Normal"/>
    <w:next w:val="Normal"/>
    <w:semiHidden/>
    <w:rsid w:val="00373A41"/>
    <w:pPr>
      <w:tabs>
        <w:tab w:val="right" w:leader="dot" w:pos="9072"/>
      </w:tabs>
      <w:ind w:left="970" w:hanging="403"/>
    </w:pPr>
    <w:rPr>
      <w:rFonts w:ascii="Times New Roman" w:hAnsi="Times New Roman"/>
      <w:b/>
    </w:rPr>
  </w:style>
  <w:style w:type="paragraph" w:styleId="ListNumber">
    <w:name w:val="List Number"/>
    <w:basedOn w:val="List"/>
    <w:rsid w:val="00373A41"/>
    <w:pPr>
      <w:numPr>
        <w:numId w:val="10"/>
      </w:numPr>
    </w:pPr>
  </w:style>
  <w:style w:type="character" w:customStyle="1" w:styleId="WingdingSymbols">
    <w:name w:val="Wingding Symbols"/>
    <w:rsid w:val="00373A41"/>
    <w:rPr>
      <w:rFonts w:ascii="Wingdings" w:hAnsi="Wingdings"/>
    </w:rPr>
  </w:style>
  <w:style w:type="paragraph" w:customStyle="1" w:styleId="TableHeading">
    <w:name w:val="Table Heading"/>
    <w:basedOn w:val="HeadingBase"/>
    <w:rsid w:val="00373A41"/>
    <w:pPr>
      <w:keepLines/>
      <w:pBdr>
        <w:bottom w:val="single" w:sz="6" w:space="1" w:color="918585"/>
      </w:pBdr>
      <w:spacing w:before="240"/>
    </w:pPr>
  </w:style>
  <w:style w:type="character" w:customStyle="1" w:styleId="HotSpot">
    <w:name w:val="HotSpot"/>
    <w:rsid w:val="00373A41"/>
    <w:rPr>
      <w:color w:val="0033CC"/>
      <w:u w:val="none"/>
    </w:rPr>
  </w:style>
  <w:style w:type="paragraph" w:customStyle="1" w:styleId="BodyTextRight">
    <w:name w:val="Body Text Right"/>
    <w:basedOn w:val="BodyText"/>
    <w:rsid w:val="00373A41"/>
    <w:pPr>
      <w:spacing w:before="0" w:after="0"/>
      <w:jc w:val="right"/>
    </w:pPr>
  </w:style>
  <w:style w:type="paragraph" w:styleId="Index3">
    <w:name w:val="index 3"/>
    <w:basedOn w:val="ListNumber2"/>
    <w:next w:val="Normal"/>
    <w:semiHidden/>
    <w:rsid w:val="00373A41"/>
    <w:pPr>
      <w:numPr>
        <w:numId w:val="0"/>
      </w:numPr>
      <w:tabs>
        <w:tab w:val="right" w:leader="dot" w:pos="4176"/>
      </w:tabs>
    </w:pPr>
  </w:style>
  <w:style w:type="paragraph" w:styleId="ListNumber2">
    <w:name w:val="List Number 2"/>
    <w:basedOn w:val="List2"/>
    <w:rsid w:val="00373A41"/>
    <w:pPr>
      <w:numPr>
        <w:numId w:val="9"/>
      </w:numPr>
      <w:tabs>
        <w:tab w:val="clear" w:pos="1060"/>
      </w:tabs>
    </w:pPr>
  </w:style>
  <w:style w:type="paragraph" w:customStyle="1" w:styleId="MarginNote">
    <w:name w:val="Margin Note"/>
    <w:basedOn w:val="BodyText"/>
    <w:rsid w:val="00373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A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A41"/>
    <w:rPr>
      <w:sz w:val="32"/>
    </w:rPr>
  </w:style>
  <w:style w:type="paragraph" w:customStyle="1" w:styleId="HeadingProcedure">
    <w:name w:val="Heading Procedure"/>
    <w:basedOn w:val="HeadingBase"/>
    <w:next w:val="Normal"/>
    <w:rsid w:val="00373A41"/>
    <w:pPr>
      <w:tabs>
        <w:tab w:val="left" w:pos="0"/>
      </w:tabs>
      <w:spacing w:before="120" w:after="60"/>
    </w:pPr>
    <w:rPr>
      <w:i/>
      <w:color w:val="918585"/>
      <w:sz w:val="22"/>
    </w:rPr>
  </w:style>
  <w:style w:type="paragraph" w:customStyle="1" w:styleId="TableBodyText">
    <w:name w:val="Table Body Text"/>
    <w:basedOn w:val="BodyText"/>
    <w:rsid w:val="00373A41"/>
    <w:pPr>
      <w:spacing w:before="60" w:after="60"/>
    </w:pPr>
  </w:style>
  <w:style w:type="paragraph" w:styleId="ListContinue">
    <w:name w:val="List Continue"/>
    <w:basedOn w:val="List"/>
    <w:rsid w:val="00373A41"/>
    <w:pPr>
      <w:ind w:firstLine="0"/>
    </w:pPr>
  </w:style>
  <w:style w:type="paragraph" w:customStyle="1" w:styleId="ListNote">
    <w:name w:val="List Note"/>
    <w:basedOn w:val="List"/>
    <w:rsid w:val="00373A41"/>
    <w:pPr>
      <w:pBdr>
        <w:top w:val="single" w:sz="6" w:space="2" w:color="918585"/>
        <w:bottom w:val="single" w:sz="6" w:space="2" w:color="918585"/>
      </w:pBdr>
      <w:tabs>
        <w:tab w:val="left" w:pos="1021"/>
      </w:tabs>
      <w:ind w:firstLine="0"/>
    </w:pPr>
  </w:style>
  <w:style w:type="paragraph" w:customStyle="1" w:styleId="Warning">
    <w:name w:val="Warning"/>
    <w:basedOn w:val="BodyText"/>
    <w:rsid w:val="00373A41"/>
    <w:pPr>
      <w:shd w:val="clear" w:color="auto" w:fill="D9D9D9"/>
      <w:tabs>
        <w:tab w:val="left" w:pos="992"/>
      </w:tabs>
      <w:ind w:left="119" w:right="119"/>
    </w:pPr>
    <w:rPr>
      <w:sz w:val="20"/>
    </w:rPr>
  </w:style>
  <w:style w:type="paragraph" w:customStyle="1" w:styleId="MarginIcons">
    <w:name w:val="Margin Icons"/>
    <w:basedOn w:val="BodyText"/>
    <w:rsid w:val="00373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A41"/>
    <w:rPr>
      <w:rFonts w:ascii="Courier New" w:hAnsi="Courier New"/>
    </w:rPr>
  </w:style>
  <w:style w:type="paragraph" w:customStyle="1" w:styleId="NoteBullet">
    <w:name w:val="Note Bullet"/>
    <w:basedOn w:val="Note"/>
    <w:rsid w:val="00373A41"/>
    <w:pPr>
      <w:tabs>
        <w:tab w:val="clear" w:pos="680"/>
      </w:tabs>
      <w:spacing w:before="60" w:after="60"/>
    </w:pPr>
  </w:style>
  <w:style w:type="paragraph" w:customStyle="1" w:styleId="SubHeading2">
    <w:name w:val="SubHeading2"/>
    <w:basedOn w:val="HeadingBase"/>
    <w:rsid w:val="00373A41"/>
    <w:pPr>
      <w:spacing w:before="240" w:after="60"/>
    </w:pPr>
    <w:rPr>
      <w:sz w:val="20"/>
    </w:rPr>
  </w:style>
  <w:style w:type="paragraph" w:customStyle="1" w:styleId="SubHeading1">
    <w:name w:val="SubHeading1"/>
    <w:basedOn w:val="HeadingBase"/>
    <w:rsid w:val="00373A41"/>
    <w:pPr>
      <w:spacing w:before="240" w:after="60"/>
    </w:pPr>
    <w:rPr>
      <w:color w:val="918585"/>
      <w:sz w:val="22"/>
    </w:rPr>
  </w:style>
  <w:style w:type="paragraph" w:customStyle="1" w:styleId="SideHeading">
    <w:name w:val="Side Heading"/>
    <w:basedOn w:val="HeadingBase"/>
    <w:rsid w:val="00373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A41"/>
    <w:pPr>
      <w:tabs>
        <w:tab w:val="num" w:pos="360"/>
      </w:tabs>
    </w:pPr>
  </w:style>
  <w:style w:type="paragraph" w:styleId="PlainText">
    <w:name w:val="Plain Text"/>
    <w:basedOn w:val="Normal"/>
    <w:link w:val="PlainTextChar"/>
    <w:rsid w:val="00373A41"/>
    <w:rPr>
      <w:sz w:val="20"/>
    </w:rPr>
  </w:style>
  <w:style w:type="character" w:customStyle="1" w:styleId="PlainTextChar">
    <w:name w:val="Plain Text Char"/>
    <w:basedOn w:val="DefaultParagraphFont"/>
    <w:link w:val="PlainText"/>
    <w:rsid w:val="00373A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A41"/>
    <w:rPr>
      <w:b/>
      <w:smallCaps/>
    </w:rPr>
  </w:style>
  <w:style w:type="paragraph" w:customStyle="1" w:styleId="TableListNumber">
    <w:name w:val="Table List Number"/>
    <w:basedOn w:val="ListNumber"/>
    <w:rsid w:val="00373A41"/>
    <w:pPr>
      <w:numPr>
        <w:numId w:val="0"/>
      </w:numPr>
    </w:pPr>
  </w:style>
  <w:style w:type="paragraph" w:styleId="TOC4">
    <w:name w:val="toc 4"/>
    <w:basedOn w:val="TOCBase"/>
    <w:next w:val="Normal"/>
    <w:semiHidden/>
    <w:rsid w:val="00373A41"/>
    <w:pPr>
      <w:tabs>
        <w:tab w:val="right" w:leader="dot" w:pos="9071"/>
      </w:tabs>
      <w:ind w:left="1701"/>
    </w:pPr>
  </w:style>
  <w:style w:type="paragraph" w:customStyle="1" w:styleId="ListAlpha">
    <w:name w:val="List Alpha"/>
    <w:basedOn w:val="List"/>
    <w:rsid w:val="00373A41"/>
    <w:pPr>
      <w:numPr>
        <w:numId w:val="8"/>
      </w:numPr>
    </w:pPr>
  </w:style>
  <w:style w:type="paragraph" w:customStyle="1" w:styleId="ListAlpha2">
    <w:name w:val="List Alpha 2"/>
    <w:basedOn w:val="List2"/>
    <w:rsid w:val="00373A41"/>
    <w:pPr>
      <w:numPr>
        <w:numId w:val="7"/>
      </w:numPr>
    </w:pPr>
  </w:style>
  <w:style w:type="paragraph" w:styleId="List2">
    <w:name w:val="List 2"/>
    <w:basedOn w:val="BodyText"/>
    <w:rsid w:val="00373A41"/>
    <w:pPr>
      <w:tabs>
        <w:tab w:val="left" w:pos="680"/>
      </w:tabs>
      <w:spacing w:before="60" w:after="60"/>
      <w:ind w:left="680" w:hanging="340"/>
    </w:pPr>
  </w:style>
  <w:style w:type="paragraph" w:styleId="List3">
    <w:name w:val="List 3"/>
    <w:basedOn w:val="BodyText"/>
    <w:rsid w:val="00373A41"/>
    <w:pPr>
      <w:tabs>
        <w:tab w:val="left" w:pos="1021"/>
      </w:tabs>
      <w:spacing w:before="60" w:after="60"/>
      <w:ind w:left="1020" w:hanging="340"/>
    </w:pPr>
  </w:style>
  <w:style w:type="paragraph" w:styleId="List4">
    <w:name w:val="List 4"/>
    <w:basedOn w:val="BodyText"/>
    <w:rsid w:val="00373A41"/>
    <w:pPr>
      <w:tabs>
        <w:tab w:val="left" w:pos="1361"/>
      </w:tabs>
      <w:spacing w:before="60" w:after="60"/>
      <w:ind w:left="1361" w:hanging="340"/>
    </w:pPr>
  </w:style>
  <w:style w:type="paragraph" w:styleId="List5">
    <w:name w:val="List 5"/>
    <w:basedOn w:val="BodyText"/>
    <w:rsid w:val="00373A41"/>
    <w:pPr>
      <w:tabs>
        <w:tab w:val="left" w:pos="1701"/>
      </w:tabs>
      <w:spacing w:before="60" w:after="60"/>
      <w:ind w:left="1701" w:hanging="340"/>
    </w:pPr>
  </w:style>
  <w:style w:type="paragraph" w:styleId="ListBullet3">
    <w:name w:val="List Bullet 3"/>
    <w:basedOn w:val="List3"/>
    <w:rsid w:val="00373A41"/>
    <w:pPr>
      <w:numPr>
        <w:numId w:val="14"/>
      </w:numPr>
      <w:tabs>
        <w:tab w:val="clear" w:pos="1021"/>
      </w:tabs>
      <w:ind w:left="1037" w:hanging="357"/>
    </w:pPr>
  </w:style>
  <w:style w:type="paragraph" w:styleId="ListBullet4">
    <w:name w:val="List Bullet 4"/>
    <w:basedOn w:val="List4"/>
    <w:rsid w:val="00373A41"/>
    <w:pPr>
      <w:numPr>
        <w:numId w:val="2"/>
      </w:numPr>
    </w:pPr>
  </w:style>
  <w:style w:type="paragraph" w:styleId="ListBullet5">
    <w:name w:val="List Bullet 5"/>
    <w:basedOn w:val="List5"/>
    <w:rsid w:val="00373A41"/>
    <w:pPr>
      <w:numPr>
        <w:numId w:val="3"/>
      </w:numPr>
    </w:pPr>
  </w:style>
  <w:style w:type="paragraph" w:styleId="ListContinue2">
    <w:name w:val="List Continue 2"/>
    <w:basedOn w:val="List2"/>
    <w:rsid w:val="00373A41"/>
    <w:pPr>
      <w:ind w:firstLine="0"/>
    </w:pPr>
  </w:style>
  <w:style w:type="paragraph" w:styleId="ListContinue3">
    <w:name w:val="List Continue 3"/>
    <w:basedOn w:val="List3"/>
    <w:rsid w:val="00373A41"/>
    <w:pPr>
      <w:ind w:left="1021" w:firstLine="0"/>
    </w:pPr>
  </w:style>
  <w:style w:type="paragraph" w:styleId="ListContinue4">
    <w:name w:val="List Continue 4"/>
    <w:basedOn w:val="List4"/>
    <w:rsid w:val="00373A41"/>
    <w:pPr>
      <w:ind w:firstLine="0"/>
    </w:pPr>
  </w:style>
  <w:style w:type="paragraph" w:styleId="ListContinue5">
    <w:name w:val="List Continue 5"/>
    <w:basedOn w:val="List5"/>
    <w:rsid w:val="00373A41"/>
    <w:pPr>
      <w:ind w:firstLine="0"/>
    </w:pPr>
  </w:style>
  <w:style w:type="paragraph" w:styleId="ListNumber3">
    <w:name w:val="List Number 3"/>
    <w:basedOn w:val="List3"/>
    <w:rsid w:val="00373A41"/>
    <w:pPr>
      <w:numPr>
        <w:numId w:val="4"/>
      </w:numPr>
    </w:pPr>
  </w:style>
  <w:style w:type="paragraph" w:styleId="ListNumber4">
    <w:name w:val="List Number 4"/>
    <w:basedOn w:val="List4"/>
    <w:rsid w:val="00373A41"/>
    <w:pPr>
      <w:numPr>
        <w:numId w:val="5"/>
      </w:numPr>
    </w:pPr>
  </w:style>
  <w:style w:type="paragraph" w:styleId="ListNumber5">
    <w:name w:val="List Number 5"/>
    <w:basedOn w:val="List5"/>
    <w:rsid w:val="00373A41"/>
    <w:pPr>
      <w:numPr>
        <w:numId w:val="6"/>
      </w:numPr>
    </w:pPr>
  </w:style>
  <w:style w:type="paragraph" w:styleId="BlockText">
    <w:name w:val="Block Text"/>
    <w:basedOn w:val="Normal"/>
    <w:rsid w:val="00373A41"/>
    <w:pPr>
      <w:spacing w:after="120"/>
      <w:ind w:left="1440" w:right="1440"/>
    </w:pPr>
  </w:style>
  <w:style w:type="character" w:customStyle="1" w:styleId="Subscript">
    <w:name w:val="Subscript"/>
    <w:basedOn w:val="DefaultParagraphFont"/>
    <w:rsid w:val="00373A41"/>
    <w:rPr>
      <w:sz w:val="16"/>
      <w:vertAlign w:val="subscript"/>
    </w:rPr>
  </w:style>
  <w:style w:type="character" w:customStyle="1" w:styleId="Superscript">
    <w:name w:val="Superscript"/>
    <w:basedOn w:val="DefaultParagraphFont"/>
    <w:rsid w:val="00373A41"/>
    <w:rPr>
      <w:sz w:val="16"/>
      <w:vertAlign w:val="superscript"/>
    </w:rPr>
  </w:style>
  <w:style w:type="character" w:customStyle="1" w:styleId="Symbols">
    <w:name w:val="Symbols"/>
    <w:basedOn w:val="DefaultParagraphFont"/>
    <w:rsid w:val="00373A41"/>
    <w:rPr>
      <w:rFonts w:ascii="Symbol" w:hAnsi="Symbol"/>
    </w:rPr>
  </w:style>
  <w:style w:type="character" w:customStyle="1" w:styleId="MenuOptions">
    <w:name w:val="Menu Options"/>
    <w:basedOn w:val="DefaultParagraphFont"/>
    <w:rsid w:val="00373A41"/>
    <w:rPr>
      <w:rFonts w:ascii="Arial Narrow" w:hAnsi="Arial Narrow"/>
      <w:smallCaps/>
    </w:rPr>
  </w:style>
  <w:style w:type="character" w:customStyle="1" w:styleId="Buttons">
    <w:name w:val="Buttons"/>
    <w:basedOn w:val="DefaultParagraphFont"/>
    <w:rsid w:val="00373A41"/>
    <w:rPr>
      <w:b/>
    </w:rPr>
  </w:style>
  <w:style w:type="character" w:customStyle="1" w:styleId="Underlined">
    <w:name w:val="Underlined"/>
    <w:basedOn w:val="DefaultParagraphFont"/>
    <w:rsid w:val="00373A41"/>
    <w:rPr>
      <w:u w:val="single"/>
    </w:rPr>
  </w:style>
  <w:style w:type="paragraph" w:customStyle="1" w:styleId="TableBodyTextRight">
    <w:name w:val="Table Body Text Right"/>
    <w:basedOn w:val="TableBodyText"/>
    <w:rsid w:val="00373A41"/>
    <w:pPr>
      <w:widowControl w:val="0"/>
      <w:autoSpaceDE w:val="0"/>
      <w:autoSpaceDN w:val="0"/>
      <w:adjustRightInd w:val="0"/>
      <w:jc w:val="right"/>
    </w:pPr>
    <w:rPr>
      <w:rFonts w:cs="Arial"/>
      <w:szCs w:val="18"/>
    </w:rPr>
  </w:style>
  <w:style w:type="paragraph" w:customStyle="1" w:styleId="CopyrightText">
    <w:name w:val="Copyright Text"/>
    <w:basedOn w:val="BodyText"/>
    <w:rsid w:val="00373A41"/>
    <w:rPr>
      <w:sz w:val="18"/>
    </w:rPr>
  </w:style>
  <w:style w:type="paragraph" w:customStyle="1" w:styleId="BodySmallRight">
    <w:name w:val="Body Small Right"/>
    <w:basedOn w:val="BodyTextRight"/>
    <w:rsid w:val="00373A41"/>
    <w:rPr>
      <w:sz w:val="18"/>
      <w:szCs w:val="18"/>
    </w:rPr>
  </w:style>
  <w:style w:type="paragraph" w:customStyle="1" w:styleId="MarginEdition">
    <w:name w:val="Margin Edition"/>
    <w:basedOn w:val="MarginNote"/>
    <w:rsid w:val="00373A41"/>
    <w:pPr>
      <w:spacing w:before="0" w:after="0"/>
    </w:pPr>
    <w:rPr>
      <w:rFonts w:ascii="Times New Roman" w:hAnsi="Times New Roman"/>
      <w:color w:val="999999"/>
    </w:rPr>
  </w:style>
  <w:style w:type="paragraph" w:customStyle="1" w:styleId="Spacer">
    <w:name w:val="Spacer"/>
    <w:basedOn w:val="Normal"/>
    <w:rsid w:val="00373A41"/>
    <w:rPr>
      <w:sz w:val="2"/>
      <w:szCs w:val="2"/>
    </w:rPr>
  </w:style>
  <w:style w:type="character" w:customStyle="1" w:styleId="Small">
    <w:name w:val="Small"/>
    <w:basedOn w:val="DefaultParagraphFont"/>
    <w:rsid w:val="00373A41"/>
    <w:rPr>
      <w:sz w:val="16"/>
    </w:rPr>
  </w:style>
  <w:style w:type="paragraph" w:customStyle="1" w:styleId="WideTable">
    <w:name w:val="Wide Table"/>
    <w:basedOn w:val="Normal"/>
    <w:rsid w:val="00373A41"/>
    <w:pPr>
      <w:ind w:left="-1418"/>
    </w:pPr>
    <w:rPr>
      <w:sz w:val="2"/>
      <w:szCs w:val="2"/>
    </w:rPr>
  </w:style>
  <w:style w:type="character" w:styleId="PageNumber">
    <w:name w:val="page number"/>
    <w:basedOn w:val="DefaultParagraphFont"/>
    <w:rsid w:val="00373A41"/>
  </w:style>
  <w:style w:type="paragraph" w:styleId="Quote">
    <w:name w:val="Quote"/>
    <w:basedOn w:val="Heading1"/>
    <w:link w:val="QuoteChar"/>
    <w:qFormat/>
    <w:rsid w:val="00373A41"/>
    <w:rPr>
      <w:b w:val="0"/>
      <w:sz w:val="72"/>
      <w:szCs w:val="72"/>
      <w:lang w:val="en-NZ"/>
    </w:rPr>
  </w:style>
  <w:style w:type="character" w:customStyle="1" w:styleId="QuoteChar">
    <w:name w:val="Quote Char"/>
    <w:basedOn w:val="DefaultParagraphFont"/>
    <w:link w:val="Quote"/>
    <w:rsid w:val="00373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A41"/>
    <w:pPr>
      <w:pageBreakBefore/>
    </w:pPr>
  </w:style>
  <w:style w:type="paragraph" w:customStyle="1" w:styleId="Border">
    <w:name w:val="Border"/>
    <w:basedOn w:val="Normal"/>
    <w:qFormat/>
    <w:rsid w:val="00373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A41"/>
    <w:rPr>
      <w:b/>
      <w:bCs/>
      <w:i/>
      <w:iCs/>
      <w:color w:val="auto"/>
    </w:rPr>
  </w:style>
  <w:style w:type="paragraph" w:styleId="IntenseQuote">
    <w:name w:val="Intense Quote"/>
    <w:basedOn w:val="Normal"/>
    <w:next w:val="Normal"/>
    <w:link w:val="IntenseQuoteChar"/>
    <w:uiPriority w:val="30"/>
    <w:qFormat/>
    <w:rsid w:val="00373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A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A41"/>
    <w:rPr>
      <w:smallCaps/>
      <w:color w:val="auto"/>
      <w:u w:val="single"/>
    </w:rPr>
  </w:style>
  <w:style w:type="character" w:styleId="IntenseReference">
    <w:name w:val="Intense Reference"/>
    <w:basedOn w:val="DefaultParagraphFont"/>
    <w:uiPriority w:val="32"/>
    <w:qFormat/>
    <w:rsid w:val="00373A41"/>
    <w:rPr>
      <w:b/>
      <w:bCs/>
      <w:smallCaps/>
      <w:color w:val="auto"/>
      <w:spacing w:val="5"/>
      <w:u w:val="single"/>
    </w:rPr>
  </w:style>
  <w:style w:type="paragraph" w:customStyle="1" w:styleId="2ColumnHeading">
    <w:name w:val="2Column Heading"/>
    <w:basedOn w:val="BodyText"/>
    <w:qFormat/>
    <w:rsid w:val="00373A41"/>
    <w:pPr>
      <w:spacing w:after="60"/>
      <w:ind w:left="-2268"/>
    </w:pPr>
    <w:rPr>
      <w:b/>
    </w:rPr>
  </w:style>
  <w:style w:type="paragraph" w:customStyle="1" w:styleId="Heading1TOC">
    <w:name w:val="Heading1 TOC"/>
    <w:basedOn w:val="Normal"/>
    <w:qFormat/>
    <w:rsid w:val="00373A41"/>
    <w:pPr>
      <w:spacing w:before="240" w:after="120"/>
    </w:pPr>
    <w:rPr>
      <w:rFonts w:ascii="Times New Roman" w:hAnsi="Times New Roman"/>
      <w:b/>
      <w:sz w:val="32"/>
    </w:rPr>
  </w:style>
  <w:style w:type="paragraph" w:customStyle="1" w:styleId="Heading2TOC">
    <w:name w:val="Heading2 TOC"/>
    <w:basedOn w:val="Normal"/>
    <w:qFormat/>
    <w:rsid w:val="00373A41"/>
    <w:pPr>
      <w:spacing w:before="240" w:after="60"/>
    </w:pPr>
    <w:rPr>
      <w:rFonts w:ascii="Times New Roman" w:hAnsi="Times New Roman"/>
      <w:b/>
      <w:sz w:val="28"/>
    </w:rPr>
  </w:style>
  <w:style w:type="character" w:customStyle="1" w:styleId="Underline">
    <w:name w:val="Underline"/>
    <w:basedOn w:val="DefaultParagraphFont"/>
    <w:qFormat/>
    <w:rsid w:val="00373A41"/>
    <w:rPr>
      <w:u w:val="single"/>
    </w:rPr>
  </w:style>
  <w:style w:type="character" w:customStyle="1" w:styleId="BoldandItalics">
    <w:name w:val="Bold and Italics"/>
    <w:qFormat/>
    <w:rsid w:val="00373A41"/>
    <w:rPr>
      <w:b/>
      <w:i/>
      <w:u w:val="none"/>
    </w:rPr>
  </w:style>
  <w:style w:type="paragraph" w:styleId="BalloonText">
    <w:name w:val="Balloon Text"/>
    <w:basedOn w:val="Normal"/>
    <w:link w:val="BalloonTextChar"/>
    <w:rsid w:val="00373A41"/>
    <w:rPr>
      <w:rFonts w:ascii="Tahoma" w:hAnsi="Tahoma" w:cs="Tahoma"/>
      <w:sz w:val="16"/>
      <w:szCs w:val="16"/>
    </w:rPr>
  </w:style>
  <w:style w:type="character" w:customStyle="1" w:styleId="BalloonTextChar">
    <w:name w:val="Balloon Text Char"/>
    <w:basedOn w:val="DefaultParagraphFont"/>
    <w:link w:val="BalloonText"/>
    <w:rsid w:val="00373A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A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A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10121</Characters>
  <Application>Microsoft Office Word</Application>
  <DocSecurity>0</DocSecurity>
  <Lines>384</Lines>
  <Paragraphs>214</Paragraphs>
  <ScaleCrop>false</ScaleCrop>
  <Company>Author-it Software Corporation Ltd.</Company>
  <LinksUpToDate>false</LinksUpToDate>
  <CharactersWithSpaces>11641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MEM26009A Select and use cores and fillers appropriate for product</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2012-05-27T02:13:00Z</dcterms:created>
  <dcterms:modified xsi:type="dcterms:W3CDTF">2012-05-27T02:13:00Z</dcterms:modified>
</cp:coreProperties>
</file>