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050" w:rsidP="00C01050">
      <w:pPr>
        <w:pStyle w:val="Title"/>
      </w:pPr>
      <w:r>
        <w:fldChar w:fldCharType="begin"/>
      </w:r>
      <w:r>
        <w:instrText xml:space="preserve"> TITLE   \* MERGEFORMAT </w:instrText>
      </w:r>
      <w:r>
        <w:fldChar w:fldCharType="separate"/>
      </w:r>
      <w:r>
        <w:t>MEM26002A Lay up composites using vacuum closed moulding techniques</w:t>
      </w:r>
      <w:r>
        <w:fldChar w:fldCharType="end"/>
      </w:r>
    </w:p>
    <w:p w:rsidR="00C01050" w:rsidP="00C01050">
      <w:pPr>
        <w:pStyle w:val="Version"/>
        <w:sectPr w:rsidSect="004901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116" w:rsidP="00490116">
      <w:pPr>
        <w:pStyle w:val="SuperHeading"/>
      </w:pPr>
      <w:r w:rsidRPr="00490116">
        <w:t>MEM26002A Lay up composites using vacuum closed moulding techniques</w:t>
      </w:r>
    </w:p>
    <w:p w:rsidR="00000000" w:rsidRPr="00490116" w:rsidP="00490116">
      <w:pPr>
        <w:pStyle w:val="Heading1"/>
      </w:pPr>
      <w:bookmarkStart w:id="1" w:name="O_440251"/>
      <w:bookmarkEnd w:id="1"/>
      <w:r w:rsidRPr="00490116">
        <w:t>Modification History</w:t>
      </w:r>
    </w:p>
    <w:tbl>
      <w:tblPr>
        <w:tblW w:w="0" w:type="auto"/>
        <w:tblLayout w:type="fixed"/>
        <w:tblCellMar>
          <w:left w:w="62" w:type="dxa"/>
          <w:right w:w="62" w:type="dxa"/>
        </w:tblCellMar>
        <w:tblLook w:val="0000"/>
      </w:tblPr>
      <w:tblGrid>
        <w:gridCol w:w="1192"/>
        <w:gridCol w:w="7878"/>
      </w:tblGrid>
      <w:tr w:rsidTr="00490116">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Release 1</w:t>
            </w:r>
          </w:p>
        </w:tc>
        <w:tc>
          <w:tcPr>
            <w:tcW w:w="7878" w:type="dxa"/>
            <w:tcBorders>
              <w:top w:val="nil"/>
              <w:left w:val="nil"/>
              <w:bottom w:val="nil"/>
              <w:right w:val="nil"/>
            </w:tcBorders>
            <w:tcMar>
              <w:top w:w="0" w:type="dxa"/>
              <w:left w:w="62" w:type="dxa"/>
              <w:bottom w:w="0" w:type="dxa"/>
              <w:right w:w="62" w:type="dxa"/>
            </w:tcMar>
          </w:tcPr>
          <w:p w:rsidR="00000000" w:rsidRPr="00490116" w:rsidP="00490116">
            <w:pPr>
              <w:pStyle w:val="BodyText"/>
            </w:pPr>
            <w:r w:rsidRPr="00490116">
              <w:t>New unit</w:t>
            </w:r>
          </w:p>
        </w:tc>
      </w:tr>
    </w:tbl>
    <w:p w:rsidR="00000000" w:rsidRPr="00490116" w:rsidP="00490116">
      <w:pPr>
        <w:pStyle w:val="BodyText"/>
      </w:pPr>
    </w:p>
    <w:p w:rsidR="00000000" w:rsidRPr="00490116" w:rsidP="00490116">
      <w:pPr>
        <w:pStyle w:val="AllowPageBreak"/>
      </w:pPr>
    </w:p>
    <w:p w:rsidR="00000000" w:rsidRPr="00490116" w:rsidP="00490116">
      <w:pPr>
        <w:pStyle w:val="Heading1"/>
      </w:pPr>
      <w:bookmarkStart w:id="2" w:name="O_440252"/>
      <w:bookmarkEnd w:id="2"/>
      <w:r w:rsidRPr="00490116">
        <w:t>Unit Descriptor</w:t>
      </w:r>
    </w:p>
    <w:p w:rsidR="00000000" w:rsidRPr="00490116" w:rsidP="00490116">
      <w:pPr>
        <w:pStyle w:val="BodyText"/>
      </w:pPr>
      <w:r w:rsidRPr="00490116">
        <w:t>This unit of competency covers the skills and knowledge required to fabricate composites using a vacuum infusion processing (VIP) or other vacuum closed mould technique.</w:t>
      </w:r>
    </w:p>
    <w:p w:rsidR="00000000" w:rsidRPr="00490116" w:rsidP="00490116">
      <w:pPr>
        <w:pStyle w:val="AllowPageBreak"/>
      </w:pPr>
    </w:p>
    <w:p w:rsidR="00000000" w:rsidRPr="00490116" w:rsidP="00490116">
      <w:pPr>
        <w:pStyle w:val="Heading1"/>
      </w:pPr>
      <w:bookmarkStart w:id="3" w:name="O_440253"/>
      <w:bookmarkEnd w:id="3"/>
      <w:r w:rsidRPr="00490116">
        <w:t>Application of the Unit</w:t>
      </w:r>
    </w:p>
    <w:p w:rsidR="00000000" w:rsidRPr="00490116" w:rsidP="00490116">
      <w:pPr>
        <w:pStyle w:val="BodyText"/>
      </w:pPr>
      <w:r w:rsidRPr="00490116">
        <w:t>This unit covers one of the fundamental techn</w:t>
      </w:r>
      <w:r w:rsidRPr="00490116">
        <w:t>iques for fabricating a composite product – vacuum closed moulding techniques. There are many closed moulding techniques and this unit includes an awareness of all common forms of vacuum closed moulding and competence in at least one vacuum technique. Clos</w:t>
      </w:r>
      <w:r w:rsidRPr="00490116">
        <w:t>ed moulding may be undertaken by an individual or by a fabrication team. It may be undertaken in a workshop or factory environment or in the field and may be used to manufacture new products, prototypes and samples, or to make repairs.</w:t>
      </w:r>
    </w:p>
    <w:p w:rsidR="00000000" w:rsidRPr="00490116" w:rsidP="00490116">
      <w:pPr>
        <w:pStyle w:val="BodyText"/>
      </w:pPr>
      <w:r w:rsidRPr="00490116">
        <w:t xml:space="preserve">This unit is one of </w:t>
      </w:r>
      <w:r w:rsidRPr="00490116">
        <w:t>three units covering the basic composite fabrication techniques, the other two being MEM26001A Lay up composites using open moulding techniques and MEM26003A Lay up composites using pressure closed moulding techniques, which together are intended to ensure</w:t>
      </w:r>
      <w:r w:rsidRPr="00490116">
        <w:t xml:space="preserve"> the composite tradesperson can undertake a basic fabrication using these methods.</w:t>
      </w:r>
    </w:p>
    <w:p w:rsidR="00000000" w:rsidRPr="00490116" w:rsidP="00490116">
      <w:pPr>
        <w:pStyle w:val="AllowPageBreak"/>
      </w:pPr>
    </w:p>
    <w:p w:rsidR="00000000" w:rsidRPr="00490116" w:rsidP="00490116">
      <w:pPr>
        <w:pStyle w:val="Heading1"/>
      </w:pPr>
      <w:bookmarkStart w:id="4" w:name="O_440254"/>
      <w:bookmarkEnd w:id="4"/>
      <w:r w:rsidRPr="00490116">
        <w:t>Licensing/Regulatory Information</w:t>
      </w:r>
    </w:p>
    <w:p w:rsidR="00000000" w:rsidRPr="00490116" w:rsidP="00490116">
      <w:pPr>
        <w:pStyle w:val="BodyText"/>
      </w:pPr>
      <w:r w:rsidRPr="00490116">
        <w:t>Not applicable.</w:t>
      </w:r>
    </w:p>
    <w:p w:rsidR="00000000" w:rsidRPr="00490116" w:rsidP="00490116">
      <w:pPr>
        <w:pStyle w:val="AllowPageBreak"/>
      </w:pPr>
    </w:p>
    <w:p w:rsidR="00000000" w:rsidRPr="00490116" w:rsidP="00490116">
      <w:pPr>
        <w:pStyle w:val="Heading1"/>
      </w:pPr>
      <w:bookmarkStart w:id="5" w:name="O_440255"/>
      <w:bookmarkEnd w:id="5"/>
      <w:r w:rsidRPr="00490116">
        <w:t>Pre-Requisites</w:t>
      </w:r>
    </w:p>
    <w:p w:rsidR="00000000" w:rsidRPr="00490116" w:rsidP="00490116">
      <w:pPr>
        <w:pStyle w:val="BodyText"/>
      </w:pPr>
      <w:r w:rsidRPr="00490116">
        <w:t>Not applicable.</w:t>
      </w:r>
    </w:p>
    <w:p w:rsidR="00000000" w:rsidRPr="00490116" w:rsidP="00490116">
      <w:pPr>
        <w:pStyle w:val="AllowPageBreak"/>
      </w:pPr>
    </w:p>
    <w:p w:rsidR="00000000" w:rsidRPr="00490116" w:rsidP="00490116">
      <w:pPr>
        <w:pStyle w:val="Heading1"/>
      </w:pPr>
      <w:bookmarkStart w:id="6" w:name="O_440256"/>
      <w:bookmarkEnd w:id="6"/>
      <w:r w:rsidRPr="00490116">
        <w:t>Employability Skills Information</w:t>
      </w:r>
    </w:p>
    <w:p w:rsidR="00000000" w:rsidRPr="00490116" w:rsidP="00490116">
      <w:pPr>
        <w:pStyle w:val="BodyText"/>
      </w:pPr>
      <w:r w:rsidRPr="00490116">
        <w:t>This unit</w:t>
      </w:r>
      <w:r w:rsidRPr="00490116">
        <w:t xml:space="preserve"> contains employability skills.</w:t>
      </w:r>
    </w:p>
    <w:p w:rsidR="00000000" w:rsidRPr="00490116" w:rsidP="00490116">
      <w:pPr>
        <w:pStyle w:val="AllowPageBreak"/>
      </w:pPr>
    </w:p>
    <w:p w:rsidR="00000000" w:rsidRPr="00490116" w:rsidP="00490116">
      <w:pPr>
        <w:pStyle w:val="Heading1"/>
      </w:pPr>
      <w:bookmarkStart w:id="7" w:name="O_440257"/>
      <w:bookmarkEnd w:id="7"/>
      <w:r w:rsidRPr="00490116">
        <w:t>Elements and Performance Criteria Pre-Content</w:t>
      </w:r>
    </w:p>
    <w:tbl>
      <w:tblPr>
        <w:tblW w:w="0" w:type="auto"/>
        <w:tblLayout w:type="fixed"/>
        <w:tblCellMar>
          <w:left w:w="62" w:type="dxa"/>
          <w:right w:w="62" w:type="dxa"/>
        </w:tblCellMar>
        <w:tblLook w:val="0000"/>
      </w:tblPr>
      <w:tblGrid>
        <w:gridCol w:w="2640"/>
        <w:gridCol w:w="6380"/>
      </w:tblGrid>
      <w:tr w:rsidTr="0049011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90116" w:rsidP="00490116">
            <w:pPr>
              <w:pStyle w:val="BodyText"/>
            </w:pPr>
            <w:r w:rsidRPr="00490116">
              <w:t>Performance criteria describe the performance needed to demonstrate achievement of the element. Where bold italicised text is used, further information is detailed in the required skills and knowledge section and the range statement. Assessment of performa</w:t>
            </w:r>
            <w:r w:rsidRPr="00490116">
              <w:t>nce is to be consistent with the evidence guide.</w:t>
            </w:r>
          </w:p>
        </w:tc>
      </w:tr>
    </w:tbl>
    <w:p w:rsidR="00000000" w:rsidRPr="00490116" w:rsidP="00490116">
      <w:pPr>
        <w:pStyle w:val="BodyText"/>
      </w:pPr>
    </w:p>
    <w:p w:rsidR="00000000" w:rsidRPr="00490116" w:rsidP="00490116">
      <w:pPr>
        <w:pStyle w:val="AllowPageBreak"/>
      </w:pPr>
    </w:p>
    <w:p w:rsidR="00000000" w:rsidRPr="00490116" w:rsidP="00490116">
      <w:pPr>
        <w:pStyle w:val="Heading1"/>
      </w:pPr>
      <w:bookmarkStart w:id="8" w:name="O_440258"/>
      <w:bookmarkEnd w:id="8"/>
      <w:r w:rsidRPr="0049011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1</w:t>
            </w:r>
          </w:p>
        </w:tc>
        <w:tc>
          <w:tcPr>
            <w:tcW w:w="1962" w:type="dxa"/>
            <w:vMerge w:val="restart"/>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Select process</w:t>
            </w: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1.1</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Identify product requirements</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1.2</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Select vacuum closed mould technique most appropriate to product requirements</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1.3</w:t>
            </w:r>
          </w:p>
        </w:tc>
        <w:tc>
          <w:tcPr>
            <w:tcW w:w="5610" w:type="dxa"/>
            <w:tcBorders>
              <w:top w:val="nil"/>
              <w:left w:val="nil"/>
              <w:bottom w:val="nil"/>
              <w:right w:val="nil"/>
            </w:tcBorders>
            <w:tcMar>
              <w:top w:w="0" w:type="dxa"/>
              <w:left w:w="62" w:type="dxa"/>
              <w:bottom w:w="0" w:type="dxa"/>
              <w:right w:w="62" w:type="dxa"/>
            </w:tcMar>
          </w:tcPr>
          <w:p w:rsidR="00000000" w:rsidRPr="00490116" w:rsidP="00490116">
            <w:pPr>
              <w:pStyle w:val="BodyText"/>
            </w:pPr>
            <w:r w:rsidRPr="00490116">
              <w:t>Identify or develop required procedures to make product using selected process</w:t>
            </w:r>
          </w:p>
        </w:tc>
      </w:tr>
    </w:tbl>
    <w:p w:rsidR="00000000" w:rsidRPr="00490116" w:rsidP="00490116">
      <w:pPr>
        <w:pStyle w:val="BodyText"/>
      </w:pPr>
    </w:p>
    <w:tbl>
      <w:tblPr>
        <w:tblW w:w="0" w:type="auto"/>
        <w:tblLayout w:type="fixed"/>
        <w:tblCellMar>
          <w:left w:w="62" w:type="dxa"/>
          <w:right w:w="62" w:type="dxa"/>
        </w:tblCellMar>
        <w:tblLook w:val="0000"/>
      </w:tblPr>
      <w:tblGrid>
        <w:gridCol w:w="678"/>
        <w:gridCol w:w="1962"/>
        <w:gridCol w:w="770"/>
        <w:gridCol w:w="5610"/>
      </w:tblGrid>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2</w:t>
            </w:r>
          </w:p>
        </w:tc>
        <w:tc>
          <w:tcPr>
            <w:tcW w:w="1962" w:type="dxa"/>
            <w:vMerge w:val="restart"/>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Set up mould equipment</w:t>
            </w: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2.1</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Select required items of equipment and ancillary equipment</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2.2</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Prepare equipment and ancillary equipment, as required</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2.3</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Pack mould according to procedures/laminate schedule</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2.4</w:t>
            </w:r>
          </w:p>
        </w:tc>
        <w:tc>
          <w:tcPr>
            <w:tcW w:w="5610" w:type="dxa"/>
            <w:tcBorders>
              <w:top w:val="nil"/>
              <w:left w:val="nil"/>
              <w:bottom w:val="nil"/>
              <w:right w:val="nil"/>
            </w:tcBorders>
            <w:tcMar>
              <w:top w:w="0" w:type="dxa"/>
              <w:left w:w="62" w:type="dxa"/>
              <w:bottom w:w="0" w:type="dxa"/>
              <w:right w:w="62" w:type="dxa"/>
            </w:tcMar>
          </w:tcPr>
          <w:p w:rsidR="00000000" w:rsidRPr="00490116" w:rsidP="00490116">
            <w:pPr>
              <w:pStyle w:val="BodyText"/>
            </w:pPr>
            <w:r w:rsidRPr="00490116">
              <w:t>Assemble all equipment ready for use as required by procedure</w:t>
            </w:r>
          </w:p>
        </w:tc>
      </w:tr>
    </w:tbl>
    <w:p w:rsidR="00000000" w:rsidRPr="00490116" w:rsidP="00490116">
      <w:pPr>
        <w:pStyle w:val="BodyText"/>
      </w:pPr>
    </w:p>
    <w:tbl>
      <w:tblPr>
        <w:tblW w:w="0" w:type="auto"/>
        <w:tblLayout w:type="fixed"/>
        <w:tblCellMar>
          <w:left w:w="62" w:type="dxa"/>
          <w:right w:w="62" w:type="dxa"/>
        </w:tblCellMar>
        <w:tblLook w:val="0000"/>
      </w:tblPr>
      <w:tblGrid>
        <w:gridCol w:w="678"/>
        <w:gridCol w:w="1962"/>
        <w:gridCol w:w="770"/>
        <w:gridCol w:w="5610"/>
      </w:tblGrid>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3</w:t>
            </w:r>
          </w:p>
        </w:tc>
        <w:tc>
          <w:tcPr>
            <w:tcW w:w="1962" w:type="dxa"/>
            <w:vMerge w:val="restart"/>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Prepare materials</w:t>
            </w: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3.1</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Identify required reinforcing/reinforcing system</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3.2</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Determine quantity of reinforcing required</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3.3</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Prepare reinforcing, as required</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3.4</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Identify required resin system</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3.5</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Determine quantity of resin components required</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3.6</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Check adequate quantities are available</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3.7</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Mix resin</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3.8</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Minimise waste</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3.9</w:t>
            </w:r>
          </w:p>
        </w:tc>
        <w:tc>
          <w:tcPr>
            <w:tcW w:w="5610" w:type="dxa"/>
            <w:tcBorders>
              <w:top w:val="nil"/>
              <w:left w:val="nil"/>
              <w:bottom w:val="nil"/>
              <w:right w:val="nil"/>
            </w:tcBorders>
            <w:tcMar>
              <w:top w:w="0" w:type="dxa"/>
              <w:left w:w="62" w:type="dxa"/>
              <w:bottom w:w="0" w:type="dxa"/>
              <w:right w:w="62" w:type="dxa"/>
            </w:tcMar>
          </w:tcPr>
          <w:p w:rsidR="00000000" w:rsidRPr="00490116" w:rsidP="00490116">
            <w:pPr>
              <w:pStyle w:val="BodyText"/>
            </w:pPr>
            <w:r w:rsidRPr="00490116">
              <w:t>Test resin</w:t>
            </w:r>
          </w:p>
        </w:tc>
      </w:tr>
    </w:tbl>
    <w:p w:rsidR="00000000" w:rsidRPr="00490116" w:rsidP="00490116">
      <w:pPr>
        <w:pStyle w:val="BodyText"/>
      </w:pPr>
    </w:p>
    <w:tbl>
      <w:tblPr>
        <w:tblW w:w="0" w:type="auto"/>
        <w:tblLayout w:type="fixed"/>
        <w:tblCellMar>
          <w:left w:w="62" w:type="dxa"/>
          <w:right w:w="62" w:type="dxa"/>
        </w:tblCellMar>
        <w:tblLook w:val="0000"/>
      </w:tblPr>
      <w:tblGrid>
        <w:gridCol w:w="678"/>
        <w:gridCol w:w="1962"/>
        <w:gridCol w:w="770"/>
        <w:gridCol w:w="5610"/>
      </w:tblGrid>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4</w:t>
            </w:r>
          </w:p>
        </w:tc>
        <w:tc>
          <w:tcPr>
            <w:tcW w:w="1962" w:type="dxa"/>
            <w:vMerge w:val="restart"/>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Fabricate and adjust equipment and materials, as required</w:t>
            </w: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4.1</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Identify and control hazards</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4.2</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Apply gel coat as required</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4.3</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Introduce resin to mould</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4.4</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Ensure air is vented, as required</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4.5</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Ensure required resin distribution</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4.6</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Cure product</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4.7</w:t>
            </w:r>
          </w:p>
        </w:tc>
        <w:tc>
          <w:tcPr>
            <w:tcW w:w="5610" w:type="dxa"/>
            <w:tcBorders>
              <w:top w:val="nil"/>
              <w:left w:val="nil"/>
              <w:bottom w:val="nil"/>
              <w:right w:val="nil"/>
            </w:tcBorders>
            <w:tcMar>
              <w:top w:w="0" w:type="dxa"/>
              <w:left w:w="62" w:type="dxa"/>
              <w:bottom w:w="0" w:type="dxa"/>
              <w:right w:w="62" w:type="dxa"/>
            </w:tcMar>
          </w:tcPr>
          <w:p w:rsidR="00000000" w:rsidRPr="00490116" w:rsidP="00490116">
            <w:pPr>
              <w:pStyle w:val="BodyText"/>
            </w:pPr>
            <w:r w:rsidRPr="00490116">
              <w:t>Remove product from mould when ready</w:t>
            </w:r>
          </w:p>
        </w:tc>
      </w:tr>
    </w:tbl>
    <w:p w:rsidR="00000000" w:rsidRPr="00490116" w:rsidP="00490116">
      <w:pPr>
        <w:pStyle w:val="BodyText"/>
      </w:pPr>
    </w:p>
    <w:tbl>
      <w:tblPr>
        <w:tblW w:w="0" w:type="auto"/>
        <w:tblLayout w:type="fixed"/>
        <w:tblCellMar>
          <w:left w:w="62" w:type="dxa"/>
          <w:right w:w="62" w:type="dxa"/>
        </w:tblCellMar>
        <w:tblLook w:val="0000"/>
      </w:tblPr>
      <w:tblGrid>
        <w:gridCol w:w="678"/>
        <w:gridCol w:w="1962"/>
        <w:gridCol w:w="770"/>
        <w:gridCol w:w="5610"/>
      </w:tblGrid>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5</w:t>
            </w:r>
          </w:p>
        </w:tc>
        <w:tc>
          <w:tcPr>
            <w:tcW w:w="1962" w:type="dxa"/>
            <w:vMerge w:val="restart"/>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Clean up and maintain tools and equipment</w:t>
            </w: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5.1</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Clean all moulding and mixing equipment</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5.2</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Undertake minor maintenance, as required</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5.3</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Prepare for next use or storage, as required</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5.4</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Inspect equipment and take appropriate action</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5.5</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Store equipment, as required</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5.6</w:t>
            </w:r>
          </w:p>
        </w:tc>
        <w:tc>
          <w:tcPr>
            <w:tcW w:w="561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Minimise waste</w:t>
            </w:r>
          </w:p>
        </w:tc>
      </w:tr>
      <w:tr w:rsidTr="0049011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5.7</w:t>
            </w:r>
          </w:p>
        </w:tc>
        <w:tc>
          <w:tcPr>
            <w:tcW w:w="5610" w:type="dxa"/>
            <w:tcBorders>
              <w:top w:val="nil"/>
              <w:left w:val="nil"/>
              <w:bottom w:val="nil"/>
              <w:right w:val="nil"/>
            </w:tcBorders>
            <w:tcMar>
              <w:top w:w="0" w:type="dxa"/>
              <w:left w:w="62" w:type="dxa"/>
              <w:bottom w:w="0" w:type="dxa"/>
              <w:right w:w="62" w:type="dxa"/>
            </w:tcMar>
          </w:tcPr>
          <w:p w:rsidR="00000000" w:rsidRPr="00490116" w:rsidP="00490116">
            <w:pPr>
              <w:pStyle w:val="BodyText"/>
            </w:pPr>
            <w:r w:rsidRPr="00490116">
              <w:t>Dispose of waste, as appropriate</w:t>
            </w:r>
          </w:p>
        </w:tc>
      </w:tr>
    </w:tbl>
    <w:p w:rsidR="00C01050" w:rsidP="00490116">
      <w:pPr>
        <w:pStyle w:val="BodyText"/>
      </w:pPr>
    </w:p>
    <w:p w:rsidR="00C01050" w:rsidP="00490116">
      <w:pPr>
        <w:pStyle w:val="BodyText"/>
      </w:pPr>
    </w:p>
    <w:p w:rsidR="00000000" w:rsidRPr="00490116" w:rsidP="00490116">
      <w:pPr>
        <w:pStyle w:val="Heading1"/>
      </w:pPr>
      <w:bookmarkStart w:id="9" w:name="O_440259"/>
      <w:bookmarkEnd w:id="9"/>
      <w:r w:rsidRPr="00490116">
        <w:t>Required Skills and Knowledge</w:t>
      </w:r>
    </w:p>
    <w:tbl>
      <w:tblPr>
        <w:tblW w:w="9462" w:type="dxa"/>
        <w:tblLayout w:type="fixed"/>
        <w:tblCellMar>
          <w:left w:w="62" w:type="dxa"/>
          <w:right w:w="62" w:type="dxa"/>
        </w:tblCellMar>
        <w:tblLook w:val="0000"/>
      </w:tblPr>
      <w:tblGrid>
        <w:gridCol w:w="9462"/>
      </w:tblGrid>
      <w:tr w:rsidTr="0049011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t>This sec</w:t>
            </w:r>
            <w:r w:rsidRPr="00490116">
              <w:t>tion describes the skills and knowledge required for this unit.</w:t>
            </w:r>
          </w:p>
        </w:tc>
      </w:tr>
      <w:tr w:rsidTr="0049011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rPr>
                <w:rStyle w:val="SpecialBold"/>
              </w:rPr>
              <w:t>Required skills</w:t>
            </w:r>
          </w:p>
        </w:tc>
      </w:tr>
      <w:tr w:rsidTr="0049011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90116" w:rsidP="00490116">
            <w:pPr>
              <w:pStyle w:val="BodyText"/>
            </w:pPr>
            <w:r w:rsidRPr="00490116">
              <w:t>Required skills include:</w:t>
            </w:r>
          </w:p>
          <w:p w:rsidR="00000000" w:rsidRPr="00490116" w:rsidP="00490116">
            <w:pPr>
              <w:pStyle w:val="ListBullet"/>
            </w:pPr>
            <w:r w:rsidRPr="00490116">
              <w:t>resin infusion:</w:t>
            </w:r>
          </w:p>
          <w:p w:rsidR="00000000" w:rsidRPr="00490116" w:rsidP="00490116">
            <w:pPr>
              <w:pStyle w:val="ListBullet2"/>
            </w:pPr>
            <w:r w:rsidRPr="00490116">
              <w:t>applying tack tape</w:t>
            </w:r>
          </w:p>
          <w:p w:rsidR="00000000" w:rsidRPr="00490116" w:rsidP="00490116">
            <w:pPr>
              <w:pStyle w:val="ListBullet2"/>
            </w:pPr>
            <w:r w:rsidRPr="00490116">
              <w:t>applying bag (pleats, sits well, and so on)</w:t>
            </w:r>
          </w:p>
          <w:p w:rsidR="00000000" w:rsidRPr="00490116" w:rsidP="00490116">
            <w:pPr>
              <w:pStyle w:val="ListBullet2"/>
            </w:pPr>
            <w:r w:rsidRPr="00490116">
              <w:t>inlet and outlet plumbing (connect/disconnect)</w:t>
            </w:r>
          </w:p>
          <w:p w:rsidR="00000000" w:rsidRPr="00490116" w:rsidP="00490116">
            <w:pPr>
              <w:pStyle w:val="ListBullet2"/>
            </w:pPr>
            <w:r w:rsidRPr="00490116">
              <w:t>managing flow medium (e.g. cloth)</w:t>
            </w:r>
          </w:p>
          <w:p w:rsidR="00000000" w:rsidRPr="00490116" w:rsidP="00490116">
            <w:pPr>
              <w:pStyle w:val="ListBullet2"/>
            </w:pPr>
            <w:r w:rsidRPr="00490116">
              <w:t>managing cores, as required</w:t>
            </w:r>
          </w:p>
          <w:p w:rsidR="00000000" w:rsidRPr="00490116" w:rsidP="00490116">
            <w:pPr>
              <w:pStyle w:val="ListBullet2"/>
            </w:pPr>
            <w:r w:rsidRPr="00490116">
              <w:t>managing flow and gel times (relationship to positioning and spacing of lines)</w:t>
            </w:r>
          </w:p>
          <w:p w:rsidR="00000000" w:rsidRPr="00490116" w:rsidP="00490116">
            <w:pPr>
              <w:pStyle w:val="ListBullet2"/>
            </w:pPr>
            <w:r w:rsidRPr="00490116">
              <w:t>managing and monitoring vacuum pressure</w:t>
            </w:r>
          </w:p>
          <w:p w:rsidR="00000000" w:rsidRPr="00490116" w:rsidP="00490116">
            <w:pPr>
              <w:pStyle w:val="ListBullet2"/>
            </w:pPr>
            <w:r w:rsidRPr="00490116">
              <w:t>monitoring cure cycles</w:t>
            </w:r>
          </w:p>
          <w:p w:rsidR="00000000" w:rsidRPr="00490116" w:rsidP="00490116">
            <w:pPr>
              <w:pStyle w:val="ListBullet2"/>
            </w:pPr>
            <w:r w:rsidRPr="00490116">
              <w:t>checking for leaks</w:t>
            </w:r>
          </w:p>
          <w:p w:rsidR="00000000" w:rsidRPr="00490116" w:rsidP="00490116">
            <w:pPr>
              <w:pStyle w:val="ListBullet"/>
            </w:pPr>
            <w:r w:rsidRPr="00490116">
              <w:t>accessing and operating relevant</w:t>
            </w:r>
            <w:r w:rsidRPr="00490116">
              <w:t xml:space="preserve"> computer programs</w:t>
            </w:r>
          </w:p>
          <w:p w:rsidR="00000000" w:rsidRPr="00490116" w:rsidP="00490116">
            <w:pPr>
              <w:pStyle w:val="ListBullet"/>
            </w:pPr>
            <w:r w:rsidRPr="00490116">
              <w:t>vacuum bagging:</w:t>
            </w:r>
          </w:p>
          <w:p w:rsidR="00000000" w:rsidRPr="00490116" w:rsidP="00490116">
            <w:pPr>
              <w:pStyle w:val="ListBullet2"/>
            </w:pPr>
            <w:r w:rsidRPr="00490116">
              <w:t>see infusion + protect bag from contamination</w:t>
            </w:r>
          </w:p>
          <w:p w:rsidR="00000000" w:rsidRPr="00490116" w:rsidP="00490116">
            <w:pPr>
              <w:pStyle w:val="ListBullet2"/>
            </w:pPr>
            <w:r w:rsidRPr="00490116">
              <w:t>applying breather cloth/films</w:t>
            </w:r>
          </w:p>
          <w:p w:rsidR="00000000" w:rsidRPr="00490116" w:rsidP="00490116">
            <w:pPr>
              <w:pStyle w:val="ListBullet2"/>
            </w:pPr>
            <w:r w:rsidRPr="00490116">
              <w:t>applying of peel ply</w:t>
            </w:r>
          </w:p>
          <w:p w:rsidR="00000000" w:rsidRPr="00490116" w:rsidP="00490116">
            <w:pPr>
              <w:pStyle w:val="ListBullet"/>
            </w:pPr>
            <w:r w:rsidRPr="00490116">
              <w:t>achieving correct ply location and orientation</w:t>
            </w:r>
          </w:p>
          <w:p w:rsidR="00000000" w:rsidP="00490116">
            <w:pPr>
              <w:pStyle w:val="ListBullet"/>
              <w:rPr>
                <w:lang w:val="en-NZ"/>
              </w:rPr>
            </w:pPr>
            <w:r w:rsidRPr="00490116">
              <w:t>using release processes</w:t>
            </w:r>
          </w:p>
        </w:tc>
      </w:tr>
      <w:tr w:rsidTr="0049011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p>
        </w:tc>
      </w:tr>
      <w:tr w:rsidTr="0049011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90116">
            <w:pPr>
              <w:pStyle w:val="BodyText"/>
              <w:rPr>
                <w:lang w:val="en-NZ"/>
              </w:rPr>
            </w:pPr>
            <w:r w:rsidRPr="00490116">
              <w:rPr>
                <w:rStyle w:val="SpecialBold"/>
              </w:rPr>
              <w:t>Required knowledge</w:t>
            </w:r>
          </w:p>
        </w:tc>
      </w:tr>
      <w:tr w:rsidTr="0049011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90116" w:rsidP="00490116">
            <w:pPr>
              <w:pStyle w:val="BodyText"/>
            </w:pPr>
            <w:r w:rsidRPr="00490116">
              <w:t>Required knowledge includes:</w:t>
            </w:r>
          </w:p>
          <w:p w:rsidR="00000000" w:rsidRPr="00490116" w:rsidP="00490116">
            <w:pPr>
              <w:pStyle w:val="ListBullet"/>
            </w:pPr>
            <w:r w:rsidRPr="00490116">
              <w:t>reinforcement and lay-up schedules (e.g. layers of reinforcement, direction and darts)</w:t>
            </w:r>
          </w:p>
          <w:p w:rsidR="00000000" w:rsidRPr="00490116" w:rsidP="00490116">
            <w:pPr>
              <w:pStyle w:val="ListBullet"/>
            </w:pPr>
            <w:r w:rsidRPr="00490116">
              <w:t>release systems and processes</w:t>
            </w:r>
          </w:p>
          <w:p w:rsidR="00000000" w:rsidRPr="00490116" w:rsidP="00490116">
            <w:pPr>
              <w:pStyle w:val="ListBullet"/>
            </w:pPr>
            <w:r w:rsidRPr="00490116">
              <w:t>tool sealing</w:t>
            </w:r>
          </w:p>
          <w:p w:rsidR="00000000" w:rsidRPr="00490116" w:rsidP="00490116">
            <w:pPr>
              <w:pStyle w:val="ListBullet"/>
            </w:pPr>
            <w:r w:rsidRPr="00490116">
              <w:t>gel coating</w:t>
            </w:r>
          </w:p>
          <w:p w:rsidR="00000000" w:rsidRPr="00490116" w:rsidP="00490116">
            <w:pPr>
              <w:pStyle w:val="ListBullet"/>
            </w:pPr>
            <w:r w:rsidRPr="00490116">
              <w:t>sealing of mould (use of tack tape (e.g. butyl (or other) mastic and mechanical seals and clamps)</w:t>
            </w:r>
          </w:p>
          <w:p w:rsidR="00000000" w:rsidRPr="00490116" w:rsidP="00490116">
            <w:pPr>
              <w:pStyle w:val="ListBullet"/>
            </w:pPr>
            <w:r w:rsidRPr="00490116">
              <w:t>vacuum and vac</w:t>
            </w:r>
            <w:r w:rsidRPr="00490116">
              <w:t>uum systems, adjustment and measurement, and vacuum control (e.g. switches, controls and regulators)</w:t>
            </w:r>
          </w:p>
          <w:p w:rsidR="00000000" w:rsidRPr="00490116" w:rsidP="00490116">
            <w:pPr>
              <w:pStyle w:val="ListBullet"/>
            </w:pPr>
            <w:r w:rsidRPr="00490116">
              <w:t>resin systems applicable to process (e.g. vacuum infusion or vacuum bagging – polyester and epoxy)</w:t>
            </w:r>
          </w:p>
          <w:p w:rsidR="00000000" w:rsidRPr="00490116" w:rsidP="00490116">
            <w:pPr>
              <w:pStyle w:val="ListBullet"/>
            </w:pPr>
            <w:r w:rsidRPr="00490116">
              <w:t>gel times and working times</w:t>
            </w:r>
          </w:p>
          <w:p w:rsidR="00000000" w:rsidRPr="00490116" w:rsidP="00490116">
            <w:pPr>
              <w:pStyle w:val="ListBullet"/>
            </w:pPr>
            <w:r w:rsidRPr="00490116">
              <w:t>initiator/catalyst or harden</w:t>
            </w:r>
            <w:r w:rsidRPr="00490116">
              <w:t>er rates to temperature (hot/cold)</w:t>
            </w:r>
          </w:p>
          <w:p w:rsidR="00000000" w:rsidRPr="00490116" w:rsidP="00490116">
            <w:pPr>
              <w:pStyle w:val="ListBullet"/>
            </w:pPr>
            <w:r w:rsidRPr="00490116">
              <w:t>free amine/amine blushes</w:t>
            </w:r>
          </w:p>
          <w:p w:rsidR="00000000" w:rsidRPr="00490116" w:rsidP="00490116">
            <w:pPr>
              <w:pStyle w:val="ListBullet"/>
            </w:pPr>
            <w:r w:rsidRPr="00490116">
              <w:t>heat curing requirements and how it is done (e.g. ovens, hot bonders (blankets), and autoclaves)</w:t>
            </w:r>
          </w:p>
          <w:p w:rsidR="00000000" w:rsidRPr="00490116" w:rsidP="00490116">
            <w:pPr>
              <w:pStyle w:val="ListBullet"/>
            </w:pPr>
            <w:r w:rsidRPr="00490116">
              <w:t>heat curves</w:t>
            </w:r>
          </w:p>
          <w:p w:rsidR="00000000" w:rsidRPr="00490116" w:rsidP="00490116">
            <w:pPr>
              <w:pStyle w:val="ListBullet"/>
            </w:pPr>
            <w:r w:rsidRPr="00490116">
              <w:t>TG (glass transition)</w:t>
            </w:r>
          </w:p>
          <w:p w:rsidR="00000000" w:rsidRPr="00490116" w:rsidP="00490116">
            <w:pPr>
              <w:pStyle w:val="ListBullet"/>
            </w:pPr>
            <w:r w:rsidRPr="00490116">
              <w:t>understand design briefs (e.g. tool design and part lines)</w:t>
            </w:r>
          </w:p>
          <w:p w:rsidR="00000000" w:rsidRPr="00490116" w:rsidP="00490116">
            <w:pPr>
              <w:pStyle w:val="ListBullet"/>
            </w:pPr>
            <w:r w:rsidRPr="00490116">
              <w:t>Darcy’</w:t>
            </w:r>
            <w:r w:rsidRPr="00490116">
              <w:t>s Law and its application to the flow of resins through porous media (e.g. reinforcing and cores)</w:t>
            </w:r>
          </w:p>
        </w:tc>
      </w:tr>
    </w:tbl>
    <w:p w:rsidR="00C01050" w:rsidP="00490116">
      <w:pPr>
        <w:pStyle w:val="BodyText"/>
      </w:pPr>
    </w:p>
    <w:p w:rsidR="00C01050" w:rsidP="00490116">
      <w:pPr>
        <w:pStyle w:val="BodyText"/>
      </w:pPr>
    </w:p>
    <w:p w:rsidR="00000000" w:rsidRPr="00490116" w:rsidP="00490116">
      <w:pPr>
        <w:pStyle w:val="Heading1"/>
      </w:pPr>
      <w:bookmarkStart w:id="10" w:name="O_440260"/>
      <w:bookmarkEnd w:id="10"/>
      <w:r w:rsidRPr="00490116">
        <w:t>Evidence Guide</w:t>
      </w:r>
    </w:p>
    <w:tbl>
      <w:tblPr>
        <w:tblW w:w="9462" w:type="dxa"/>
        <w:tblLayout w:type="fixed"/>
        <w:tblCellMar>
          <w:left w:w="62" w:type="dxa"/>
          <w:right w:w="62" w:type="dxa"/>
        </w:tblCellMar>
        <w:tblLook w:val="0000"/>
      </w:tblPr>
      <w:tblGrid>
        <w:gridCol w:w="3800"/>
        <w:gridCol w:w="5662"/>
      </w:tblGrid>
      <w:tr w:rsidTr="00490116">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490116">
            <w:pPr>
              <w:pStyle w:val="BodyText"/>
              <w:rPr>
                <w:lang w:val="en-NZ"/>
              </w:rPr>
            </w:pPr>
            <w:r w:rsidRPr="00490116">
              <w:t>The evidence guide provides advice on assessment and must be read in conjunction with the performance criteria, required sk</w:t>
            </w:r>
            <w:r w:rsidRPr="00490116">
              <w:t>ills and knowledge, range statement and the Assessment Guidelines for the Training Package.</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 xml:space="preserve">Assessment for this unit of competency will be on the job. </w:t>
            </w:r>
          </w:p>
          <w:p w:rsidR="00000000" w:rsidRPr="00490116" w:rsidP="00490116">
            <w:pPr>
              <w:pStyle w:val="BodyText"/>
            </w:pPr>
            <w:r w:rsidRPr="00490116">
              <w:t>It is essential that the process and equipment be understood and that the importance of critical material properties, settings and readings is known. Competence must be demonstrated in the ability to recognise and analyse potential situations requiring act</w:t>
            </w:r>
            <w:r w:rsidRPr="00490116">
              <w:t>ion and then in implementing appropriate corrective action.</w:t>
            </w:r>
          </w:p>
          <w:p w:rsidR="00000000" w:rsidRPr="00490116" w:rsidP="00490116">
            <w:pPr>
              <w:pStyle w:val="BodyText"/>
            </w:pPr>
            <w:r w:rsidRPr="00490116">
              <w:t>Consistent performance should be demonstrated. In particular look to see that:</w:t>
            </w:r>
          </w:p>
          <w:p w:rsidR="00000000" w:rsidRPr="00490116" w:rsidP="00490116">
            <w:pPr>
              <w:pStyle w:val="ListBullet"/>
            </w:pPr>
            <w:r w:rsidRPr="00490116">
              <w:t>waste is minimised</w:t>
            </w:r>
          </w:p>
          <w:p w:rsidR="00000000" w:rsidRPr="00490116" w:rsidP="00490116">
            <w:pPr>
              <w:pStyle w:val="ListBullet"/>
            </w:pPr>
            <w:r w:rsidRPr="00490116">
              <w:t xml:space="preserve">product is made efficiently and to standard </w:t>
            </w:r>
          </w:p>
          <w:p w:rsidR="00000000" w:rsidRPr="00490116" w:rsidP="00490116">
            <w:pPr>
              <w:pStyle w:val="ListBullet"/>
            </w:pPr>
            <w:r w:rsidRPr="00490116">
              <w:t>tools and equipment are appropriately maintained.</w:t>
            </w:r>
          </w:p>
          <w:p w:rsidR="00000000" w:rsidP="00490116">
            <w:pPr>
              <w:pStyle w:val="BodyText"/>
              <w:rPr>
                <w:lang w:val="en-NZ"/>
              </w:rPr>
            </w:pPr>
            <w:r w:rsidRPr="00490116">
              <w:t>Co</w:t>
            </w:r>
            <w:r w:rsidRPr="00490116">
              <w:t xml:space="preserve">mpetence must be demonstrated in the operation of all ancillary equipment to the level required for this unit of competency. </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 xml:space="preserve">Assessment will require the fabrication of suitable objects using closed mould techniques. </w:t>
            </w:r>
          </w:p>
          <w:p w:rsidR="00000000" w:rsidP="00490116">
            <w:pPr>
              <w:pStyle w:val="BodyText"/>
              <w:rPr>
                <w:lang w:val="en-NZ"/>
              </w:rPr>
            </w:pPr>
            <w:r w:rsidRPr="00490116">
              <w:t>Assessment will occur over a range of situations which will include disruptions to normal, smooth operation.</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Typically, persons engaged in com</w:t>
            </w:r>
            <w:r w:rsidRPr="00490116">
              <w:t>posites trade work are required to apply their skills and techniques across a range of jobs and specifications.</w:t>
            </w:r>
          </w:p>
          <w:p w:rsidR="00000000" w:rsidRPr="00490116" w:rsidP="00490116">
            <w:pPr>
              <w:pStyle w:val="BodyText"/>
            </w:pPr>
            <w:r w:rsidRPr="00490116">
              <w:t>A single assessment event is not appropriate. On the job assessment must be included as part of the assessment process. Assessment judgements mu</w:t>
            </w:r>
            <w:r w:rsidRPr="00490116">
              <w:t xml:space="preserve">st consider evidence of the candidate's performance in a productive work environment that includes a sufficient range of appropriate tasks and materials to cover the scope of application for this unit. </w:t>
            </w:r>
          </w:p>
          <w:p w:rsidR="00000000" w:rsidRPr="00490116" w:rsidP="00490116">
            <w:pPr>
              <w:pStyle w:val="BodyText"/>
            </w:pPr>
            <w:r w:rsidRPr="00490116">
              <w:t>Assessors should gather a range of evidence that is v</w:t>
            </w:r>
            <w:r w:rsidRPr="00490116">
              <w:t>alid, sufficient, current and authentic. Evidence can be gathered through a variety of ways including direct observation, supervisor's reports, project work, samples and questioning. Questioning techniques should not require language, literacy and numeracy</w:t>
            </w:r>
            <w:r w:rsidRPr="00490116">
              <w:t xml:space="preserve"> skills beyond those required in this unit of competency. </w:t>
            </w:r>
          </w:p>
          <w:p w:rsidR="00000000" w:rsidP="00490116">
            <w:pPr>
              <w:pStyle w:val="BodyText"/>
              <w:rPr>
                <w:lang w:val="en-NZ"/>
              </w:rPr>
            </w:pPr>
            <w:r w:rsidRPr="00490116">
              <w:t>The candidate must have access to all tools, equipment, materials and documentation required. The candidate must be permitted to refer to any relevant workplace procedures, product and manufacturin</w:t>
            </w:r>
            <w:r w:rsidRPr="00490116">
              <w:t>g specifications, codes, standards, manuals and reference materials.</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Assessment processes and techniques must be culturally appropriate and appropriate to the language and literacy capacity of the candidate and the work</w:t>
            </w:r>
            <w:r w:rsidRPr="00490116">
              <w:t xml:space="preserve"> being performed.</w:t>
            </w:r>
          </w:p>
        </w:tc>
      </w:tr>
    </w:tbl>
    <w:p w:rsidR="00C01050" w:rsidP="00490116">
      <w:pPr>
        <w:pStyle w:val="BodyText"/>
      </w:pPr>
    </w:p>
    <w:p w:rsidR="00C01050" w:rsidP="00490116">
      <w:pPr>
        <w:pStyle w:val="BodyText"/>
      </w:pPr>
    </w:p>
    <w:p w:rsidR="00000000" w:rsidRPr="00490116" w:rsidP="00490116">
      <w:pPr>
        <w:pStyle w:val="Heading1"/>
      </w:pPr>
      <w:bookmarkStart w:id="11" w:name="O_440261"/>
      <w:bookmarkEnd w:id="11"/>
      <w:r w:rsidRPr="00490116">
        <w:t>Range Statement</w:t>
      </w:r>
    </w:p>
    <w:tbl>
      <w:tblPr>
        <w:tblW w:w="9462" w:type="dxa"/>
        <w:tblLayout w:type="fixed"/>
        <w:tblCellMar>
          <w:left w:w="62" w:type="dxa"/>
          <w:right w:w="62" w:type="dxa"/>
        </w:tblCellMar>
        <w:tblLook w:val="0000"/>
      </w:tblPr>
      <w:tblGrid>
        <w:gridCol w:w="3800"/>
        <w:gridCol w:w="5662"/>
      </w:tblGrid>
      <w:tr w:rsidTr="00490116">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490116">
            <w:pPr>
              <w:pStyle w:val="BodyText"/>
              <w:rPr>
                <w:lang w:val="en-NZ"/>
              </w:rPr>
            </w:pPr>
            <w:r w:rsidRPr="00490116">
              <w:t>The range statement relates to the unit of competency as a whole. It allows for different work environments and situations that may affect performance. Bold italicised wording, if used in the performanc</w:t>
            </w:r>
            <w:r w:rsidRPr="00490116">
              <w:t>e criteria, is detailed below. Essential operating conditions that may be present with training and assessment (depending on the work situation, needs of the candidate, accessibility of the item, and local industry and regional contexts) may also be includ</w:t>
            </w:r>
            <w:r w:rsidRPr="00490116">
              <w:t>ed.</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Procedures may be written, verbal, computer-based or in some other form, and may include:</w:t>
            </w:r>
          </w:p>
          <w:p w:rsidR="00000000" w:rsidRPr="00490116" w:rsidP="00490116">
            <w:pPr>
              <w:pStyle w:val="ListBullet"/>
            </w:pPr>
            <w:r w:rsidRPr="00490116">
              <w:t>all work instructions</w:t>
            </w:r>
          </w:p>
          <w:p w:rsidR="00000000" w:rsidRPr="00490116" w:rsidP="00490116">
            <w:pPr>
              <w:pStyle w:val="ListBullet"/>
            </w:pPr>
            <w:r w:rsidRPr="00490116">
              <w:t>standard operating procedures</w:t>
            </w:r>
          </w:p>
          <w:p w:rsidR="00000000" w:rsidRPr="00490116" w:rsidP="00490116">
            <w:pPr>
              <w:pStyle w:val="ListBullet"/>
            </w:pPr>
            <w:r w:rsidRPr="00490116">
              <w:t>formulas/recipes</w:t>
            </w:r>
          </w:p>
          <w:p w:rsidR="00000000" w:rsidRPr="00490116" w:rsidP="00490116">
            <w:pPr>
              <w:pStyle w:val="ListBullet"/>
            </w:pPr>
            <w:r w:rsidRPr="00490116">
              <w:t>batch sheets</w:t>
            </w:r>
          </w:p>
          <w:p w:rsidR="00000000" w:rsidRPr="00490116" w:rsidP="00490116">
            <w:pPr>
              <w:pStyle w:val="ListBullet"/>
            </w:pPr>
            <w:r w:rsidRPr="00490116">
              <w:t>temporary instructions</w:t>
            </w:r>
          </w:p>
          <w:p w:rsidR="00000000" w:rsidRPr="00490116" w:rsidP="00490116">
            <w:pPr>
              <w:pStyle w:val="ListBullet"/>
            </w:pPr>
            <w:r w:rsidRPr="00490116">
              <w:t>any similar instructions provided for the smooth running of the plant</w:t>
            </w:r>
          </w:p>
          <w:p w:rsidR="00000000" w:rsidP="00490116">
            <w:pPr>
              <w:pStyle w:val="ListBullet"/>
              <w:rPr>
                <w:lang w:val="en-NZ"/>
              </w:rPr>
            </w:pPr>
            <w:r w:rsidRPr="00490116">
              <w:t>good operating practice as may be defined by industry codes of practice (e.g. Responsible Care) and government regulations</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Requirements of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Requirements of product may be determined from various sources, including:</w:t>
            </w:r>
          </w:p>
          <w:p w:rsidR="00000000" w:rsidRPr="00490116" w:rsidP="00490116">
            <w:pPr>
              <w:pStyle w:val="ListBullet"/>
            </w:pPr>
            <w:r w:rsidRPr="00490116">
              <w:t>drawings</w:t>
            </w:r>
          </w:p>
          <w:p w:rsidR="00000000" w:rsidRPr="00490116" w:rsidP="00490116">
            <w:pPr>
              <w:pStyle w:val="ListBullet"/>
            </w:pPr>
            <w:r w:rsidRPr="00490116">
              <w:t>product specifications</w:t>
            </w:r>
          </w:p>
          <w:p w:rsidR="00000000" w:rsidRPr="00490116" w:rsidP="00490116">
            <w:pPr>
              <w:pStyle w:val="ListBullet"/>
            </w:pPr>
            <w:r w:rsidRPr="00490116">
              <w:t>customer requests</w:t>
            </w:r>
          </w:p>
          <w:p w:rsidR="00000000" w:rsidP="00490116">
            <w:pPr>
              <w:pStyle w:val="ListBullet"/>
              <w:rPr>
                <w:lang w:val="en-NZ"/>
              </w:rPr>
            </w:pPr>
            <w:r w:rsidRPr="00490116">
              <w:t>descriptions of required use of product</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Closed moulding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Closed moulding techniques include techniques which may have s</w:t>
            </w:r>
            <w:r w:rsidRPr="00490116">
              <w:t>everal names, including:</w:t>
            </w:r>
          </w:p>
          <w:p w:rsidR="00000000" w:rsidRPr="00490116" w:rsidP="00490116">
            <w:pPr>
              <w:pStyle w:val="ListBullet"/>
            </w:pPr>
            <w:r w:rsidRPr="00490116">
              <w:t>resin infusion under flexible tooling (RIFT)</w:t>
            </w:r>
          </w:p>
          <w:p w:rsidR="00000000" w:rsidRPr="00490116" w:rsidP="00490116">
            <w:pPr>
              <w:pStyle w:val="ListBullet"/>
            </w:pPr>
            <w:r w:rsidRPr="00490116">
              <w:t>vacuum bagging</w:t>
            </w:r>
          </w:p>
          <w:p w:rsidR="00000000" w:rsidP="00490116">
            <w:pPr>
              <w:pStyle w:val="BodyText"/>
              <w:rPr>
                <w:lang w:val="en-NZ"/>
              </w:rPr>
            </w:pPr>
            <w:r w:rsidRPr="00490116">
              <w:t>This may also be applied to other closed moulding techniques</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Mould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Mould equipment includes major items and ancillary items and may also include consumable equ</w:t>
            </w:r>
            <w:r w:rsidRPr="00490116">
              <w:t>ipment, such as:</w:t>
            </w:r>
          </w:p>
          <w:p w:rsidR="00000000" w:rsidRPr="00490116" w:rsidP="00490116">
            <w:pPr>
              <w:pStyle w:val="ListBullet"/>
            </w:pPr>
            <w:r w:rsidRPr="00490116">
              <w:t>airlines</w:t>
            </w:r>
          </w:p>
          <w:p w:rsidR="00000000" w:rsidRPr="00490116" w:rsidP="00490116">
            <w:pPr>
              <w:pStyle w:val="ListBullet"/>
            </w:pPr>
            <w:r w:rsidRPr="00490116">
              <w:t>catchpots</w:t>
            </w:r>
          </w:p>
          <w:p w:rsidR="00000000" w:rsidRPr="00490116" w:rsidP="00490116">
            <w:pPr>
              <w:pStyle w:val="ListBullet"/>
            </w:pPr>
            <w:r w:rsidRPr="00490116">
              <w:t>moulds and mould components</w:t>
            </w:r>
          </w:p>
          <w:p w:rsidR="00000000" w:rsidP="00490116">
            <w:pPr>
              <w:pStyle w:val="ListBullet"/>
              <w:rPr>
                <w:lang w:val="en-NZ"/>
              </w:rPr>
            </w:pPr>
            <w:r w:rsidRPr="00490116">
              <w:t>infusion system for laminate</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Prepare reinforcing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Preparing reinforcing includes:</w:t>
            </w:r>
          </w:p>
          <w:p w:rsidR="00000000" w:rsidRPr="00490116" w:rsidP="00490116">
            <w:pPr>
              <w:pStyle w:val="ListBullet"/>
            </w:pPr>
            <w:r w:rsidRPr="00490116">
              <w:t>cutting to size/shape, as required</w:t>
            </w:r>
          </w:p>
          <w:p w:rsidR="00000000" w:rsidP="00490116">
            <w:pPr>
              <w:pStyle w:val="ListBullet"/>
              <w:rPr>
                <w:lang w:val="en-NZ"/>
              </w:rPr>
            </w:pPr>
            <w:r w:rsidRPr="00490116">
              <w:t>any pre-treatment required</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Logs and reports may include:</w:t>
            </w:r>
          </w:p>
          <w:p w:rsidR="00000000" w:rsidRPr="00490116" w:rsidP="00490116">
            <w:pPr>
              <w:pStyle w:val="ListBullet"/>
            </w:pPr>
            <w:r w:rsidRPr="00490116">
              <w:t xml:space="preserve">paper or electronic based </w:t>
            </w:r>
          </w:p>
          <w:p w:rsidR="00000000" w:rsidRPr="00490116" w:rsidP="00490116">
            <w:pPr>
              <w:pStyle w:val="ListBullet"/>
            </w:pPr>
            <w:r w:rsidRPr="00490116">
              <w:t>verbal reports</w:t>
            </w:r>
          </w:p>
          <w:p w:rsidR="00000000" w:rsidP="00490116">
            <w:pPr>
              <w:pStyle w:val="ListBullet"/>
              <w:rPr>
                <w:lang w:val="en-NZ"/>
              </w:rPr>
            </w:pPr>
            <w:r w:rsidRPr="00490116">
              <w:t>items found which require action</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Appropriate action includes:</w:t>
            </w:r>
          </w:p>
          <w:p w:rsidR="00000000" w:rsidRPr="00490116" w:rsidP="00490116">
            <w:pPr>
              <w:pStyle w:val="ListBullet"/>
            </w:pPr>
            <w:r w:rsidRPr="00490116">
              <w:t>determining problems needing action</w:t>
            </w:r>
          </w:p>
          <w:p w:rsidR="00000000" w:rsidRPr="00490116" w:rsidP="00490116">
            <w:pPr>
              <w:pStyle w:val="ListBullet"/>
            </w:pPr>
            <w:r w:rsidRPr="00490116">
              <w:t>determining possible fault causes</w:t>
            </w:r>
          </w:p>
          <w:p w:rsidR="00000000" w:rsidRPr="00490116" w:rsidP="00490116">
            <w:pPr>
              <w:pStyle w:val="ListBullet"/>
            </w:pPr>
            <w:r w:rsidRPr="00490116">
              <w:t>rectifying problem using appropriate solution within area of responsibility</w:t>
            </w:r>
          </w:p>
          <w:p w:rsidR="00000000" w:rsidRPr="00490116" w:rsidP="00490116">
            <w:pPr>
              <w:pStyle w:val="ListBullet"/>
            </w:pPr>
            <w:r w:rsidRPr="00490116">
              <w:t>following through items initiated until final resolution has occurred</w:t>
            </w:r>
          </w:p>
          <w:p w:rsidR="00000000" w:rsidP="00490116">
            <w:pPr>
              <w:pStyle w:val="ListBullet"/>
              <w:rPr>
                <w:lang w:val="en-NZ"/>
              </w:rPr>
            </w:pPr>
            <w:r w:rsidRPr="00490116">
              <w:t>reporting problems outside area of responsibility to designated person</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 xml:space="preserve">Typical problems may </w:t>
            </w:r>
            <w:r w:rsidRPr="00490116">
              <w:t>include:</w:t>
            </w:r>
          </w:p>
          <w:p w:rsidR="00000000" w:rsidRPr="00490116" w:rsidP="00490116">
            <w:pPr>
              <w:pStyle w:val="ListBullet"/>
            </w:pPr>
            <w:r w:rsidRPr="00490116">
              <w:t>dead spots trapping air</w:t>
            </w:r>
          </w:p>
          <w:p w:rsidR="00000000" w:rsidRPr="00490116" w:rsidP="00490116">
            <w:pPr>
              <w:pStyle w:val="ListBullet"/>
            </w:pPr>
            <w:r w:rsidRPr="00490116">
              <w:t>resin curing too quickly</w:t>
            </w:r>
          </w:p>
          <w:p w:rsidR="00000000" w:rsidP="00490116">
            <w:pPr>
              <w:pStyle w:val="ListBullet"/>
              <w:rPr>
                <w:lang w:val="en-NZ"/>
              </w:rPr>
            </w:pPr>
            <w:r w:rsidRPr="00490116">
              <w:t>resin curing too slowly</w:t>
            </w:r>
          </w:p>
        </w:tc>
      </w:tr>
      <w:tr w:rsidTr="0049011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0116">
            <w:pPr>
              <w:pStyle w:val="BodyText"/>
              <w:rPr>
                <w:lang w:val="en-NZ"/>
              </w:rPr>
            </w:pPr>
            <w:r w:rsidRPr="00490116">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0116" w:rsidP="00490116">
            <w:pPr>
              <w:pStyle w:val="BodyText"/>
            </w:pPr>
            <w:r w:rsidRPr="00490116">
              <w:t>All operations to which this unit applies are subject to stringent HSE requirements, which may be imposed through state/territory or federal legislation, and these must not be compromised at any time. Where there is an apparent conflict between Performance</w:t>
            </w:r>
            <w:r w:rsidRPr="00490116">
              <w:t xml:space="preserve"> Criteria and HSE requirements, the HSE requirements take precedence</w:t>
            </w:r>
          </w:p>
        </w:tc>
      </w:tr>
    </w:tbl>
    <w:p w:rsidR="00C01050" w:rsidP="00490116">
      <w:pPr>
        <w:pStyle w:val="BodyText"/>
      </w:pPr>
    </w:p>
    <w:p w:rsidR="00C01050" w:rsidP="00490116">
      <w:pPr>
        <w:pStyle w:val="BodyText"/>
      </w:pPr>
    </w:p>
    <w:p w:rsidR="00000000" w:rsidRPr="00490116" w:rsidP="00490116">
      <w:pPr>
        <w:pStyle w:val="Heading1"/>
      </w:pPr>
      <w:bookmarkStart w:id="12" w:name="O_440262"/>
      <w:bookmarkEnd w:id="12"/>
      <w:r w:rsidRPr="00490116">
        <w:t>Unit Sector(s)</w:t>
      </w:r>
    </w:p>
    <w:p w:rsidR="00000000" w:rsidRPr="00490116" w:rsidP="00490116">
      <w:pPr>
        <w:pStyle w:val="BodyText"/>
      </w:pPr>
      <w:r w:rsidRPr="00490116">
        <w:t>Composites</w:t>
      </w:r>
    </w:p>
    <w:p w:rsidR="00000000" w:rsidRPr="00490116" w:rsidP="00490116">
      <w:pPr>
        <w:pStyle w:val="AllowPageBreak"/>
      </w:pPr>
    </w:p>
    <w:p w:rsidR="00000000" w:rsidRPr="00490116" w:rsidP="00490116">
      <w:pPr>
        <w:pStyle w:val="Heading1"/>
      </w:pPr>
      <w:bookmarkStart w:id="13" w:name="O_440263"/>
      <w:bookmarkEnd w:id="13"/>
      <w:r w:rsidRPr="00490116">
        <w:t>Custom Content Section</w:t>
      </w:r>
    </w:p>
    <w:p w:rsidR="00000000" w:rsidRPr="00490116" w:rsidP="00490116">
      <w:pPr>
        <w:pStyle w:val="BodyText"/>
      </w:pPr>
      <w:r w:rsidRPr="00490116">
        <w:t>Not applicable.</w:t>
      </w:r>
    </w:p>
    <w:p w:rsidR="00000000" w:rsidRPr="00490116" w:rsidP="00490116"/>
    <w:sectPr w:rsidSect="004901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050" w:rsidP="00C010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50" w:rsidP="00490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01050" w:rsidP="004901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01050" w:rsidP="004901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050" w:rsidP="00C0105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050" w:rsidP="00490116">
    <w:pPr>
      <w:pStyle w:val="Header"/>
      <w:framePr w:wrap="around"/>
    </w:pPr>
    <w:r>
      <w:fldChar w:fldCharType="begin"/>
    </w:r>
    <w:r>
      <w:instrText xml:space="preserve"> TITLE   \* MERGEFORMAT </w:instrText>
    </w:r>
    <w:r>
      <w:fldChar w:fldCharType="separate"/>
    </w:r>
    <w:r>
      <w:t>MEM26002A Lay up composites using vacuum closed moulding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1050" w:rsidP="004901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84D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02A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9C7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1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0116"/>
    <w:pPr>
      <w:spacing w:before="360" w:after="60"/>
      <w:outlineLvl w:val="0"/>
    </w:pPr>
    <w:rPr>
      <w:sz w:val="32"/>
    </w:rPr>
  </w:style>
  <w:style w:type="paragraph" w:styleId="Heading2">
    <w:name w:val="heading 2"/>
    <w:basedOn w:val="HeadingBase"/>
    <w:next w:val="BodyText"/>
    <w:link w:val="Heading2Char"/>
    <w:qFormat/>
    <w:rsid w:val="00490116"/>
    <w:pPr>
      <w:keepLines/>
      <w:spacing w:before="240" w:after="120"/>
      <w:outlineLvl w:val="1"/>
    </w:pPr>
    <w:rPr>
      <w:sz w:val="28"/>
      <w:szCs w:val="40"/>
    </w:rPr>
  </w:style>
  <w:style w:type="paragraph" w:styleId="Heading3">
    <w:name w:val="heading 3"/>
    <w:basedOn w:val="HeadingBase"/>
    <w:next w:val="BodyText"/>
    <w:link w:val="Heading3Char"/>
    <w:qFormat/>
    <w:rsid w:val="00490116"/>
    <w:pPr>
      <w:spacing w:before="180" w:after="120"/>
      <w:outlineLvl w:val="2"/>
    </w:pPr>
    <w:rPr>
      <w:spacing w:val="-10"/>
      <w:kern w:val="32"/>
    </w:rPr>
  </w:style>
  <w:style w:type="paragraph" w:styleId="Heading4">
    <w:name w:val="heading 4"/>
    <w:basedOn w:val="HeadingBase"/>
    <w:next w:val="BodyText"/>
    <w:link w:val="Heading4Char"/>
    <w:qFormat/>
    <w:rsid w:val="00490116"/>
    <w:pPr>
      <w:spacing w:before="160" w:after="120"/>
      <w:outlineLvl w:val="3"/>
    </w:pPr>
    <w:rPr>
      <w:sz w:val="22"/>
    </w:rPr>
  </w:style>
  <w:style w:type="paragraph" w:styleId="Heading5">
    <w:name w:val="heading 5"/>
    <w:basedOn w:val="HeadingBase"/>
    <w:next w:val="Normal"/>
    <w:link w:val="Heading5Char"/>
    <w:qFormat/>
    <w:rsid w:val="00490116"/>
    <w:pPr>
      <w:spacing w:before="80"/>
      <w:outlineLvl w:val="4"/>
    </w:pPr>
    <w:rPr>
      <w:color w:val="918585"/>
      <w:sz w:val="20"/>
    </w:rPr>
  </w:style>
  <w:style w:type="paragraph" w:styleId="Heading6">
    <w:name w:val="heading 6"/>
    <w:basedOn w:val="HeadingBase"/>
    <w:next w:val="Normal"/>
    <w:link w:val="Heading6Char"/>
    <w:qFormat/>
    <w:rsid w:val="00490116"/>
    <w:pPr>
      <w:spacing w:before="60"/>
      <w:outlineLvl w:val="5"/>
    </w:pPr>
    <w:rPr>
      <w:color w:val="918585"/>
      <w:sz w:val="20"/>
    </w:rPr>
  </w:style>
  <w:style w:type="paragraph" w:styleId="Heading7">
    <w:name w:val="heading 7"/>
    <w:basedOn w:val="Normal"/>
    <w:next w:val="Normal"/>
    <w:link w:val="Heading7Char"/>
    <w:qFormat/>
    <w:rsid w:val="00490116"/>
    <w:pPr>
      <w:ind w:left="720"/>
      <w:outlineLvl w:val="6"/>
    </w:pPr>
    <w:rPr>
      <w:i/>
    </w:rPr>
  </w:style>
  <w:style w:type="paragraph" w:styleId="Heading8">
    <w:name w:val="heading 8"/>
    <w:basedOn w:val="Normal"/>
    <w:next w:val="Normal"/>
    <w:link w:val="Heading8Char"/>
    <w:qFormat/>
    <w:rsid w:val="00490116"/>
    <w:pPr>
      <w:ind w:left="720"/>
      <w:outlineLvl w:val="7"/>
    </w:pPr>
    <w:rPr>
      <w:i/>
    </w:rPr>
  </w:style>
  <w:style w:type="paragraph" w:styleId="Heading9">
    <w:name w:val="heading 9"/>
    <w:basedOn w:val="Normal"/>
    <w:next w:val="Normal"/>
    <w:link w:val="Heading9Char"/>
    <w:qFormat/>
    <w:rsid w:val="00490116"/>
    <w:pPr>
      <w:ind w:left="720"/>
      <w:outlineLvl w:val="8"/>
    </w:pPr>
    <w:rPr>
      <w:i/>
    </w:rPr>
  </w:style>
  <w:style w:type="character" w:default="1" w:styleId="DefaultParagraphFont">
    <w:name w:val="Default Paragraph Font"/>
    <w:uiPriority w:val="1"/>
    <w:unhideWhenUsed/>
    <w:rsid w:val="00490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116"/>
  </w:style>
  <w:style w:type="character" w:customStyle="1" w:styleId="Heading1Char">
    <w:name w:val="Heading 1 Char"/>
    <w:link w:val="Heading1"/>
    <w:rsid w:val="00490116"/>
    <w:rPr>
      <w:rFonts w:ascii="Times New Roman" w:eastAsia="Times New Roman" w:hAnsi="Times New Roman" w:cs="Times New Roman"/>
      <w:b/>
      <w:sz w:val="32"/>
      <w:szCs w:val="20"/>
      <w:lang w:eastAsia="en-US"/>
    </w:rPr>
  </w:style>
  <w:style w:type="paragraph" w:styleId="BodyText">
    <w:name w:val="Body Text"/>
    <w:basedOn w:val="Normal"/>
    <w:link w:val="BodyTextChar"/>
    <w:rsid w:val="00490116"/>
    <w:pPr>
      <w:spacing w:before="120" w:after="120"/>
      <w:contextualSpacing/>
    </w:pPr>
    <w:rPr>
      <w:rFonts w:ascii="Times New Roman" w:hAnsi="Times New Roman"/>
      <w:sz w:val="24"/>
      <w:szCs w:val="22"/>
    </w:rPr>
  </w:style>
  <w:style w:type="character" w:customStyle="1" w:styleId="BodyTextChar">
    <w:name w:val="Body Text Char"/>
    <w:link w:val="BodyText"/>
    <w:rsid w:val="00490116"/>
    <w:rPr>
      <w:rFonts w:ascii="Times New Roman" w:eastAsia="Times New Roman" w:hAnsi="Times New Roman" w:cs="Times New Roman"/>
      <w:sz w:val="24"/>
      <w:lang w:val="en-US" w:eastAsia="en-US"/>
    </w:rPr>
  </w:style>
  <w:style w:type="paragraph" w:styleId="Footer">
    <w:name w:val="footer"/>
    <w:basedOn w:val="Normal"/>
    <w:link w:val="FooterChar"/>
    <w:rsid w:val="00490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90116"/>
    <w:rPr>
      <w:rFonts w:ascii="Times New Roman" w:eastAsia="Times New Roman" w:hAnsi="Times New Roman" w:cs="Times New Roman"/>
      <w:sz w:val="16"/>
      <w:lang w:val="en-US" w:eastAsia="en-US"/>
    </w:rPr>
  </w:style>
  <w:style w:type="paragraph" w:styleId="ListBullet">
    <w:name w:val="List Bullet"/>
    <w:basedOn w:val="List"/>
    <w:rsid w:val="00490116"/>
    <w:pPr>
      <w:numPr>
        <w:numId w:val="13"/>
      </w:numPr>
      <w:tabs>
        <w:tab w:val="clear" w:pos="340"/>
      </w:tabs>
      <w:spacing w:before="40" w:after="40"/>
    </w:pPr>
  </w:style>
  <w:style w:type="character" w:customStyle="1" w:styleId="SpecialBold">
    <w:name w:val="Special Bold"/>
    <w:rsid w:val="00490116"/>
    <w:rPr>
      <w:b/>
      <w:spacing w:val="0"/>
    </w:rPr>
  </w:style>
  <w:style w:type="paragraph" w:styleId="ListBullet2">
    <w:name w:val="List Bullet 2"/>
    <w:basedOn w:val="List2"/>
    <w:rsid w:val="00490116"/>
    <w:pPr>
      <w:numPr>
        <w:numId w:val="14"/>
      </w:numPr>
      <w:tabs>
        <w:tab w:val="clear" w:pos="680"/>
      </w:tabs>
    </w:pPr>
  </w:style>
  <w:style w:type="paragraph" w:styleId="Header">
    <w:name w:val="header"/>
    <w:basedOn w:val="Normal"/>
    <w:link w:val="HeaderChar"/>
    <w:rsid w:val="00490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9011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0116"/>
    <w:pPr>
      <w:spacing w:before="240" w:after="120"/>
      <w:outlineLvl w:val="0"/>
    </w:pPr>
    <w:rPr>
      <w:rFonts w:ascii="Times New Roman" w:hAnsi="Times New Roman"/>
      <w:b/>
      <w:sz w:val="28"/>
    </w:rPr>
  </w:style>
  <w:style w:type="paragraph" w:customStyle="1" w:styleId="AllowPageBreak">
    <w:name w:val="AllowPageBreak"/>
    <w:rsid w:val="004901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90116"/>
    <w:rPr>
      <w:rFonts w:ascii="Times New Roman" w:eastAsia="Times New Roman" w:hAnsi="Times New Roman" w:cs="Times New Roman"/>
      <w:b/>
      <w:sz w:val="28"/>
      <w:szCs w:val="40"/>
      <w:lang w:eastAsia="en-US"/>
    </w:rPr>
  </w:style>
  <w:style w:type="character" w:customStyle="1" w:styleId="Heading3Char">
    <w:name w:val="Heading 3 Char"/>
    <w:link w:val="Heading3"/>
    <w:rsid w:val="0049011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90116"/>
    <w:rPr>
      <w:rFonts w:ascii="Times New Roman" w:eastAsia="Times New Roman" w:hAnsi="Times New Roman" w:cs="Times New Roman"/>
      <w:b/>
      <w:szCs w:val="20"/>
      <w:lang w:eastAsia="en-US"/>
    </w:rPr>
  </w:style>
  <w:style w:type="character" w:customStyle="1" w:styleId="Heading5Char">
    <w:name w:val="Heading 5 Char"/>
    <w:link w:val="Heading5"/>
    <w:rsid w:val="0049011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90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1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01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0116"/>
    <w:rPr>
      <w:rFonts w:ascii="Courier New" w:eastAsia="Times New Roman" w:hAnsi="Courier New" w:cs="Times New Roman"/>
      <w:i/>
      <w:szCs w:val="20"/>
      <w:lang w:val="en-US" w:eastAsia="en-US"/>
    </w:rPr>
  </w:style>
  <w:style w:type="paragraph" w:customStyle="1" w:styleId="HeadingBase">
    <w:name w:val="Heading Base"/>
    <w:rsid w:val="00490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116"/>
    <w:pPr>
      <w:tabs>
        <w:tab w:val="right" w:leader="dot" w:pos="9072"/>
      </w:tabs>
      <w:ind w:left="567"/>
    </w:pPr>
    <w:rPr>
      <w:szCs w:val="22"/>
    </w:rPr>
  </w:style>
  <w:style w:type="paragraph" w:customStyle="1" w:styleId="TOCBase">
    <w:name w:val="TOC Base"/>
    <w:rsid w:val="00490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116"/>
    <w:pPr>
      <w:tabs>
        <w:tab w:val="right" w:leader="dot" w:pos="9072"/>
      </w:tabs>
      <w:spacing w:before="40" w:after="40"/>
      <w:ind w:left="284"/>
    </w:pPr>
    <w:rPr>
      <w:rFonts w:ascii="Times New Roman" w:hAnsi="Times New Roman"/>
    </w:rPr>
  </w:style>
  <w:style w:type="paragraph" w:styleId="TOC1">
    <w:name w:val="toc 1"/>
    <w:basedOn w:val="TOCBase"/>
    <w:next w:val="Normal"/>
    <w:rsid w:val="004901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0116"/>
    <w:pPr>
      <w:spacing w:before="5040"/>
      <w:jc w:val="center"/>
    </w:pPr>
    <w:rPr>
      <w:sz w:val="48"/>
      <w:szCs w:val="72"/>
      <w:lang w:val="en-US"/>
    </w:rPr>
  </w:style>
  <w:style w:type="character" w:customStyle="1" w:styleId="TitleChar">
    <w:name w:val="Title Char"/>
    <w:link w:val="Title"/>
    <w:rsid w:val="00490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116"/>
    <w:pPr>
      <w:tabs>
        <w:tab w:val="left" w:pos="3600"/>
        <w:tab w:val="left" w:pos="3958"/>
      </w:tabs>
    </w:pPr>
  </w:style>
  <w:style w:type="paragraph" w:styleId="List">
    <w:name w:val="List"/>
    <w:basedOn w:val="BodyText"/>
    <w:next w:val="BodyText"/>
    <w:rsid w:val="00490116"/>
    <w:pPr>
      <w:tabs>
        <w:tab w:val="left" w:pos="340"/>
      </w:tabs>
      <w:spacing w:before="60" w:after="60"/>
      <w:ind w:left="340" w:hanging="340"/>
    </w:pPr>
  </w:style>
  <w:style w:type="paragraph" w:customStyle="1" w:styleId="Note">
    <w:name w:val="Note"/>
    <w:basedOn w:val="BodyText"/>
    <w:rsid w:val="00490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116"/>
    <w:pPr>
      <w:framePr w:wrap="auto" w:hAnchor="text" w:y="6049"/>
    </w:pPr>
    <w:rPr>
      <w:color w:val="000000"/>
      <w:sz w:val="40"/>
    </w:rPr>
  </w:style>
  <w:style w:type="paragraph" w:customStyle="1" w:styleId="TOCTitle">
    <w:name w:val="TOCTitle"/>
    <w:basedOn w:val="Heading1"/>
    <w:rsid w:val="00490116"/>
    <w:pPr>
      <w:spacing w:after="240"/>
      <w:jc w:val="center"/>
      <w:outlineLvl w:val="9"/>
    </w:pPr>
    <w:rPr>
      <w:caps/>
    </w:rPr>
  </w:style>
  <w:style w:type="paragraph" w:customStyle="1" w:styleId="Version">
    <w:name w:val="Version"/>
    <w:rsid w:val="004901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116"/>
    <w:pPr>
      <w:keepNext w:val="0"/>
      <w:tabs>
        <w:tab w:val="right" w:pos="4176"/>
      </w:tabs>
      <w:ind w:left="198" w:hanging="198"/>
    </w:pPr>
    <w:rPr>
      <w:rFonts w:ascii="Garamond" w:hAnsi="Garamond"/>
    </w:rPr>
  </w:style>
  <w:style w:type="paragraph" w:styleId="IndexHeading">
    <w:name w:val="index heading"/>
    <w:basedOn w:val="Normal"/>
    <w:next w:val="Index1"/>
    <w:semiHidden/>
    <w:rsid w:val="00490116"/>
    <w:pPr>
      <w:spacing w:before="120" w:after="120"/>
    </w:pPr>
    <w:rPr>
      <w:rFonts w:ascii="Arial" w:hAnsi="Arial"/>
      <w:b/>
      <w:color w:val="918585"/>
      <w:sz w:val="24"/>
    </w:rPr>
  </w:style>
  <w:style w:type="paragraph" w:customStyle="1" w:styleId="Chapter">
    <w:name w:val="Chapter"/>
    <w:basedOn w:val="Normal"/>
    <w:rsid w:val="00490116"/>
    <w:pPr>
      <w:spacing w:before="240"/>
    </w:pPr>
    <w:rPr>
      <w:rFonts w:ascii="Times New Roman" w:hAnsi="Times New Roman"/>
      <w:smallCaps/>
      <w:spacing w:val="80"/>
      <w:sz w:val="28"/>
    </w:rPr>
  </w:style>
  <w:style w:type="paragraph" w:customStyle="1" w:styleId="InChapter">
    <w:name w:val="InChapter"/>
    <w:basedOn w:val="Heading3"/>
    <w:rsid w:val="00490116"/>
    <w:pPr>
      <w:spacing w:after="240"/>
      <w:outlineLvl w:val="9"/>
    </w:pPr>
    <w:rPr>
      <w:noProof/>
    </w:rPr>
  </w:style>
  <w:style w:type="paragraph" w:styleId="Index2">
    <w:name w:val="index 2"/>
    <w:basedOn w:val="Normal"/>
    <w:next w:val="Normal"/>
    <w:semiHidden/>
    <w:rsid w:val="00490116"/>
    <w:pPr>
      <w:tabs>
        <w:tab w:val="right" w:pos="4176"/>
      </w:tabs>
      <w:ind w:left="568" w:hanging="284"/>
    </w:pPr>
    <w:rPr>
      <w:rFonts w:ascii="Garamond" w:hAnsi="Garamond"/>
    </w:rPr>
  </w:style>
  <w:style w:type="paragraph" w:customStyle="1" w:styleId="Byline">
    <w:name w:val="Byline"/>
    <w:rsid w:val="00490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116"/>
    <w:pPr>
      <w:tabs>
        <w:tab w:val="clear" w:pos="3600"/>
        <w:tab w:val="clear" w:pos="3958"/>
      </w:tabs>
      <w:jc w:val="right"/>
    </w:pPr>
  </w:style>
  <w:style w:type="character" w:styleId="Emphasis">
    <w:name w:val="Emphasis"/>
    <w:qFormat/>
    <w:rsid w:val="00490116"/>
    <w:rPr>
      <w:i/>
    </w:rPr>
  </w:style>
  <w:style w:type="paragraph" w:styleId="Caption">
    <w:name w:val="caption"/>
    <w:basedOn w:val="BodyText"/>
    <w:next w:val="Normal"/>
    <w:qFormat/>
    <w:rsid w:val="00490116"/>
    <w:pPr>
      <w:framePr w:w="2268" w:hSpace="181" w:vSpace="181" w:wrap="around" w:vAnchor="text" w:hAnchor="page" w:x="1135" w:y="285" w:anchorLock="1"/>
    </w:pPr>
    <w:rPr>
      <w:i/>
    </w:rPr>
  </w:style>
  <w:style w:type="paragraph" w:customStyle="1" w:styleId="MiniTOCTitle">
    <w:name w:val="MiniTOCTitle"/>
    <w:basedOn w:val="Heading4"/>
    <w:rsid w:val="00490116"/>
    <w:pPr>
      <w:spacing w:before="240"/>
      <w:outlineLvl w:val="9"/>
    </w:pPr>
    <w:rPr>
      <w:noProof/>
      <w:sz w:val="24"/>
    </w:rPr>
  </w:style>
  <w:style w:type="paragraph" w:customStyle="1" w:styleId="MiniTOCItem">
    <w:name w:val="MiniTOCItem"/>
    <w:basedOn w:val="ListBullet"/>
    <w:rsid w:val="00490116"/>
    <w:pPr>
      <w:numPr>
        <w:numId w:val="0"/>
      </w:numPr>
      <w:tabs>
        <w:tab w:val="right" w:leader="dot" w:pos="6521"/>
      </w:tabs>
      <w:spacing w:before="0" w:after="0"/>
    </w:pPr>
  </w:style>
  <w:style w:type="paragraph" w:customStyle="1" w:styleId="TOFTitle">
    <w:name w:val="TOFTitle"/>
    <w:basedOn w:val="TOCTitle"/>
    <w:rsid w:val="00490116"/>
  </w:style>
  <w:style w:type="paragraph" w:styleId="TableofFigures">
    <w:name w:val="table of figures"/>
    <w:basedOn w:val="Normal"/>
    <w:next w:val="Normal"/>
    <w:semiHidden/>
    <w:rsid w:val="00490116"/>
    <w:pPr>
      <w:tabs>
        <w:tab w:val="right" w:leader="dot" w:pos="9072"/>
      </w:tabs>
      <w:ind w:left="970" w:hanging="403"/>
    </w:pPr>
    <w:rPr>
      <w:rFonts w:ascii="Times New Roman" w:hAnsi="Times New Roman"/>
      <w:b/>
    </w:rPr>
  </w:style>
  <w:style w:type="paragraph" w:styleId="ListNumber">
    <w:name w:val="List Number"/>
    <w:basedOn w:val="List"/>
    <w:rsid w:val="00490116"/>
    <w:pPr>
      <w:numPr>
        <w:numId w:val="11"/>
      </w:numPr>
    </w:pPr>
  </w:style>
  <w:style w:type="character" w:customStyle="1" w:styleId="WingdingSymbols">
    <w:name w:val="Wingding Symbols"/>
    <w:rsid w:val="00490116"/>
    <w:rPr>
      <w:rFonts w:ascii="Wingdings" w:hAnsi="Wingdings"/>
    </w:rPr>
  </w:style>
  <w:style w:type="paragraph" w:customStyle="1" w:styleId="TableHeading">
    <w:name w:val="Table Heading"/>
    <w:basedOn w:val="HeadingBase"/>
    <w:rsid w:val="00490116"/>
    <w:pPr>
      <w:keepLines/>
      <w:pBdr>
        <w:bottom w:val="single" w:sz="6" w:space="1" w:color="918585"/>
      </w:pBdr>
      <w:spacing w:before="240"/>
    </w:pPr>
  </w:style>
  <w:style w:type="character" w:customStyle="1" w:styleId="HotSpot">
    <w:name w:val="HotSpot"/>
    <w:rsid w:val="00490116"/>
    <w:rPr>
      <w:color w:val="0033CC"/>
      <w:u w:val="none"/>
    </w:rPr>
  </w:style>
  <w:style w:type="paragraph" w:customStyle="1" w:styleId="BodyTextRight">
    <w:name w:val="Body Text Right"/>
    <w:basedOn w:val="BodyText"/>
    <w:rsid w:val="00490116"/>
    <w:pPr>
      <w:spacing w:before="0" w:after="0"/>
      <w:jc w:val="right"/>
    </w:pPr>
  </w:style>
  <w:style w:type="paragraph" w:styleId="Index3">
    <w:name w:val="index 3"/>
    <w:basedOn w:val="ListNumber2"/>
    <w:next w:val="Normal"/>
    <w:semiHidden/>
    <w:rsid w:val="00490116"/>
    <w:pPr>
      <w:numPr>
        <w:numId w:val="0"/>
      </w:numPr>
      <w:tabs>
        <w:tab w:val="right" w:leader="dot" w:pos="4176"/>
      </w:tabs>
    </w:pPr>
  </w:style>
  <w:style w:type="paragraph" w:styleId="ListNumber2">
    <w:name w:val="List Number 2"/>
    <w:basedOn w:val="List2"/>
    <w:rsid w:val="00490116"/>
    <w:pPr>
      <w:numPr>
        <w:numId w:val="10"/>
      </w:numPr>
      <w:tabs>
        <w:tab w:val="clear" w:pos="1060"/>
      </w:tabs>
    </w:pPr>
  </w:style>
  <w:style w:type="paragraph" w:customStyle="1" w:styleId="MarginNote">
    <w:name w:val="Margin Note"/>
    <w:basedOn w:val="BodyText"/>
    <w:rsid w:val="00490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901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0116"/>
    <w:rPr>
      <w:sz w:val="32"/>
    </w:rPr>
  </w:style>
  <w:style w:type="paragraph" w:customStyle="1" w:styleId="HeadingProcedure">
    <w:name w:val="Heading Procedure"/>
    <w:basedOn w:val="HeadingBase"/>
    <w:next w:val="Normal"/>
    <w:rsid w:val="00490116"/>
    <w:pPr>
      <w:tabs>
        <w:tab w:val="left" w:pos="0"/>
      </w:tabs>
      <w:spacing w:before="120" w:after="60"/>
    </w:pPr>
    <w:rPr>
      <w:i/>
      <w:color w:val="918585"/>
      <w:sz w:val="22"/>
    </w:rPr>
  </w:style>
  <w:style w:type="paragraph" w:customStyle="1" w:styleId="TableBodyText">
    <w:name w:val="Table Body Text"/>
    <w:basedOn w:val="BodyText"/>
    <w:rsid w:val="00490116"/>
    <w:pPr>
      <w:spacing w:before="60" w:after="60"/>
    </w:pPr>
  </w:style>
  <w:style w:type="paragraph" w:styleId="ListContinue">
    <w:name w:val="List Continue"/>
    <w:basedOn w:val="List"/>
    <w:rsid w:val="00490116"/>
    <w:pPr>
      <w:ind w:firstLine="0"/>
    </w:pPr>
  </w:style>
  <w:style w:type="paragraph" w:customStyle="1" w:styleId="ListNote">
    <w:name w:val="List Note"/>
    <w:basedOn w:val="List"/>
    <w:rsid w:val="00490116"/>
    <w:pPr>
      <w:pBdr>
        <w:top w:val="single" w:sz="6" w:space="2" w:color="918585"/>
        <w:bottom w:val="single" w:sz="6" w:space="2" w:color="918585"/>
      </w:pBdr>
      <w:tabs>
        <w:tab w:val="left" w:pos="1021"/>
      </w:tabs>
      <w:ind w:firstLine="0"/>
    </w:pPr>
  </w:style>
  <w:style w:type="paragraph" w:customStyle="1" w:styleId="Warning">
    <w:name w:val="Warning"/>
    <w:basedOn w:val="BodyText"/>
    <w:rsid w:val="00490116"/>
    <w:pPr>
      <w:shd w:val="clear" w:color="auto" w:fill="D9D9D9"/>
      <w:tabs>
        <w:tab w:val="left" w:pos="992"/>
      </w:tabs>
      <w:ind w:left="119" w:right="119"/>
    </w:pPr>
    <w:rPr>
      <w:sz w:val="20"/>
    </w:rPr>
  </w:style>
  <w:style w:type="paragraph" w:customStyle="1" w:styleId="MarginIcons">
    <w:name w:val="Margin Icons"/>
    <w:basedOn w:val="BodyText"/>
    <w:rsid w:val="0049011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90116"/>
    <w:rPr>
      <w:rFonts w:ascii="Courier New" w:hAnsi="Courier New"/>
    </w:rPr>
  </w:style>
  <w:style w:type="paragraph" w:customStyle="1" w:styleId="NoteBullet">
    <w:name w:val="Note Bullet"/>
    <w:basedOn w:val="Note"/>
    <w:rsid w:val="00490116"/>
    <w:pPr>
      <w:tabs>
        <w:tab w:val="clear" w:pos="680"/>
      </w:tabs>
      <w:spacing w:before="60" w:after="60"/>
    </w:pPr>
  </w:style>
  <w:style w:type="paragraph" w:customStyle="1" w:styleId="SubHeading2">
    <w:name w:val="SubHeading2"/>
    <w:basedOn w:val="HeadingBase"/>
    <w:rsid w:val="00490116"/>
    <w:pPr>
      <w:spacing w:before="240" w:after="60"/>
    </w:pPr>
    <w:rPr>
      <w:sz w:val="20"/>
    </w:rPr>
  </w:style>
  <w:style w:type="paragraph" w:customStyle="1" w:styleId="SubHeading1">
    <w:name w:val="SubHeading1"/>
    <w:basedOn w:val="HeadingBase"/>
    <w:rsid w:val="00490116"/>
    <w:pPr>
      <w:spacing w:before="240" w:after="60"/>
    </w:pPr>
    <w:rPr>
      <w:color w:val="918585"/>
      <w:sz w:val="22"/>
    </w:rPr>
  </w:style>
  <w:style w:type="paragraph" w:customStyle="1" w:styleId="SideHeading">
    <w:name w:val="Side Heading"/>
    <w:basedOn w:val="HeadingBase"/>
    <w:rsid w:val="00490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116"/>
    <w:pPr>
      <w:numPr>
        <w:numId w:val="12"/>
      </w:numPr>
    </w:pPr>
  </w:style>
  <w:style w:type="paragraph" w:styleId="PlainText">
    <w:name w:val="Plain Text"/>
    <w:basedOn w:val="Normal"/>
    <w:link w:val="PlainTextChar"/>
    <w:rsid w:val="00490116"/>
    <w:rPr>
      <w:sz w:val="20"/>
    </w:rPr>
  </w:style>
  <w:style w:type="character" w:customStyle="1" w:styleId="PlainTextChar">
    <w:name w:val="Plain Text Char"/>
    <w:basedOn w:val="DefaultParagraphFont"/>
    <w:link w:val="PlainText"/>
    <w:rsid w:val="00490116"/>
    <w:rPr>
      <w:rFonts w:ascii="Courier New" w:eastAsia="Times New Roman" w:hAnsi="Courier New" w:cs="Times New Roman"/>
      <w:sz w:val="20"/>
      <w:szCs w:val="20"/>
      <w:lang w:val="en-US" w:eastAsia="en-US"/>
    </w:rPr>
  </w:style>
  <w:style w:type="character" w:customStyle="1" w:styleId="MenuOption">
    <w:name w:val="Menu Option"/>
    <w:rsid w:val="00490116"/>
    <w:rPr>
      <w:b/>
      <w:smallCaps/>
    </w:rPr>
  </w:style>
  <w:style w:type="paragraph" w:customStyle="1" w:styleId="TableListNumber">
    <w:name w:val="Table List Number"/>
    <w:basedOn w:val="ListNumber"/>
    <w:rsid w:val="00490116"/>
    <w:pPr>
      <w:numPr>
        <w:numId w:val="0"/>
      </w:numPr>
    </w:pPr>
  </w:style>
  <w:style w:type="paragraph" w:styleId="TOC4">
    <w:name w:val="toc 4"/>
    <w:basedOn w:val="TOCBase"/>
    <w:next w:val="Normal"/>
    <w:semiHidden/>
    <w:rsid w:val="00490116"/>
    <w:pPr>
      <w:tabs>
        <w:tab w:val="right" w:leader="dot" w:pos="9071"/>
      </w:tabs>
      <w:ind w:left="1701"/>
    </w:pPr>
  </w:style>
  <w:style w:type="paragraph" w:customStyle="1" w:styleId="ListAlpha">
    <w:name w:val="List Alpha"/>
    <w:basedOn w:val="List"/>
    <w:rsid w:val="00490116"/>
    <w:pPr>
      <w:numPr>
        <w:numId w:val="9"/>
      </w:numPr>
    </w:pPr>
  </w:style>
  <w:style w:type="paragraph" w:customStyle="1" w:styleId="ListAlpha2">
    <w:name w:val="List Alpha 2"/>
    <w:basedOn w:val="List2"/>
    <w:rsid w:val="00490116"/>
    <w:pPr>
      <w:numPr>
        <w:numId w:val="8"/>
      </w:numPr>
    </w:pPr>
  </w:style>
  <w:style w:type="paragraph" w:styleId="List2">
    <w:name w:val="List 2"/>
    <w:basedOn w:val="BodyText"/>
    <w:rsid w:val="00490116"/>
    <w:pPr>
      <w:tabs>
        <w:tab w:val="left" w:pos="680"/>
      </w:tabs>
      <w:spacing w:before="60" w:after="60"/>
      <w:ind w:left="680" w:hanging="340"/>
    </w:pPr>
  </w:style>
  <w:style w:type="paragraph" w:styleId="List3">
    <w:name w:val="List 3"/>
    <w:basedOn w:val="BodyText"/>
    <w:rsid w:val="00490116"/>
    <w:pPr>
      <w:tabs>
        <w:tab w:val="left" w:pos="1021"/>
      </w:tabs>
      <w:spacing w:before="60" w:after="60"/>
      <w:ind w:left="1020" w:hanging="340"/>
    </w:pPr>
  </w:style>
  <w:style w:type="paragraph" w:styleId="List4">
    <w:name w:val="List 4"/>
    <w:basedOn w:val="BodyText"/>
    <w:rsid w:val="00490116"/>
    <w:pPr>
      <w:tabs>
        <w:tab w:val="left" w:pos="1361"/>
      </w:tabs>
      <w:spacing w:before="60" w:after="60"/>
      <w:ind w:left="1361" w:hanging="340"/>
    </w:pPr>
  </w:style>
  <w:style w:type="paragraph" w:styleId="List5">
    <w:name w:val="List 5"/>
    <w:basedOn w:val="BodyText"/>
    <w:rsid w:val="00490116"/>
    <w:pPr>
      <w:tabs>
        <w:tab w:val="left" w:pos="1701"/>
      </w:tabs>
      <w:spacing w:before="60" w:after="60"/>
      <w:ind w:left="1701" w:hanging="340"/>
    </w:pPr>
  </w:style>
  <w:style w:type="paragraph" w:styleId="ListBullet3">
    <w:name w:val="List Bullet 3"/>
    <w:basedOn w:val="List3"/>
    <w:rsid w:val="00490116"/>
    <w:pPr>
      <w:numPr>
        <w:numId w:val="15"/>
      </w:numPr>
      <w:tabs>
        <w:tab w:val="clear" w:pos="1021"/>
      </w:tabs>
      <w:ind w:left="1037" w:hanging="357"/>
    </w:pPr>
  </w:style>
  <w:style w:type="paragraph" w:styleId="ListBullet4">
    <w:name w:val="List Bullet 4"/>
    <w:basedOn w:val="List4"/>
    <w:rsid w:val="00490116"/>
    <w:pPr>
      <w:numPr>
        <w:numId w:val="3"/>
      </w:numPr>
    </w:pPr>
  </w:style>
  <w:style w:type="paragraph" w:styleId="ListBullet5">
    <w:name w:val="List Bullet 5"/>
    <w:basedOn w:val="List5"/>
    <w:rsid w:val="00490116"/>
    <w:pPr>
      <w:numPr>
        <w:numId w:val="4"/>
      </w:numPr>
    </w:pPr>
  </w:style>
  <w:style w:type="paragraph" w:styleId="ListContinue2">
    <w:name w:val="List Continue 2"/>
    <w:basedOn w:val="List2"/>
    <w:rsid w:val="00490116"/>
    <w:pPr>
      <w:ind w:firstLine="0"/>
    </w:pPr>
  </w:style>
  <w:style w:type="paragraph" w:styleId="ListContinue3">
    <w:name w:val="List Continue 3"/>
    <w:basedOn w:val="List3"/>
    <w:rsid w:val="00490116"/>
    <w:pPr>
      <w:ind w:left="1021" w:firstLine="0"/>
    </w:pPr>
  </w:style>
  <w:style w:type="paragraph" w:styleId="ListContinue4">
    <w:name w:val="List Continue 4"/>
    <w:basedOn w:val="List4"/>
    <w:rsid w:val="00490116"/>
    <w:pPr>
      <w:ind w:firstLine="0"/>
    </w:pPr>
  </w:style>
  <w:style w:type="paragraph" w:styleId="ListContinue5">
    <w:name w:val="List Continue 5"/>
    <w:basedOn w:val="List5"/>
    <w:rsid w:val="00490116"/>
    <w:pPr>
      <w:ind w:firstLine="0"/>
    </w:pPr>
  </w:style>
  <w:style w:type="paragraph" w:styleId="ListNumber3">
    <w:name w:val="List Number 3"/>
    <w:basedOn w:val="List3"/>
    <w:rsid w:val="00490116"/>
    <w:pPr>
      <w:numPr>
        <w:numId w:val="5"/>
      </w:numPr>
    </w:pPr>
  </w:style>
  <w:style w:type="paragraph" w:styleId="ListNumber4">
    <w:name w:val="List Number 4"/>
    <w:basedOn w:val="List4"/>
    <w:rsid w:val="00490116"/>
    <w:pPr>
      <w:numPr>
        <w:numId w:val="6"/>
      </w:numPr>
    </w:pPr>
  </w:style>
  <w:style w:type="paragraph" w:styleId="ListNumber5">
    <w:name w:val="List Number 5"/>
    <w:basedOn w:val="List5"/>
    <w:rsid w:val="00490116"/>
    <w:pPr>
      <w:numPr>
        <w:numId w:val="7"/>
      </w:numPr>
    </w:pPr>
  </w:style>
  <w:style w:type="paragraph" w:styleId="BlockText">
    <w:name w:val="Block Text"/>
    <w:basedOn w:val="Normal"/>
    <w:rsid w:val="00490116"/>
    <w:pPr>
      <w:spacing w:after="120"/>
      <w:ind w:left="1440" w:right="1440"/>
    </w:pPr>
  </w:style>
  <w:style w:type="character" w:customStyle="1" w:styleId="Subscript">
    <w:name w:val="Subscript"/>
    <w:rsid w:val="00490116"/>
    <w:rPr>
      <w:sz w:val="16"/>
      <w:vertAlign w:val="subscript"/>
    </w:rPr>
  </w:style>
  <w:style w:type="character" w:customStyle="1" w:styleId="Superscript">
    <w:name w:val="Superscript"/>
    <w:rsid w:val="00490116"/>
    <w:rPr>
      <w:sz w:val="16"/>
      <w:vertAlign w:val="superscript"/>
    </w:rPr>
  </w:style>
  <w:style w:type="character" w:customStyle="1" w:styleId="Symbols">
    <w:name w:val="Symbols"/>
    <w:rsid w:val="00490116"/>
    <w:rPr>
      <w:rFonts w:ascii="Symbol" w:hAnsi="Symbol"/>
    </w:rPr>
  </w:style>
  <w:style w:type="character" w:customStyle="1" w:styleId="MenuOptions">
    <w:name w:val="Menu Options"/>
    <w:rsid w:val="00490116"/>
    <w:rPr>
      <w:rFonts w:ascii="Arial Narrow" w:hAnsi="Arial Narrow"/>
      <w:smallCaps/>
    </w:rPr>
  </w:style>
  <w:style w:type="character" w:customStyle="1" w:styleId="Buttons">
    <w:name w:val="Buttons"/>
    <w:rsid w:val="00490116"/>
    <w:rPr>
      <w:b/>
    </w:rPr>
  </w:style>
  <w:style w:type="character" w:customStyle="1" w:styleId="Underlined">
    <w:name w:val="Underlined"/>
    <w:rsid w:val="00490116"/>
    <w:rPr>
      <w:u w:val="single"/>
    </w:rPr>
  </w:style>
  <w:style w:type="paragraph" w:customStyle="1" w:styleId="TableBodyTextRight">
    <w:name w:val="Table Body Text Right"/>
    <w:basedOn w:val="TableBodyText"/>
    <w:rsid w:val="00490116"/>
    <w:pPr>
      <w:widowControl w:val="0"/>
      <w:autoSpaceDE w:val="0"/>
      <w:autoSpaceDN w:val="0"/>
      <w:adjustRightInd w:val="0"/>
      <w:jc w:val="right"/>
    </w:pPr>
    <w:rPr>
      <w:rFonts w:cs="Arial"/>
      <w:szCs w:val="18"/>
    </w:rPr>
  </w:style>
  <w:style w:type="paragraph" w:customStyle="1" w:styleId="CopyrightText">
    <w:name w:val="Copyright Text"/>
    <w:basedOn w:val="BodyText"/>
    <w:rsid w:val="00490116"/>
    <w:rPr>
      <w:sz w:val="18"/>
    </w:rPr>
  </w:style>
  <w:style w:type="paragraph" w:customStyle="1" w:styleId="BodySmallRight">
    <w:name w:val="Body Small Right"/>
    <w:basedOn w:val="BodyTextRight"/>
    <w:rsid w:val="00490116"/>
    <w:rPr>
      <w:sz w:val="18"/>
      <w:szCs w:val="18"/>
    </w:rPr>
  </w:style>
  <w:style w:type="paragraph" w:customStyle="1" w:styleId="MarginEdition">
    <w:name w:val="Margin Edition"/>
    <w:basedOn w:val="MarginNote"/>
    <w:rsid w:val="00490116"/>
    <w:pPr>
      <w:spacing w:before="0" w:after="0"/>
    </w:pPr>
    <w:rPr>
      <w:rFonts w:ascii="Times New Roman" w:hAnsi="Times New Roman"/>
      <w:color w:val="999999"/>
    </w:rPr>
  </w:style>
  <w:style w:type="paragraph" w:customStyle="1" w:styleId="Spacer">
    <w:name w:val="Spacer"/>
    <w:basedOn w:val="Normal"/>
    <w:rsid w:val="00490116"/>
    <w:rPr>
      <w:sz w:val="2"/>
      <w:szCs w:val="2"/>
    </w:rPr>
  </w:style>
  <w:style w:type="character" w:customStyle="1" w:styleId="Small">
    <w:name w:val="Small"/>
    <w:rsid w:val="00490116"/>
    <w:rPr>
      <w:sz w:val="16"/>
    </w:rPr>
  </w:style>
  <w:style w:type="paragraph" w:customStyle="1" w:styleId="WideTable">
    <w:name w:val="Wide Table"/>
    <w:basedOn w:val="Normal"/>
    <w:rsid w:val="00490116"/>
    <w:pPr>
      <w:ind w:left="-1418"/>
    </w:pPr>
    <w:rPr>
      <w:sz w:val="2"/>
      <w:szCs w:val="2"/>
    </w:rPr>
  </w:style>
  <w:style w:type="character" w:styleId="PageNumber">
    <w:name w:val="page number"/>
    <w:rsid w:val="00490116"/>
  </w:style>
  <w:style w:type="paragraph" w:styleId="Quote">
    <w:name w:val="Quote"/>
    <w:basedOn w:val="Heading1"/>
    <w:link w:val="QuoteChar"/>
    <w:qFormat/>
    <w:rsid w:val="00490116"/>
    <w:rPr>
      <w:b w:val="0"/>
      <w:sz w:val="72"/>
      <w:szCs w:val="72"/>
      <w:lang w:val="en-NZ"/>
    </w:rPr>
  </w:style>
  <w:style w:type="character" w:customStyle="1" w:styleId="QuoteChar">
    <w:name w:val="Quote Char"/>
    <w:link w:val="Quote"/>
    <w:rsid w:val="00490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116"/>
    <w:pPr>
      <w:pageBreakBefore/>
    </w:pPr>
  </w:style>
  <w:style w:type="paragraph" w:customStyle="1" w:styleId="Border">
    <w:name w:val="Border"/>
    <w:basedOn w:val="Normal"/>
    <w:qFormat/>
    <w:rsid w:val="00490116"/>
    <w:pPr>
      <w:pBdr>
        <w:top w:val="single" w:sz="18" w:space="1" w:color="auto"/>
      </w:pBdr>
    </w:pPr>
    <w:rPr>
      <w:rFonts w:ascii="Times New Roman" w:hAnsi="Times New Roman"/>
      <w:color w:val="FFFFFF"/>
      <w:sz w:val="2"/>
    </w:rPr>
  </w:style>
  <w:style w:type="character" w:styleId="IntenseEmphasis">
    <w:name w:val="Intense Emphasis"/>
    <w:uiPriority w:val="21"/>
    <w:qFormat/>
    <w:rsid w:val="00490116"/>
    <w:rPr>
      <w:b/>
      <w:bCs/>
      <w:i/>
      <w:iCs/>
      <w:color w:val="auto"/>
    </w:rPr>
  </w:style>
  <w:style w:type="paragraph" w:styleId="IntenseQuote">
    <w:name w:val="Intense Quote"/>
    <w:basedOn w:val="Normal"/>
    <w:next w:val="Normal"/>
    <w:link w:val="IntenseQuoteChar"/>
    <w:uiPriority w:val="30"/>
    <w:qFormat/>
    <w:rsid w:val="0049011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90116"/>
    <w:rPr>
      <w:rFonts w:ascii="Courier New" w:eastAsia="Times New Roman" w:hAnsi="Courier New" w:cs="Times New Roman"/>
      <w:b/>
      <w:bCs/>
      <w:i/>
      <w:iCs/>
      <w:szCs w:val="20"/>
      <w:lang w:val="en-US" w:eastAsia="en-US"/>
    </w:rPr>
  </w:style>
  <w:style w:type="character" w:styleId="SubtleReference">
    <w:name w:val="Subtle Reference"/>
    <w:uiPriority w:val="31"/>
    <w:qFormat/>
    <w:rsid w:val="00490116"/>
    <w:rPr>
      <w:smallCaps/>
      <w:color w:val="auto"/>
      <w:u w:val="single"/>
    </w:rPr>
  </w:style>
  <w:style w:type="character" w:styleId="IntenseReference">
    <w:name w:val="Intense Reference"/>
    <w:uiPriority w:val="32"/>
    <w:qFormat/>
    <w:rsid w:val="00490116"/>
    <w:rPr>
      <w:b/>
      <w:bCs/>
      <w:smallCaps/>
      <w:color w:val="auto"/>
      <w:spacing w:val="5"/>
      <w:u w:val="single"/>
    </w:rPr>
  </w:style>
  <w:style w:type="paragraph" w:customStyle="1" w:styleId="2ColumnHeading">
    <w:name w:val="2Column Heading"/>
    <w:basedOn w:val="BodyText"/>
    <w:qFormat/>
    <w:rsid w:val="00490116"/>
    <w:pPr>
      <w:spacing w:after="60"/>
      <w:ind w:left="-2268"/>
    </w:pPr>
    <w:rPr>
      <w:b/>
    </w:rPr>
  </w:style>
  <w:style w:type="paragraph" w:customStyle="1" w:styleId="Heading1TOC">
    <w:name w:val="Heading1 TOC"/>
    <w:basedOn w:val="Normal"/>
    <w:qFormat/>
    <w:rsid w:val="00490116"/>
    <w:pPr>
      <w:spacing w:before="240" w:after="120"/>
    </w:pPr>
    <w:rPr>
      <w:rFonts w:ascii="Times New Roman" w:hAnsi="Times New Roman"/>
      <w:b/>
      <w:sz w:val="32"/>
    </w:rPr>
  </w:style>
  <w:style w:type="paragraph" w:customStyle="1" w:styleId="Heading2TOC">
    <w:name w:val="Heading2 TOC"/>
    <w:basedOn w:val="Normal"/>
    <w:qFormat/>
    <w:rsid w:val="00490116"/>
    <w:pPr>
      <w:spacing w:before="240" w:after="60"/>
    </w:pPr>
    <w:rPr>
      <w:rFonts w:ascii="Times New Roman" w:hAnsi="Times New Roman"/>
      <w:b/>
      <w:sz w:val="28"/>
    </w:rPr>
  </w:style>
  <w:style w:type="character" w:customStyle="1" w:styleId="Underline">
    <w:name w:val="Underline"/>
    <w:qFormat/>
    <w:rsid w:val="00490116"/>
    <w:rPr>
      <w:u w:val="single"/>
    </w:rPr>
  </w:style>
  <w:style w:type="character" w:customStyle="1" w:styleId="BoldandItalics">
    <w:name w:val="Bold and Italics"/>
    <w:qFormat/>
    <w:rsid w:val="00490116"/>
    <w:rPr>
      <w:b/>
      <w:i/>
      <w:u w:val="none"/>
    </w:rPr>
  </w:style>
  <w:style w:type="paragraph" w:styleId="BalloonText">
    <w:name w:val="Balloon Text"/>
    <w:basedOn w:val="Normal"/>
    <w:link w:val="BalloonTextChar"/>
    <w:rsid w:val="00490116"/>
    <w:rPr>
      <w:rFonts w:ascii="Tahoma" w:hAnsi="Tahoma" w:cs="Tahoma"/>
      <w:sz w:val="16"/>
      <w:szCs w:val="16"/>
    </w:rPr>
  </w:style>
  <w:style w:type="character" w:customStyle="1" w:styleId="BalloonTextChar">
    <w:name w:val="Balloon Text Char"/>
    <w:link w:val="BalloonText"/>
    <w:rsid w:val="004901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011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9011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1458</Words>
  <Characters>8807</Characters>
  <Application>Microsoft Office Word</Application>
  <DocSecurity>0</DocSecurity>
  <Lines>369</Lines>
  <Paragraphs>204</Paragraphs>
  <ScaleCrop>false</ScaleCrop>
  <Company>Author-it Software Corporation Ltd.</Company>
  <LinksUpToDate>false</LinksUpToDate>
  <CharactersWithSpaces>10134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MEM26002A Lay up composites using vacuum closed moulding techniques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2012-05-27T02:12:00Z</dcterms:created>
  <dcterms:modified xsi:type="dcterms:W3CDTF">2012-05-27T02:12:00Z</dcterms:modified>
</cp:coreProperties>
</file>