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344" w:rsidP="00776344">
      <w:pPr>
        <w:pStyle w:val="Title"/>
      </w:pPr>
      <w:r>
        <w:fldChar w:fldCharType="begin"/>
      </w:r>
      <w:r>
        <w:instrText xml:space="preserve"> TITLE   \* MERGEFORMAT </w:instrText>
      </w:r>
      <w:r>
        <w:fldChar w:fldCharType="separate"/>
      </w:r>
      <w:r>
        <w:t>MEM26001A Lay up composites using open moulding techniques</w:t>
      </w:r>
      <w:r>
        <w:fldChar w:fldCharType="end"/>
      </w:r>
    </w:p>
    <w:p w:rsidR="00776344" w:rsidP="00776344">
      <w:pPr>
        <w:pStyle w:val="Version"/>
        <w:sectPr w:rsidSect="001D6E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E68" w:rsidP="001D6E68">
      <w:pPr>
        <w:pStyle w:val="SuperHeading"/>
      </w:pPr>
      <w:r w:rsidRPr="001D6E68">
        <w:t>MEM26001A Lay up composites using open moulding techniques</w:t>
      </w:r>
    </w:p>
    <w:p w:rsidR="00000000" w:rsidRPr="001D6E68" w:rsidP="001D6E68">
      <w:pPr>
        <w:pStyle w:val="Heading1"/>
      </w:pPr>
      <w:bookmarkStart w:id="1" w:name="O_439964"/>
      <w:bookmarkEnd w:id="1"/>
      <w:r w:rsidRPr="001D6E68">
        <w:t>Modification History</w:t>
      </w:r>
    </w:p>
    <w:tbl>
      <w:tblPr>
        <w:tblW w:w="0" w:type="auto"/>
        <w:tblLayout w:type="fixed"/>
        <w:tblCellMar>
          <w:left w:w="62" w:type="dxa"/>
          <w:right w:w="62" w:type="dxa"/>
        </w:tblCellMar>
        <w:tblLook w:val="0000"/>
      </w:tblPr>
      <w:tblGrid>
        <w:gridCol w:w="1260"/>
        <w:gridCol w:w="7810"/>
      </w:tblGrid>
      <w:tr w:rsidTr="001D6E68">
        <w:tblPrEx>
          <w:tblW w:w="0" w:type="auto"/>
          <w:tblLayout w:type="fixed"/>
          <w:tblCellMar>
            <w:left w:w="62" w:type="dxa"/>
            <w:right w:w="62" w:type="dxa"/>
          </w:tblCellMar>
          <w:tblLook w:val="0000"/>
        </w:tblPrEx>
        <w:trPr>
          <w:trHeight w:val="331"/>
        </w:trPr>
        <w:tc>
          <w:tcPr>
            <w:tcW w:w="1260"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Release 1</w:t>
            </w:r>
          </w:p>
        </w:tc>
        <w:tc>
          <w:tcPr>
            <w:tcW w:w="7810" w:type="dxa"/>
            <w:tcBorders>
              <w:top w:val="nil"/>
              <w:left w:val="nil"/>
              <w:bottom w:val="nil"/>
              <w:right w:val="nil"/>
            </w:tcBorders>
            <w:tcMar>
              <w:top w:w="0" w:type="dxa"/>
              <w:left w:w="62" w:type="dxa"/>
              <w:bottom w:w="0" w:type="dxa"/>
              <w:right w:w="62" w:type="dxa"/>
            </w:tcMar>
          </w:tcPr>
          <w:p w:rsidR="00000000" w:rsidRPr="001D6E68" w:rsidP="001D6E68">
            <w:pPr>
              <w:pStyle w:val="BodyText"/>
            </w:pPr>
            <w:r w:rsidRPr="001D6E68">
              <w:t>New unit</w:t>
            </w:r>
          </w:p>
        </w:tc>
      </w:tr>
    </w:tbl>
    <w:p w:rsidR="00000000" w:rsidRPr="001D6E68" w:rsidP="001D6E68">
      <w:pPr>
        <w:pStyle w:val="BodyText"/>
      </w:pPr>
    </w:p>
    <w:p w:rsidR="00000000" w:rsidRPr="001D6E68" w:rsidP="001D6E68">
      <w:pPr>
        <w:pStyle w:val="AllowPageBreak"/>
      </w:pPr>
    </w:p>
    <w:p w:rsidR="00000000" w:rsidRPr="001D6E68" w:rsidP="001D6E68">
      <w:pPr>
        <w:pStyle w:val="Heading1"/>
      </w:pPr>
      <w:bookmarkStart w:id="2" w:name="O_439966"/>
      <w:bookmarkEnd w:id="2"/>
      <w:r w:rsidRPr="001D6E68">
        <w:t>Unit Descriptor</w:t>
      </w:r>
    </w:p>
    <w:p w:rsidR="00000000" w:rsidRPr="001D6E68" w:rsidP="001D6E68">
      <w:pPr>
        <w:pStyle w:val="BodyText"/>
      </w:pPr>
      <w:r w:rsidRPr="001D6E68">
        <w:t>This unit of competency covers the skills and knowledge required to fabricate composites using hand lay-up and/or chopper gun and/or other open moulding techniques.</w:t>
      </w:r>
    </w:p>
    <w:p w:rsidR="00000000" w:rsidRPr="001D6E68" w:rsidP="001D6E68">
      <w:pPr>
        <w:pStyle w:val="AllowPageBreak"/>
      </w:pPr>
    </w:p>
    <w:p w:rsidR="00000000" w:rsidRPr="001D6E68" w:rsidP="001D6E68">
      <w:pPr>
        <w:pStyle w:val="Heading1"/>
      </w:pPr>
      <w:bookmarkStart w:id="3" w:name="O_439967"/>
      <w:bookmarkEnd w:id="3"/>
      <w:r w:rsidRPr="001D6E68">
        <w:t>Application of the Unit</w:t>
      </w:r>
    </w:p>
    <w:p w:rsidR="00000000" w:rsidRPr="001D6E68" w:rsidP="001D6E68">
      <w:pPr>
        <w:pStyle w:val="BodyText"/>
      </w:pPr>
      <w:r w:rsidRPr="001D6E68">
        <w:t>This unit covers one of the fundamental techniques</w:t>
      </w:r>
      <w:r w:rsidRPr="001D6E68">
        <w:t xml:space="preserve"> for fabricating a composite product – open moulding techniques. These are the traditional methods of composite fabrication and provide great flexibility in application. Open moulding may be undertaken by an individual or a fabrication team. It may be unde</w:t>
      </w:r>
      <w:r w:rsidRPr="001D6E68">
        <w:t>rtaken in a workshop or factory environment or in the field and may be used to manufacture new products, prototypes and samples, or to make repairs.</w:t>
      </w:r>
    </w:p>
    <w:p w:rsidR="00000000" w:rsidRPr="001D6E68" w:rsidP="001D6E68">
      <w:pPr>
        <w:pStyle w:val="BodyText"/>
      </w:pPr>
      <w:r w:rsidRPr="001D6E68">
        <w:t>This unit is one of three units covering the basic composite fabrication techniques, the other two being ME</w:t>
      </w:r>
      <w:r w:rsidRPr="001D6E68">
        <w:t>M26002A Lay up composites using vacuum closed moulding techniques and MEM26003A Lay up composites using pressure closed moulding techniques, which together are intended to ensure the composite tradesperson can undertake a basic fabrication using these meth</w:t>
      </w:r>
      <w:r w:rsidRPr="001D6E68">
        <w:t>ods.</w:t>
      </w:r>
    </w:p>
    <w:p w:rsidR="00000000" w:rsidRPr="001D6E68" w:rsidP="001D6E68">
      <w:pPr>
        <w:pStyle w:val="AllowPageBreak"/>
      </w:pPr>
    </w:p>
    <w:p w:rsidR="00000000" w:rsidRPr="001D6E68" w:rsidP="001D6E68">
      <w:pPr>
        <w:pStyle w:val="Heading1"/>
      </w:pPr>
      <w:bookmarkStart w:id="4" w:name="O_439969"/>
      <w:bookmarkEnd w:id="4"/>
      <w:r w:rsidRPr="001D6E68">
        <w:t>Licensing/Regulatory Information</w:t>
      </w:r>
    </w:p>
    <w:p w:rsidR="00000000" w:rsidRPr="001D6E68" w:rsidP="001D6E68">
      <w:pPr>
        <w:pStyle w:val="BodyText"/>
      </w:pPr>
      <w:r w:rsidRPr="001D6E68">
        <w:t>Not applicable.</w:t>
      </w:r>
    </w:p>
    <w:p w:rsidR="00000000" w:rsidRPr="001D6E68" w:rsidP="001D6E68">
      <w:pPr>
        <w:pStyle w:val="AllowPageBreak"/>
      </w:pPr>
    </w:p>
    <w:p w:rsidR="00000000" w:rsidRPr="001D6E68" w:rsidP="001D6E68">
      <w:pPr>
        <w:pStyle w:val="Heading1"/>
      </w:pPr>
      <w:bookmarkStart w:id="5" w:name="O_439970"/>
      <w:bookmarkEnd w:id="5"/>
      <w:r w:rsidRPr="001D6E68">
        <w:t>Pre-Requisites</w:t>
      </w:r>
    </w:p>
    <w:p w:rsidR="00000000" w:rsidRPr="001D6E68" w:rsidP="001D6E68">
      <w:pPr>
        <w:pStyle w:val="BodyText"/>
      </w:pPr>
      <w:r w:rsidRPr="001D6E68">
        <w:t>Not applicable.</w:t>
      </w:r>
    </w:p>
    <w:p w:rsidR="00000000" w:rsidRPr="001D6E68" w:rsidP="001D6E68">
      <w:pPr>
        <w:pStyle w:val="AllowPageBreak"/>
      </w:pPr>
    </w:p>
    <w:p w:rsidR="00000000" w:rsidRPr="001D6E68" w:rsidP="001D6E68">
      <w:pPr>
        <w:pStyle w:val="Heading1"/>
      </w:pPr>
      <w:bookmarkStart w:id="6" w:name="O_439972"/>
      <w:bookmarkEnd w:id="6"/>
      <w:r w:rsidRPr="001D6E68">
        <w:t>Employability Skills Information</w:t>
      </w:r>
    </w:p>
    <w:p w:rsidR="00000000" w:rsidRPr="001D6E68" w:rsidP="001D6E68">
      <w:pPr>
        <w:pStyle w:val="BodyText"/>
      </w:pPr>
      <w:r w:rsidRPr="001D6E68">
        <w:t>This unit contains employability skills.</w:t>
      </w:r>
    </w:p>
    <w:p w:rsidR="00000000" w:rsidRPr="001D6E68" w:rsidP="001D6E68">
      <w:pPr>
        <w:pStyle w:val="AllowPageBreak"/>
      </w:pPr>
    </w:p>
    <w:p w:rsidR="00000000" w:rsidRPr="001D6E68" w:rsidP="001D6E68">
      <w:pPr>
        <w:pStyle w:val="Heading1"/>
      </w:pPr>
      <w:bookmarkStart w:id="7" w:name="O_439973"/>
      <w:bookmarkEnd w:id="7"/>
      <w:r w:rsidRPr="001D6E68">
        <w:t>Elements and Performance Criteria Pre-Content</w:t>
      </w:r>
    </w:p>
    <w:tbl>
      <w:tblPr>
        <w:tblW w:w="9354" w:type="dxa"/>
        <w:tblLayout w:type="fixed"/>
        <w:tblCellMar>
          <w:left w:w="62" w:type="dxa"/>
          <w:right w:w="62" w:type="dxa"/>
        </w:tblCellMar>
        <w:tblLook w:val="0000"/>
      </w:tblPr>
      <w:tblGrid>
        <w:gridCol w:w="2592"/>
        <w:gridCol w:w="6762"/>
      </w:tblGrid>
      <w:tr w:rsidTr="001D6E6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1D6E68" w:rsidP="001D6E68">
            <w:pPr>
              <w:pStyle w:val="BodyText"/>
            </w:pPr>
            <w:r w:rsidRPr="001D6E68">
              <w:t>Performance criteria describe the performance needed to demonstrate achievement of the element. Where bold italicised text is used, further info</w:t>
            </w:r>
            <w:r w:rsidRPr="001D6E68">
              <w:t>rmation is detailed in the required skills and knowledge section and the range statement. Assessment of performance is to be consistent with the evidence guide.</w:t>
            </w:r>
          </w:p>
        </w:tc>
      </w:tr>
    </w:tbl>
    <w:p w:rsidR="00000000" w:rsidRPr="001D6E68" w:rsidP="001D6E68">
      <w:pPr>
        <w:pStyle w:val="BodyText"/>
      </w:pPr>
    </w:p>
    <w:p w:rsidR="00000000" w:rsidRPr="001D6E68" w:rsidP="001D6E68">
      <w:pPr>
        <w:pStyle w:val="AllowPageBreak"/>
      </w:pPr>
    </w:p>
    <w:p w:rsidR="00000000" w:rsidRPr="001D6E68" w:rsidP="001D6E68">
      <w:pPr>
        <w:pStyle w:val="Heading1"/>
      </w:pPr>
      <w:bookmarkStart w:id="8" w:name="O_439974"/>
      <w:bookmarkEnd w:id="8"/>
      <w:r w:rsidRPr="001D6E68">
        <w:t>Elements and Performance Criteria</w:t>
      </w:r>
    </w:p>
    <w:tbl>
      <w:tblPr>
        <w:tblW w:w="9532" w:type="dxa"/>
        <w:tblLayout w:type="fixed"/>
        <w:tblCellMar>
          <w:left w:w="62" w:type="dxa"/>
          <w:right w:w="62" w:type="dxa"/>
        </w:tblCellMar>
        <w:tblLook w:val="0000"/>
      </w:tblPr>
      <w:tblGrid>
        <w:gridCol w:w="325"/>
        <w:gridCol w:w="3006"/>
        <w:gridCol w:w="708"/>
        <w:gridCol w:w="5493"/>
      </w:tblGrid>
      <w:tr w:rsidTr="001D6E68">
        <w:tblPrEx>
          <w:tblW w:w="9532" w:type="dxa"/>
          <w:tblLayout w:type="fixed"/>
          <w:tblCellMar>
            <w:left w:w="62" w:type="dxa"/>
            <w:right w:w="62" w:type="dxa"/>
          </w:tblCellMar>
          <w:tblLook w:val="0000"/>
        </w:tblPrEx>
        <w:trPr>
          <w:trHeight w:val="420"/>
        </w:trPr>
        <w:tc>
          <w:tcPr>
            <w:tcW w:w="325"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1</w:t>
            </w:r>
          </w:p>
        </w:tc>
        <w:tc>
          <w:tcPr>
            <w:tcW w:w="3006"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Select process</w:t>
            </w: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1.1</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Identify product requirements</w:t>
            </w:r>
          </w:p>
        </w:tc>
      </w:tr>
      <w:tr w:rsidTr="001D6E68">
        <w:tblPrEx>
          <w:tblW w:w="9532" w:type="dxa"/>
          <w:tblLayout w:type="fixed"/>
          <w:tblCellMar>
            <w:left w:w="62" w:type="dxa"/>
            <w:right w:w="62" w:type="dxa"/>
          </w:tblCellMar>
          <w:tblLook w:val="0000"/>
        </w:tblPrEx>
        <w:trPr>
          <w:trHeight w:val="420"/>
        </w:trPr>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1.2</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Select open moulding technique most appropriate to product requirements</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1.3</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Identify or develop required procedures to make product using selected process</w:t>
            </w:r>
          </w:p>
        </w:tc>
      </w:tr>
      <w:tr w:rsidTr="001D6E68">
        <w:tblPrEx>
          <w:tblW w:w="9532" w:type="dxa"/>
          <w:tblLayout w:type="fixed"/>
          <w:tblCellMar>
            <w:left w:w="62" w:type="dxa"/>
            <w:right w:w="62" w:type="dxa"/>
          </w:tblCellMar>
          <w:tblLook w:val="0000"/>
        </w:tblPrEx>
        <w:trPr>
          <w:trHeight w:val="505"/>
        </w:trPr>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p>
        </w:tc>
      </w:tr>
      <w:tr w:rsidTr="001D6E68">
        <w:tblPrEx>
          <w:tblW w:w="9532" w:type="dxa"/>
          <w:tblLayout w:type="fixed"/>
          <w:tblCellMar>
            <w:left w:w="62" w:type="dxa"/>
            <w:right w:w="62" w:type="dxa"/>
          </w:tblCellMar>
          <w:tblLook w:val="0000"/>
        </w:tblPrEx>
        <w:trPr>
          <w:trHeight w:val="505"/>
        </w:trPr>
        <w:tc>
          <w:tcPr>
            <w:tcW w:w="325"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2</w:t>
            </w:r>
          </w:p>
        </w:tc>
        <w:tc>
          <w:tcPr>
            <w:tcW w:w="3006"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Set up equipment/workplace</w:t>
            </w: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2.1</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Select required items of equipment and ancillary equipment</w:t>
            </w:r>
          </w:p>
        </w:tc>
      </w:tr>
      <w:tr w:rsidTr="001D6E68">
        <w:tblPrEx>
          <w:tblW w:w="9532" w:type="dxa"/>
          <w:tblLayout w:type="fixed"/>
          <w:tblCellMar>
            <w:left w:w="62" w:type="dxa"/>
            <w:right w:w="62" w:type="dxa"/>
          </w:tblCellMar>
          <w:tblLook w:val="0000"/>
        </w:tblPrEx>
        <w:trPr>
          <w:trHeight w:val="505"/>
        </w:trPr>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2.2</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Prepare equipment and ancillary equipment, as required</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2.3</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Assemble all equipment ready for use as required by procedure</w:t>
            </w:r>
          </w:p>
        </w:tc>
      </w:tr>
      <w:tr w:rsidTr="001D6E68">
        <w:tblPrEx>
          <w:tblW w:w="9532" w:type="dxa"/>
          <w:tblLayout w:type="fixed"/>
          <w:tblCellMar>
            <w:left w:w="62" w:type="dxa"/>
            <w:right w:w="62" w:type="dxa"/>
          </w:tblCellMar>
          <w:tblLook w:val="0000"/>
        </w:tblPrEx>
        <w:trPr>
          <w:trHeight w:val="258"/>
        </w:trPr>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p>
        </w:tc>
      </w:tr>
      <w:tr w:rsidTr="001D6E68">
        <w:tblPrEx>
          <w:tblW w:w="9532" w:type="dxa"/>
          <w:tblLayout w:type="fixed"/>
          <w:tblCellMar>
            <w:left w:w="62" w:type="dxa"/>
            <w:right w:w="62" w:type="dxa"/>
          </w:tblCellMar>
          <w:tblLook w:val="0000"/>
        </w:tblPrEx>
        <w:trPr>
          <w:trHeight w:val="258"/>
        </w:trPr>
        <w:tc>
          <w:tcPr>
            <w:tcW w:w="325"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w:t>
            </w:r>
          </w:p>
        </w:tc>
        <w:tc>
          <w:tcPr>
            <w:tcW w:w="3006"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Prepare materials</w:t>
            </w: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3.1</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Identify required reinforcing/reinforcing system</w:t>
            </w:r>
          </w:p>
        </w:tc>
      </w:tr>
      <w:tr w:rsidTr="001D6E68">
        <w:tblPrEx>
          <w:tblW w:w="9532" w:type="dxa"/>
          <w:tblLayout w:type="fixed"/>
          <w:tblCellMar>
            <w:left w:w="62" w:type="dxa"/>
            <w:right w:w="62" w:type="dxa"/>
          </w:tblCellMar>
          <w:tblLook w:val="0000"/>
        </w:tblPrEx>
        <w:trPr>
          <w:trHeight w:val="253"/>
        </w:trPr>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3.2</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Determine quantity of reinforcing required</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3.3</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Prepare reinforcing as required</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3.4</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Identify required resin system</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3.5</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Identify and control hazards</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3.6</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Determine quantity of resin components required</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3.7</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Check adequate quantities are available</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3.8</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Mix resin</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3.9</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Minimise waste</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3.10</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Test resin</w:t>
            </w:r>
          </w:p>
        </w:tc>
      </w:tr>
      <w:tr w:rsidTr="001D6E68">
        <w:tblPrEx>
          <w:tblW w:w="9532" w:type="dxa"/>
          <w:tblLayout w:type="fixed"/>
          <w:tblCellMar>
            <w:left w:w="62" w:type="dxa"/>
            <w:right w:w="62" w:type="dxa"/>
          </w:tblCellMar>
          <w:tblLook w:val="0000"/>
        </w:tblPrEx>
        <w:trPr>
          <w:trHeight w:val="295"/>
        </w:trPr>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p>
        </w:tc>
      </w:tr>
      <w:tr w:rsidTr="001D6E68">
        <w:tblPrEx>
          <w:tblW w:w="9532" w:type="dxa"/>
          <w:tblLayout w:type="fixed"/>
          <w:tblCellMar>
            <w:left w:w="62" w:type="dxa"/>
            <w:right w:w="62" w:type="dxa"/>
          </w:tblCellMar>
          <w:tblLook w:val="0000"/>
        </w:tblPrEx>
        <w:trPr>
          <w:trHeight w:val="295"/>
        </w:trPr>
        <w:tc>
          <w:tcPr>
            <w:tcW w:w="325"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4</w:t>
            </w:r>
          </w:p>
        </w:tc>
        <w:tc>
          <w:tcPr>
            <w:tcW w:w="3006"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Fabricate and adjust equipment and materials, as required</w:t>
            </w: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4.1</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Apply gel coat, as required</w:t>
            </w:r>
          </w:p>
        </w:tc>
      </w:tr>
      <w:tr w:rsidTr="001D6E68">
        <w:tblPrEx>
          <w:tblW w:w="9532" w:type="dxa"/>
          <w:tblLayout w:type="fixed"/>
          <w:tblCellMar>
            <w:left w:w="62" w:type="dxa"/>
            <w:right w:w="62" w:type="dxa"/>
          </w:tblCellMar>
          <w:tblLook w:val="0000"/>
        </w:tblPrEx>
        <w:trPr>
          <w:trHeight w:val="295"/>
        </w:trPr>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4.2</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Apply resin and reinforcing, as required</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4.3</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Ensure required resin distribution</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4.4</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Cure product</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4.5</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Remove product from mould when ready</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4.6</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Perform final verification of meeting product requirements</w:t>
            </w:r>
          </w:p>
        </w:tc>
      </w:tr>
      <w:tr w:rsidTr="001D6E68">
        <w:tblPrEx>
          <w:tblW w:w="9532" w:type="dxa"/>
          <w:tblLayout w:type="fixed"/>
          <w:tblCellMar>
            <w:left w:w="62" w:type="dxa"/>
            <w:right w:w="62" w:type="dxa"/>
          </w:tblCellMar>
          <w:tblLook w:val="0000"/>
        </w:tblPrEx>
        <w:trPr>
          <w:trHeight w:val="254"/>
        </w:trPr>
        <w:tc>
          <w:tcPr>
            <w:tcW w:w="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p>
        </w:tc>
      </w:tr>
      <w:tr w:rsidTr="001D6E68">
        <w:tblPrEx>
          <w:tblW w:w="9532" w:type="dxa"/>
          <w:tblLayout w:type="fixed"/>
          <w:tblCellMar>
            <w:left w:w="62" w:type="dxa"/>
            <w:right w:w="62" w:type="dxa"/>
          </w:tblCellMar>
          <w:tblLook w:val="0000"/>
        </w:tblPrEx>
        <w:trPr>
          <w:trHeight w:val="254"/>
        </w:trPr>
        <w:tc>
          <w:tcPr>
            <w:tcW w:w="325"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w:t>
            </w:r>
          </w:p>
        </w:tc>
        <w:tc>
          <w:tcPr>
            <w:tcW w:w="3006" w:type="dxa"/>
            <w:vMerge w:val="restart"/>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Clean up and maintain equipment</w:t>
            </w: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5.1</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Clean all moulding and mixing equipment</w:t>
            </w:r>
          </w:p>
        </w:tc>
      </w:tr>
      <w:tr w:rsidTr="001D6E68">
        <w:tblPrEx>
          <w:tblW w:w="9532" w:type="dxa"/>
          <w:tblLayout w:type="fixed"/>
          <w:tblCellMar>
            <w:left w:w="62" w:type="dxa"/>
            <w:right w:w="62" w:type="dxa"/>
          </w:tblCellMar>
          <w:tblLook w:val="0000"/>
        </w:tblPrEx>
        <w:trPr>
          <w:trHeight w:val="253"/>
        </w:trPr>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5.2</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Undertake minor maintenance, as required</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5.3</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Prepare for next use or storage, as required</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5.4</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Inspect equipment for faults and take appropriate corrective action</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5.5</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Store equipment, as required</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5.6</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Minimise waste</w:t>
            </w:r>
          </w:p>
        </w:tc>
      </w:tr>
      <w:tr w:rsidTr="001D6E68">
        <w:tblPrEx>
          <w:tblW w:w="9532" w:type="dxa"/>
          <w:tblLayout w:type="fixed"/>
          <w:tblCellMar>
            <w:left w:w="62" w:type="dxa"/>
            <w:right w:w="62" w:type="dxa"/>
          </w:tblCellMar>
          <w:tblLook w:val="0000"/>
        </w:tblPrEx>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5.7</w:t>
            </w:r>
          </w:p>
        </w:tc>
        <w:tc>
          <w:tcPr>
            <w:tcW w:w="5493"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Dispose of waste, as appropriate</w:t>
            </w:r>
          </w:p>
        </w:tc>
      </w:tr>
      <w:tr w:rsidTr="001D6E68">
        <w:tblPrEx>
          <w:tblW w:w="9532" w:type="dxa"/>
          <w:tblLayout w:type="fixed"/>
          <w:tblCellMar>
            <w:left w:w="62" w:type="dxa"/>
            <w:right w:w="62" w:type="dxa"/>
          </w:tblCellMar>
          <w:tblLook w:val="0000"/>
        </w:tblPrEx>
        <w:trPr>
          <w:trHeight w:val="253"/>
        </w:trPr>
        <w:tc>
          <w:tcPr>
            <w:tcW w:w="32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8"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5.8</w:t>
            </w:r>
          </w:p>
        </w:tc>
        <w:tc>
          <w:tcPr>
            <w:tcW w:w="5493" w:type="dxa"/>
            <w:tcBorders>
              <w:top w:val="nil"/>
              <w:left w:val="nil"/>
              <w:bottom w:val="nil"/>
              <w:right w:val="nil"/>
            </w:tcBorders>
            <w:tcMar>
              <w:top w:w="0" w:type="dxa"/>
              <w:left w:w="62" w:type="dxa"/>
              <w:bottom w:w="0" w:type="dxa"/>
              <w:right w:w="62" w:type="dxa"/>
            </w:tcMar>
          </w:tcPr>
          <w:p w:rsidR="00000000" w:rsidRPr="001D6E68" w:rsidP="001D6E68">
            <w:pPr>
              <w:pStyle w:val="BodyText"/>
            </w:pPr>
            <w:r w:rsidRPr="001D6E68">
              <w:t>Complete required logs and reports</w:t>
            </w:r>
          </w:p>
        </w:tc>
      </w:tr>
    </w:tbl>
    <w:p w:rsidR="00776344" w:rsidP="001D6E68">
      <w:pPr>
        <w:pStyle w:val="BodyText"/>
      </w:pPr>
    </w:p>
    <w:p w:rsidR="00776344" w:rsidP="001D6E68">
      <w:pPr>
        <w:pStyle w:val="BodyText"/>
      </w:pPr>
    </w:p>
    <w:p w:rsidR="00000000" w:rsidRPr="001D6E68" w:rsidP="001D6E68">
      <w:pPr>
        <w:pStyle w:val="Heading1"/>
      </w:pPr>
      <w:bookmarkStart w:id="9" w:name="O_439975"/>
      <w:bookmarkEnd w:id="9"/>
      <w:r w:rsidRPr="001D6E68">
        <w:t>Required Skills and Knowledge</w:t>
      </w:r>
    </w:p>
    <w:tbl>
      <w:tblPr>
        <w:tblW w:w="9462" w:type="dxa"/>
        <w:tblLayout w:type="fixed"/>
        <w:tblCellMar>
          <w:left w:w="62" w:type="dxa"/>
          <w:right w:w="62" w:type="dxa"/>
        </w:tblCellMar>
        <w:tblLook w:val="0000"/>
      </w:tblPr>
      <w:tblGrid>
        <w:gridCol w:w="9462"/>
      </w:tblGrid>
      <w:tr w:rsidTr="001D6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t>This section describes the skills and knowledge required for this unit.</w:t>
            </w:r>
          </w:p>
        </w:tc>
      </w:tr>
      <w:tr w:rsidTr="001D6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rPr>
                <w:rStyle w:val="SpecialBold"/>
              </w:rPr>
              <w:t>Required skills</w:t>
            </w:r>
          </w:p>
        </w:tc>
      </w:tr>
      <w:tr w:rsidTr="001D6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D6E68" w:rsidP="001D6E68">
            <w:pPr>
              <w:pStyle w:val="BodyText"/>
            </w:pPr>
            <w:r w:rsidRPr="001D6E68">
              <w:t>Required skills include:</w:t>
            </w:r>
          </w:p>
          <w:p w:rsidR="00000000" w:rsidRPr="001D6E68" w:rsidP="001D6E68">
            <w:pPr>
              <w:pStyle w:val="ListBullet"/>
            </w:pPr>
            <w:r w:rsidRPr="001D6E68">
              <w:t>interpreting specifications and instructions</w:t>
            </w:r>
          </w:p>
          <w:p w:rsidR="00000000" w:rsidRPr="001D6E68" w:rsidP="001D6E68">
            <w:pPr>
              <w:pStyle w:val="ListBullet"/>
            </w:pPr>
            <w:r w:rsidRPr="001D6E68">
              <w:t>calculation of material quantities</w:t>
            </w:r>
          </w:p>
          <w:p w:rsidR="00000000" w:rsidRPr="001D6E68" w:rsidP="001D6E68">
            <w:pPr>
              <w:pStyle w:val="ListBullet"/>
            </w:pPr>
            <w:r w:rsidRPr="001D6E68">
              <w:t>working safely and using personal protective equipment</w:t>
            </w:r>
          </w:p>
          <w:p w:rsidR="00000000" w:rsidRPr="001D6E68" w:rsidP="001D6E68">
            <w:pPr>
              <w:pStyle w:val="ListBullet"/>
            </w:pPr>
            <w:r w:rsidRPr="001D6E68">
              <w:t>removing included air</w:t>
            </w:r>
          </w:p>
          <w:p w:rsidR="00000000" w:rsidRPr="001D6E68" w:rsidP="001D6E68">
            <w:pPr>
              <w:pStyle w:val="ListBullet"/>
            </w:pPr>
            <w:r w:rsidRPr="001D6E68">
              <w:t>using rollers, brushes and/or chopper gun</w:t>
            </w:r>
          </w:p>
          <w:p w:rsidR="00000000" w:rsidRPr="001D6E68" w:rsidP="001D6E68">
            <w:pPr>
              <w:pStyle w:val="ListBullet"/>
            </w:pPr>
            <w:r w:rsidRPr="001D6E68">
              <w:t>performing vacuum leak testing</w:t>
            </w:r>
          </w:p>
          <w:p w:rsidR="00000000" w:rsidRPr="001D6E68" w:rsidP="001D6E68">
            <w:pPr>
              <w:pStyle w:val="ListBullet"/>
            </w:pPr>
            <w:r w:rsidRPr="001D6E68">
              <w:t>doing minor maintenance to chopper guns and/or pump systems (reciprocating airless pumps with air support)</w:t>
            </w:r>
          </w:p>
          <w:p w:rsidR="00000000" w:rsidRPr="001D6E68" w:rsidP="001D6E68">
            <w:pPr>
              <w:pStyle w:val="ListBullet"/>
            </w:pPr>
            <w:r w:rsidRPr="001D6E68">
              <w:t>operating and maintaining solvent cleaner (filter)</w:t>
            </w:r>
          </w:p>
          <w:p w:rsidR="00000000" w:rsidRPr="001D6E68" w:rsidP="001D6E68">
            <w:pPr>
              <w:pStyle w:val="ListBullet"/>
            </w:pPr>
            <w:r w:rsidRPr="001D6E68">
              <w:t>undertaking mechanically assisted movement of large parts (e.g. chain hoist)</w:t>
            </w:r>
          </w:p>
          <w:p w:rsidR="00000000" w:rsidRPr="001D6E68" w:rsidP="001D6E68">
            <w:pPr>
              <w:pStyle w:val="ListBullet"/>
            </w:pPr>
            <w:r w:rsidRPr="001D6E68">
              <w:t xml:space="preserve">assembling, cleaning </w:t>
            </w:r>
            <w:r w:rsidRPr="001D6E68">
              <w:t>and preparing simple and complex moulds</w:t>
            </w:r>
          </w:p>
          <w:p w:rsidR="00000000" w:rsidRPr="001D6E68" w:rsidP="001D6E68">
            <w:pPr>
              <w:pStyle w:val="ListBullet"/>
            </w:pPr>
            <w:r w:rsidRPr="001D6E68">
              <w:t>releasing product from simple and complex moulds (using jacks, air and water)</w:t>
            </w:r>
          </w:p>
          <w:p w:rsidR="00000000" w:rsidRPr="001D6E68" w:rsidP="001D6E68">
            <w:pPr>
              <w:pStyle w:val="ListBullet"/>
            </w:pPr>
            <w:r w:rsidRPr="001D6E68">
              <w:t>applying release systems (wax)</w:t>
            </w:r>
          </w:p>
          <w:p w:rsidR="00000000" w:rsidP="001D6E68">
            <w:pPr>
              <w:pStyle w:val="ListBullet"/>
              <w:rPr>
                <w:lang w:val="en-NZ"/>
              </w:rPr>
            </w:pPr>
            <w:r w:rsidRPr="001D6E68">
              <w:t>ensuring compliance to specifications</w:t>
            </w:r>
          </w:p>
        </w:tc>
      </w:tr>
      <w:tr w:rsidTr="001D6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p>
        </w:tc>
      </w:tr>
      <w:tr w:rsidTr="001D6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D6E68">
            <w:pPr>
              <w:pStyle w:val="BodyText"/>
              <w:rPr>
                <w:lang w:val="en-NZ"/>
              </w:rPr>
            </w:pPr>
            <w:r w:rsidRPr="001D6E68">
              <w:rPr>
                <w:rStyle w:val="SpecialBold"/>
              </w:rPr>
              <w:t>Required knowledge</w:t>
            </w:r>
          </w:p>
        </w:tc>
      </w:tr>
      <w:tr w:rsidTr="001D6E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D6E68" w:rsidP="001D6E68">
            <w:pPr>
              <w:pStyle w:val="BodyText"/>
            </w:pPr>
            <w:r w:rsidRPr="001D6E68">
              <w:t>Required knowledge includes:</w:t>
            </w:r>
          </w:p>
          <w:p w:rsidR="00000000" w:rsidRPr="001D6E68" w:rsidP="001D6E68">
            <w:pPr>
              <w:pStyle w:val="ListBullet"/>
            </w:pPr>
            <w:r w:rsidRPr="001D6E68">
              <w:t>preparation schedules, terminology and information relevant to standard work instructions</w:t>
            </w:r>
          </w:p>
          <w:p w:rsidR="00000000" w:rsidRPr="001D6E68" w:rsidP="001D6E68">
            <w:pPr>
              <w:pStyle w:val="ListBullet"/>
            </w:pPr>
            <w:r w:rsidRPr="001D6E68">
              <w:t>applicable codes and regulations</w:t>
            </w:r>
          </w:p>
          <w:p w:rsidR="00000000" w:rsidRPr="001D6E68" w:rsidP="001D6E68">
            <w:pPr>
              <w:pStyle w:val="ListBullet"/>
            </w:pPr>
            <w:r w:rsidRPr="001D6E68">
              <w:t>safe work practices and correct use of personal protective equipment</w:t>
            </w:r>
          </w:p>
          <w:p w:rsidR="00000000" w:rsidRPr="001D6E68" w:rsidP="001D6E68">
            <w:pPr>
              <w:pStyle w:val="ListBullet"/>
            </w:pPr>
            <w:r w:rsidRPr="001D6E68">
              <w:t>release agents surface tension</w:t>
            </w:r>
          </w:p>
          <w:p w:rsidR="00000000" w:rsidRPr="001D6E68" w:rsidP="001D6E68">
            <w:pPr>
              <w:pStyle w:val="ListBullet"/>
            </w:pPr>
            <w:r w:rsidRPr="001D6E68">
              <w:t>managing lay-up teams</w:t>
            </w:r>
          </w:p>
          <w:p w:rsidR="00000000" w:rsidRPr="001D6E68" w:rsidP="001D6E68">
            <w:pPr>
              <w:pStyle w:val="ListBullet"/>
            </w:pPr>
            <w:r w:rsidRPr="001D6E68">
              <w:t>gel coat ap</w:t>
            </w:r>
            <w:r w:rsidRPr="001D6E68">
              <w:t>plication</w:t>
            </w:r>
          </w:p>
          <w:p w:rsidR="00000000" w:rsidRPr="001D6E68" w:rsidP="001D6E68">
            <w:pPr>
              <w:pStyle w:val="ListBullet"/>
            </w:pPr>
            <w:r w:rsidRPr="001D6E68">
              <w:t>reinforcement lay-up</w:t>
            </w:r>
          </w:p>
          <w:p w:rsidR="00000000" w:rsidRPr="001D6E68" w:rsidP="001D6E68">
            <w:pPr>
              <w:pStyle w:val="ListBullet"/>
            </w:pPr>
            <w:r w:rsidRPr="001D6E68">
              <w:t>resin types and applications</w:t>
            </w:r>
          </w:p>
          <w:p w:rsidR="00000000" w:rsidRPr="001D6E68" w:rsidP="001D6E68">
            <w:pPr>
              <w:pStyle w:val="ListBullet"/>
            </w:pPr>
            <w:r w:rsidRPr="001D6E68">
              <w:t>common tools/equipment and their maintenance</w:t>
            </w:r>
          </w:p>
          <w:p w:rsidR="00000000" w:rsidRPr="001D6E68" w:rsidP="001D6E68">
            <w:pPr>
              <w:pStyle w:val="ListBullet"/>
            </w:pPr>
            <w:r w:rsidRPr="001D6E68">
              <w:t>correct laminating techniques and finishing off (e.g. detail consolidation/rolling, check consistency and evenness of resin/glass, remove air entrapmen</w:t>
            </w:r>
            <w:r w:rsidRPr="001D6E68">
              <w:t>t and check with light)</w:t>
            </w:r>
          </w:p>
          <w:p w:rsidR="00000000" w:rsidRPr="001D6E68" w:rsidP="001D6E68">
            <w:pPr>
              <w:pStyle w:val="ListBullet"/>
            </w:pPr>
            <w:r w:rsidRPr="001D6E68">
              <w:t>managing post-cure requirements (e.g. air cure and oven cure)</w:t>
            </w:r>
          </w:p>
          <w:p w:rsidR="00000000" w:rsidRPr="001D6E68" w:rsidP="001D6E68">
            <w:pPr>
              <w:pStyle w:val="ListBullet"/>
            </w:pPr>
            <w:r w:rsidRPr="001D6E68">
              <w:t>production environment variables, such as effect of humidity (e.g. epoxy backbone), temperature, ultraviolet (UV) light and contamination from other processes</w:t>
            </w:r>
          </w:p>
          <w:p w:rsidR="00000000" w:rsidRPr="001D6E68" w:rsidP="001D6E68">
            <w:pPr>
              <w:pStyle w:val="ListBullet"/>
            </w:pPr>
            <w:r w:rsidRPr="001D6E68">
              <w:t>managing hazardous environments (e.g. styrene levels)</w:t>
            </w:r>
          </w:p>
          <w:p w:rsidR="00000000" w:rsidRPr="001D6E68" w:rsidP="001D6E68">
            <w:pPr>
              <w:pStyle w:val="ListBullet"/>
            </w:pPr>
            <w:r w:rsidRPr="001D6E68">
              <w:t>function of catalysts, accelerators and promoters</w:t>
            </w:r>
          </w:p>
          <w:p w:rsidR="00000000" w:rsidRPr="001D6E68" w:rsidP="001D6E68">
            <w:pPr>
              <w:pStyle w:val="ListBullet"/>
            </w:pPr>
            <w:r w:rsidRPr="001D6E68">
              <w:t>control of overspray</w:t>
            </w:r>
          </w:p>
          <w:p w:rsidR="00000000" w:rsidRPr="001D6E68" w:rsidP="001D6E68">
            <w:pPr>
              <w:pStyle w:val="ListBullet"/>
            </w:pPr>
            <w:r w:rsidRPr="001D6E68">
              <w:t>storage of moulds</w:t>
            </w:r>
          </w:p>
          <w:p w:rsidR="00000000" w:rsidRPr="001D6E68" w:rsidP="001D6E68">
            <w:pPr>
              <w:pStyle w:val="ListBullet"/>
            </w:pPr>
            <w:r w:rsidRPr="001D6E68">
              <w:t>housekeeping</w:t>
            </w:r>
          </w:p>
          <w:p w:rsidR="00000000" w:rsidRPr="001D6E68" w:rsidP="001D6E68">
            <w:pPr>
              <w:pStyle w:val="ListBullet"/>
            </w:pPr>
            <w:r w:rsidRPr="001D6E68">
              <w:t>waste disposal</w:t>
            </w:r>
          </w:p>
        </w:tc>
      </w:tr>
    </w:tbl>
    <w:p w:rsidR="00776344" w:rsidP="001D6E68">
      <w:pPr>
        <w:pStyle w:val="BodyText"/>
      </w:pPr>
    </w:p>
    <w:p w:rsidR="00776344" w:rsidP="001D6E68">
      <w:pPr>
        <w:pStyle w:val="BodyText"/>
      </w:pPr>
    </w:p>
    <w:p w:rsidR="00000000" w:rsidRPr="001D6E68" w:rsidP="001D6E68">
      <w:pPr>
        <w:pStyle w:val="Heading1"/>
      </w:pPr>
      <w:bookmarkStart w:id="10" w:name="O_439977"/>
      <w:bookmarkEnd w:id="10"/>
      <w:r w:rsidRPr="001D6E68">
        <w:t>Evidence Guide</w:t>
      </w:r>
    </w:p>
    <w:tbl>
      <w:tblPr>
        <w:tblW w:w="9462" w:type="dxa"/>
        <w:tblLayout w:type="fixed"/>
        <w:tblCellMar>
          <w:left w:w="62" w:type="dxa"/>
          <w:right w:w="62" w:type="dxa"/>
        </w:tblCellMar>
        <w:tblLook w:val="0000"/>
      </w:tblPr>
      <w:tblGrid>
        <w:gridCol w:w="3800"/>
        <w:gridCol w:w="5662"/>
      </w:tblGrid>
      <w:tr w:rsidTr="001D6E68">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1D6E68">
            <w:pPr>
              <w:pStyle w:val="BodyText"/>
              <w:rPr>
                <w:lang w:val="en-NZ"/>
              </w:rPr>
            </w:pPr>
            <w:r w:rsidRPr="001D6E68">
              <w:t>The evidence guide provides advice on assessment a</w:t>
            </w:r>
            <w:r w:rsidRPr="001D6E68">
              <w:t>nd must be read in conjunction with the performance criteria, required skills and knowledge, range statement and the Assessment Guidelines for the Training Package.</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Critical aspects for assessment and evidence required</w:t>
            </w:r>
            <w:r w:rsidRPr="001D6E68">
              <w:rPr>
                <w:rStyle w:val="SpecialBold"/>
              </w:rPr>
              <w:t xml:space="preserve">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Assessment for this unit of competency will occur on the job.</w:t>
            </w:r>
          </w:p>
          <w:p w:rsidR="00000000" w:rsidRPr="001D6E68" w:rsidP="001D6E68">
            <w:pPr>
              <w:pStyle w:val="BodyText"/>
            </w:pPr>
            <w:r w:rsidRPr="001D6E68">
              <w:t>It is essential that the process and equipment be understood and that the importance of critical material properties, settings and readings is known. Comp</w:t>
            </w:r>
            <w:r w:rsidRPr="001D6E68">
              <w:t>etence must be demonstrated in the ability to recognise and analyse potential situations requiring action and then in implementing appropriate corrective action.</w:t>
            </w:r>
          </w:p>
          <w:p w:rsidR="00000000" w:rsidRPr="001D6E68" w:rsidP="001D6E68">
            <w:pPr>
              <w:pStyle w:val="BodyText"/>
            </w:pPr>
            <w:r w:rsidRPr="001D6E68">
              <w:t>Consistent performance should be demonstrated. In particular look to see that:</w:t>
            </w:r>
          </w:p>
          <w:p w:rsidR="00000000" w:rsidRPr="001D6E68" w:rsidP="001D6E68">
            <w:pPr>
              <w:pStyle w:val="ListBullet"/>
            </w:pPr>
            <w:r w:rsidRPr="001D6E68">
              <w:t>waste is minim</w:t>
            </w:r>
            <w:r w:rsidRPr="001D6E68">
              <w:t>ised</w:t>
            </w:r>
          </w:p>
          <w:p w:rsidR="00000000" w:rsidRPr="001D6E68" w:rsidP="001D6E68">
            <w:pPr>
              <w:pStyle w:val="ListBullet"/>
            </w:pPr>
            <w:r w:rsidRPr="001D6E68">
              <w:t>product is made efficiently and to standard</w:t>
            </w:r>
          </w:p>
          <w:p w:rsidR="00000000" w:rsidRPr="001D6E68" w:rsidP="001D6E68">
            <w:pPr>
              <w:pStyle w:val="ListBullet"/>
            </w:pPr>
            <w:r w:rsidRPr="001D6E68">
              <w:t>tools and equipment are appropriately maintained.</w:t>
            </w:r>
          </w:p>
          <w:p w:rsidR="00000000" w:rsidP="001D6E68">
            <w:pPr>
              <w:pStyle w:val="BodyText"/>
              <w:rPr>
                <w:lang w:val="en-NZ"/>
              </w:rPr>
            </w:pPr>
            <w:r w:rsidRPr="001D6E68">
              <w:t xml:space="preserve">Competence must be demonstrated in the operation of all ancillary equipment to the level required for this unit of competency. </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 xml:space="preserve">Assessment will require the fabrication of suitable objects using open moulding techniques. </w:t>
            </w:r>
          </w:p>
          <w:p w:rsidR="00000000" w:rsidP="001D6E68">
            <w:pPr>
              <w:pStyle w:val="BodyText"/>
              <w:rPr>
                <w:lang w:val="en-NZ"/>
              </w:rPr>
            </w:pPr>
            <w:r w:rsidRPr="001D6E68">
              <w:t>Assessment will occur over a range of situations which will include disruptions to normal, smooth operation.</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Meth</w:t>
            </w:r>
            <w:r w:rsidRPr="001D6E68">
              <w:rPr>
                <w:rStyle w:val="SpecialBold"/>
              </w:rPr>
              <w:t>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Typically, persons engaged in composites trade work are required to apply their skills and techniques across a range of jobs and specifications.</w:t>
            </w:r>
          </w:p>
          <w:p w:rsidR="00000000" w:rsidRPr="001D6E68" w:rsidP="001D6E68">
            <w:pPr>
              <w:pStyle w:val="BodyText"/>
            </w:pPr>
            <w:r w:rsidRPr="001D6E68">
              <w:t>A single assessment event is not appropriate. On the job assessment must be included as part o</w:t>
            </w:r>
            <w:r w:rsidRPr="001D6E68">
              <w:t xml:space="preserve">f the assessment process. Assessment judgements must consider evidence of the candidate's performance in a productive work environment that includes a sufficient range of appropriate tasks and materials to cover the scope of application for this unit. </w:t>
            </w:r>
          </w:p>
          <w:p w:rsidR="00000000" w:rsidRPr="001D6E68" w:rsidP="001D6E68">
            <w:pPr>
              <w:pStyle w:val="BodyText"/>
            </w:pPr>
            <w:r w:rsidRPr="001D6E68">
              <w:t>Ass</w:t>
            </w:r>
            <w:r w:rsidRPr="001D6E68">
              <w:t xml:space="preserve">essors should gather a range of evidence that is valid, sufficient, current and authentic. Evidence can be gathered through a variety of ways including direct observation, supervisor's reports, project work, samples and questioning. Questioning techniques </w:t>
            </w:r>
            <w:r w:rsidRPr="001D6E68">
              <w:t xml:space="preserve">should not require language, literacy and numeracy skills beyond those required in this unit of competency. </w:t>
            </w:r>
          </w:p>
          <w:p w:rsidR="00000000" w:rsidP="001D6E68">
            <w:pPr>
              <w:pStyle w:val="BodyText"/>
              <w:rPr>
                <w:lang w:val="en-NZ"/>
              </w:rPr>
            </w:pPr>
            <w:r w:rsidRPr="001D6E68">
              <w:t>The candidate must have access to all tools, equipment, materials and documentation required. The candidate must be permitted to refer to any relev</w:t>
            </w:r>
            <w:r w:rsidRPr="001D6E68">
              <w:t xml:space="preserve">ant workplace procedures, product and manufacturing specifications, codes, standards, manuals and reference materials. </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 xml:space="preserve">Assessment processes and techniques must be culturally appropriate and appropriate to the language </w:t>
            </w:r>
            <w:r w:rsidRPr="001D6E68">
              <w:t>and literacy capacity of the candidate and the work being performed.</w:t>
            </w:r>
          </w:p>
        </w:tc>
      </w:tr>
    </w:tbl>
    <w:p w:rsidR="00776344" w:rsidP="001D6E68">
      <w:pPr>
        <w:pStyle w:val="BodyText"/>
      </w:pPr>
    </w:p>
    <w:p w:rsidR="00776344" w:rsidP="001D6E68">
      <w:pPr>
        <w:pStyle w:val="BodyText"/>
      </w:pPr>
    </w:p>
    <w:p w:rsidR="00000000" w:rsidRPr="001D6E68" w:rsidP="001D6E68">
      <w:pPr>
        <w:pStyle w:val="Heading1"/>
      </w:pPr>
      <w:bookmarkStart w:id="11" w:name="O_439978"/>
      <w:bookmarkEnd w:id="11"/>
      <w:r w:rsidRPr="001D6E68">
        <w:t>Range Statement</w:t>
      </w:r>
    </w:p>
    <w:tbl>
      <w:tblPr>
        <w:tblW w:w="9462" w:type="dxa"/>
        <w:tblLayout w:type="fixed"/>
        <w:tblCellMar>
          <w:left w:w="62" w:type="dxa"/>
          <w:right w:w="62" w:type="dxa"/>
        </w:tblCellMar>
        <w:tblLook w:val="0000"/>
      </w:tblPr>
      <w:tblGrid>
        <w:gridCol w:w="3800"/>
        <w:gridCol w:w="5662"/>
      </w:tblGrid>
      <w:tr w:rsidTr="001D6E68">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1D6E68">
            <w:pPr>
              <w:pStyle w:val="BodyText"/>
              <w:rPr>
                <w:lang w:val="en-NZ"/>
              </w:rPr>
            </w:pPr>
            <w:r w:rsidRPr="001D6E68">
              <w:t>The range statement relates to the unit of competency as a whole. It allows for different work environments and situations that may affect performance.</w:t>
            </w:r>
            <w:r w:rsidRPr="001D6E68">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1D6E68">
              <w:t xml:space="preserve"> industry and regional contexts) may also be included.</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Procedures may be written, verbal, computer-based or in some other form, and may include:</w:t>
            </w:r>
          </w:p>
          <w:p w:rsidR="00000000" w:rsidRPr="001D6E68" w:rsidP="001D6E68">
            <w:pPr>
              <w:pStyle w:val="ListBullet"/>
            </w:pPr>
            <w:r w:rsidRPr="001D6E68">
              <w:t>all work instructions</w:t>
            </w:r>
          </w:p>
          <w:p w:rsidR="00000000" w:rsidRPr="001D6E68" w:rsidP="001D6E68">
            <w:pPr>
              <w:pStyle w:val="ListBullet"/>
            </w:pPr>
            <w:r w:rsidRPr="001D6E68">
              <w:t>standard operating procedures</w:t>
            </w:r>
          </w:p>
          <w:p w:rsidR="00000000" w:rsidRPr="001D6E68" w:rsidP="001D6E68">
            <w:pPr>
              <w:pStyle w:val="ListBullet"/>
            </w:pPr>
            <w:r w:rsidRPr="001D6E68">
              <w:t>formulas/recipes</w:t>
            </w:r>
          </w:p>
          <w:p w:rsidR="00000000" w:rsidRPr="001D6E68" w:rsidP="001D6E68">
            <w:pPr>
              <w:pStyle w:val="ListBullet"/>
            </w:pPr>
            <w:r w:rsidRPr="001D6E68">
              <w:t>batch sheets</w:t>
            </w:r>
          </w:p>
          <w:p w:rsidR="00000000" w:rsidRPr="001D6E68" w:rsidP="001D6E68">
            <w:pPr>
              <w:pStyle w:val="ListBullet"/>
            </w:pPr>
            <w:r w:rsidRPr="001D6E68">
              <w:t>temporary instructions</w:t>
            </w:r>
          </w:p>
          <w:p w:rsidR="00000000" w:rsidRPr="001D6E68" w:rsidP="001D6E68">
            <w:pPr>
              <w:pStyle w:val="ListBullet"/>
            </w:pPr>
            <w:r w:rsidRPr="001D6E68">
              <w:t>any similar instructions provided for the smooth running of the plant</w:t>
            </w:r>
          </w:p>
          <w:p w:rsidR="00000000" w:rsidP="001D6E68">
            <w:pPr>
              <w:pStyle w:val="ListBullet"/>
              <w:rPr>
                <w:lang w:val="en-NZ"/>
              </w:rPr>
            </w:pPr>
            <w:r w:rsidRPr="001D6E68">
              <w:t>good operating practice as may be defined by industry codes of practice (e.g. Responsible Care) and government regulations</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Open moulding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Open moulding techniques may include:</w:t>
            </w:r>
          </w:p>
          <w:p w:rsidR="00000000" w:rsidRPr="001D6E68" w:rsidP="001D6E68">
            <w:pPr>
              <w:pStyle w:val="ListBullet"/>
            </w:pPr>
            <w:r w:rsidRPr="001D6E68">
              <w:t>hand lay-up</w:t>
            </w:r>
          </w:p>
          <w:p w:rsidR="00000000" w:rsidRPr="001D6E68" w:rsidP="001D6E68">
            <w:pPr>
              <w:pStyle w:val="ListBullet"/>
            </w:pPr>
            <w:r w:rsidRPr="001D6E68">
              <w:t>chopper gun</w:t>
            </w:r>
          </w:p>
          <w:p w:rsidR="00000000" w:rsidP="001D6E68">
            <w:pPr>
              <w:pStyle w:val="ListBullet"/>
              <w:rPr>
                <w:lang w:val="en-NZ"/>
              </w:rPr>
            </w:pPr>
            <w:r w:rsidRPr="001D6E68">
              <w:t>filament winding</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Requirements of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Requirements of product may be determined from various sources, including:</w:t>
            </w:r>
          </w:p>
          <w:p w:rsidR="00000000" w:rsidRPr="001D6E68" w:rsidP="001D6E68">
            <w:pPr>
              <w:pStyle w:val="ListBullet"/>
            </w:pPr>
            <w:r w:rsidRPr="001D6E68">
              <w:t>drawings</w:t>
            </w:r>
          </w:p>
          <w:p w:rsidR="00000000" w:rsidRPr="001D6E68" w:rsidP="001D6E68">
            <w:pPr>
              <w:pStyle w:val="ListBullet"/>
            </w:pPr>
            <w:r w:rsidRPr="001D6E68">
              <w:t>product specifications</w:t>
            </w:r>
          </w:p>
          <w:p w:rsidR="00000000" w:rsidRPr="001D6E68" w:rsidP="001D6E68">
            <w:pPr>
              <w:pStyle w:val="ListBullet"/>
            </w:pPr>
            <w:r w:rsidRPr="001D6E68">
              <w:t>customer requests</w:t>
            </w:r>
          </w:p>
          <w:p w:rsidR="00000000" w:rsidP="001D6E68">
            <w:pPr>
              <w:pStyle w:val="ListBullet"/>
              <w:rPr>
                <w:lang w:val="en-NZ"/>
              </w:rPr>
            </w:pPr>
            <w:r w:rsidRPr="001D6E68">
              <w:t xml:space="preserve">descriptions of required </w:t>
            </w:r>
            <w:r w:rsidRPr="001D6E68">
              <w:t>use of product</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Equipment includes:</w:t>
            </w:r>
          </w:p>
          <w:p w:rsidR="00000000" w:rsidRPr="001D6E68" w:rsidP="001D6E68">
            <w:pPr>
              <w:pStyle w:val="ListBullet"/>
            </w:pPr>
            <w:r w:rsidRPr="001D6E68">
              <w:t>moulds and mould components</w:t>
            </w:r>
          </w:p>
          <w:p w:rsidR="00000000" w:rsidP="001D6E68">
            <w:pPr>
              <w:pStyle w:val="ListBullet"/>
              <w:rPr>
                <w:lang w:val="en-NZ"/>
              </w:rPr>
            </w:pPr>
            <w:r w:rsidRPr="001D6E68">
              <w:t>resin application and dispersion tools</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Preparing 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Preparing reinforcing includes:</w:t>
            </w:r>
          </w:p>
          <w:p w:rsidR="00000000" w:rsidRPr="001D6E68" w:rsidP="001D6E68">
            <w:pPr>
              <w:pStyle w:val="ListBullet"/>
            </w:pPr>
            <w:r w:rsidRPr="001D6E68">
              <w:t>cutting to size/shape, as required</w:t>
            </w:r>
          </w:p>
          <w:p w:rsidR="00000000" w:rsidP="001D6E68">
            <w:pPr>
              <w:pStyle w:val="ListBullet"/>
              <w:rPr>
                <w:lang w:val="en-NZ"/>
              </w:rPr>
            </w:pPr>
            <w:r w:rsidRPr="001D6E68">
              <w:t>any pre-treatment required</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Logs and reports may include:</w:t>
            </w:r>
          </w:p>
          <w:p w:rsidR="00000000" w:rsidRPr="001D6E68" w:rsidP="001D6E68">
            <w:pPr>
              <w:pStyle w:val="ListBullet"/>
            </w:pPr>
            <w:r w:rsidRPr="001D6E68">
              <w:t xml:space="preserve">paper or electronic based </w:t>
            </w:r>
          </w:p>
          <w:p w:rsidR="00000000" w:rsidRPr="001D6E68" w:rsidP="001D6E68">
            <w:pPr>
              <w:pStyle w:val="ListBullet"/>
            </w:pPr>
            <w:r w:rsidRPr="001D6E68">
              <w:t>verbal reports</w:t>
            </w:r>
          </w:p>
          <w:p w:rsidR="00000000" w:rsidP="001D6E68">
            <w:pPr>
              <w:pStyle w:val="ListBullet"/>
              <w:rPr>
                <w:lang w:val="en-NZ"/>
              </w:rPr>
            </w:pPr>
            <w:r w:rsidRPr="001D6E68">
              <w:t>items found which require action</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Appropriate action includes:</w:t>
            </w:r>
          </w:p>
          <w:p w:rsidR="00000000" w:rsidRPr="001D6E68" w:rsidP="001D6E68">
            <w:pPr>
              <w:pStyle w:val="ListBullet"/>
            </w:pPr>
            <w:r w:rsidRPr="001D6E68">
              <w:t>determining problems needing action</w:t>
            </w:r>
          </w:p>
          <w:p w:rsidR="00000000" w:rsidRPr="001D6E68" w:rsidP="001D6E68">
            <w:pPr>
              <w:pStyle w:val="ListBullet"/>
            </w:pPr>
            <w:r w:rsidRPr="001D6E68">
              <w:t>determining possible fault causes</w:t>
            </w:r>
          </w:p>
          <w:p w:rsidR="00000000" w:rsidRPr="001D6E68" w:rsidP="001D6E68">
            <w:pPr>
              <w:pStyle w:val="ListBullet"/>
            </w:pPr>
            <w:r w:rsidRPr="001D6E68">
              <w:t>rectifying problem using appropriate solution within area of responsibility</w:t>
            </w:r>
          </w:p>
          <w:p w:rsidR="00000000" w:rsidRPr="001D6E68" w:rsidP="001D6E68">
            <w:pPr>
              <w:pStyle w:val="ListBullet"/>
            </w:pPr>
            <w:r w:rsidRPr="001D6E68">
              <w:t>following through items initiated until final resolution has occurred</w:t>
            </w:r>
          </w:p>
          <w:p w:rsidR="00000000" w:rsidP="001D6E68">
            <w:pPr>
              <w:pStyle w:val="ListBullet"/>
              <w:rPr>
                <w:lang w:val="en-NZ"/>
              </w:rPr>
            </w:pPr>
            <w:r w:rsidRPr="001D6E68">
              <w:t>reporting problems outside area of responsibility to designated person</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 xml:space="preserve">Typical problems may </w:t>
            </w:r>
            <w:r w:rsidRPr="001D6E68">
              <w:t>include:</w:t>
            </w:r>
          </w:p>
          <w:p w:rsidR="00000000" w:rsidRPr="001D6E68" w:rsidP="001D6E68">
            <w:pPr>
              <w:pStyle w:val="ListBullet"/>
            </w:pPr>
            <w:r w:rsidRPr="001D6E68">
              <w:t>contamination</w:t>
            </w:r>
          </w:p>
          <w:p w:rsidR="00000000" w:rsidRPr="001D6E68" w:rsidP="001D6E68">
            <w:pPr>
              <w:pStyle w:val="ListBullet"/>
            </w:pPr>
            <w:r w:rsidRPr="001D6E68">
              <w:t>air entrapment</w:t>
            </w:r>
          </w:p>
          <w:p w:rsidR="00000000" w:rsidRPr="001D6E68" w:rsidP="001D6E68">
            <w:pPr>
              <w:pStyle w:val="ListBullet"/>
            </w:pPr>
            <w:r w:rsidRPr="001D6E68">
              <w:t>resin rich</w:t>
            </w:r>
          </w:p>
          <w:p w:rsidR="00000000" w:rsidRPr="001D6E68" w:rsidP="001D6E68">
            <w:pPr>
              <w:pStyle w:val="ListBullet"/>
            </w:pPr>
            <w:r w:rsidRPr="001D6E68">
              <w:t>uneven distribution of resin</w:t>
            </w:r>
          </w:p>
          <w:p w:rsidR="00000000" w:rsidRPr="001D6E68" w:rsidP="001D6E68">
            <w:pPr>
              <w:pStyle w:val="ListBullet"/>
            </w:pPr>
            <w:r w:rsidRPr="001D6E68">
              <w:t>difficult mould shapes</w:t>
            </w:r>
          </w:p>
          <w:p w:rsidR="00000000" w:rsidRPr="001D6E68" w:rsidP="001D6E68">
            <w:pPr>
              <w:pStyle w:val="ListBullet"/>
            </w:pPr>
            <w:r w:rsidRPr="001D6E68">
              <w:t>resin curing too quickly</w:t>
            </w:r>
          </w:p>
          <w:p w:rsidR="00000000" w:rsidRPr="001D6E68" w:rsidP="001D6E68">
            <w:pPr>
              <w:pStyle w:val="ListBullet"/>
            </w:pPr>
            <w:r w:rsidRPr="001D6E68">
              <w:t>resin curing too slowly</w:t>
            </w:r>
          </w:p>
          <w:p w:rsidR="00000000" w:rsidP="001D6E68">
            <w:pPr>
              <w:pStyle w:val="ListBullet"/>
              <w:rPr>
                <w:lang w:val="en-NZ"/>
              </w:rPr>
            </w:pPr>
            <w:r w:rsidRPr="001D6E68">
              <w:t>failure to release</w:t>
            </w:r>
          </w:p>
        </w:tc>
      </w:tr>
      <w:tr w:rsidTr="001D6E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E68">
            <w:pPr>
              <w:pStyle w:val="BodyText"/>
              <w:rPr>
                <w:lang w:val="en-NZ"/>
              </w:rPr>
            </w:pPr>
            <w:r w:rsidRPr="001D6E68">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E68" w:rsidP="001D6E68">
            <w:pPr>
              <w:pStyle w:val="BodyText"/>
            </w:pPr>
            <w:r w:rsidRPr="001D6E68">
              <w:t>Al</w:t>
            </w:r>
            <w:r w:rsidRPr="001D6E68">
              <w:t>l operations to which this unit applies are subject to stringent HSE requirements, which may be imposed through state/territory or federal legislation, and these must not be compromised at any time. Where there is an apparent conflict between Performance C</w:t>
            </w:r>
            <w:r w:rsidRPr="001D6E68">
              <w:t>riteria and HSE requirements, the HSE requirements take precedence</w:t>
            </w:r>
          </w:p>
        </w:tc>
      </w:tr>
    </w:tbl>
    <w:p w:rsidR="00776344" w:rsidP="001D6E68">
      <w:pPr>
        <w:pStyle w:val="BodyText"/>
      </w:pPr>
    </w:p>
    <w:p w:rsidR="00776344" w:rsidP="001D6E68">
      <w:pPr>
        <w:pStyle w:val="BodyText"/>
      </w:pPr>
    </w:p>
    <w:p w:rsidR="00000000" w:rsidRPr="001D6E68" w:rsidP="001D6E68">
      <w:pPr>
        <w:pStyle w:val="Heading1"/>
      </w:pPr>
      <w:bookmarkStart w:id="12" w:name="O_439979"/>
      <w:bookmarkEnd w:id="12"/>
      <w:r w:rsidRPr="001D6E68">
        <w:t>Unit Sector(s)</w:t>
      </w:r>
    </w:p>
    <w:p w:rsidR="00000000" w:rsidRPr="001D6E68" w:rsidP="001D6E68">
      <w:pPr>
        <w:pStyle w:val="BodyText"/>
      </w:pPr>
      <w:r w:rsidRPr="001D6E68">
        <w:t>Composites</w:t>
      </w:r>
    </w:p>
    <w:p w:rsidR="00000000" w:rsidRPr="001D6E68" w:rsidP="001D6E68">
      <w:pPr>
        <w:pStyle w:val="AllowPageBreak"/>
      </w:pPr>
    </w:p>
    <w:p w:rsidR="00000000" w:rsidRPr="001D6E68" w:rsidP="001D6E68">
      <w:pPr>
        <w:pStyle w:val="Heading1"/>
      </w:pPr>
      <w:bookmarkStart w:id="13" w:name="O_439981"/>
      <w:bookmarkEnd w:id="13"/>
      <w:r w:rsidRPr="001D6E68">
        <w:t>Custom Content Section</w:t>
      </w:r>
    </w:p>
    <w:p w:rsidR="00000000" w:rsidRPr="001D6E68" w:rsidP="001D6E68">
      <w:pPr>
        <w:pStyle w:val="BodyText"/>
      </w:pPr>
      <w:r w:rsidRPr="001D6E68">
        <w:t>Not applicable.</w:t>
      </w:r>
    </w:p>
    <w:p w:rsidR="00000000" w:rsidRPr="001D6E68" w:rsidP="001D6E68"/>
    <w:sectPr w:rsidSect="001D6E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344" w:rsidP="00776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44" w:rsidP="001D6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6344" w:rsidP="001D6E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Dennis Urbans</w:t>
    </w:r>
    <w:r>
      <w:fldChar w:fldCharType="end"/>
    </w:r>
  </w:p>
  <w:p w:rsidR="00776344" w:rsidP="001D6E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344" w:rsidP="007763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44" w:rsidP="001D6E68">
    <w:pPr>
      <w:pStyle w:val="Header"/>
      <w:framePr w:wrap="around"/>
    </w:pPr>
    <w:r>
      <w:fldChar w:fldCharType="begin"/>
    </w:r>
    <w:r>
      <w:instrText xml:space="preserve"> TITLE   \* MERGEFORMAT </w:instrText>
    </w:r>
    <w:r>
      <w:fldChar w:fldCharType="separate"/>
    </w:r>
    <w:r>
      <w:t>MEM26001A Lay up composites using open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6344" w:rsidP="001D6E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A65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FEB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E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6E68"/>
    <w:pPr>
      <w:spacing w:before="360" w:after="60"/>
      <w:outlineLvl w:val="0"/>
    </w:pPr>
    <w:rPr>
      <w:sz w:val="32"/>
    </w:rPr>
  </w:style>
  <w:style w:type="paragraph" w:styleId="Heading2">
    <w:name w:val="heading 2"/>
    <w:basedOn w:val="HeadingBase"/>
    <w:next w:val="BodyText"/>
    <w:link w:val="Heading2Char"/>
    <w:qFormat/>
    <w:rsid w:val="001D6E68"/>
    <w:pPr>
      <w:keepLines/>
      <w:spacing w:before="240" w:after="120"/>
      <w:outlineLvl w:val="1"/>
    </w:pPr>
    <w:rPr>
      <w:sz w:val="28"/>
      <w:szCs w:val="40"/>
    </w:rPr>
  </w:style>
  <w:style w:type="paragraph" w:styleId="Heading3">
    <w:name w:val="heading 3"/>
    <w:basedOn w:val="HeadingBase"/>
    <w:next w:val="BodyText"/>
    <w:link w:val="Heading3Char"/>
    <w:qFormat/>
    <w:rsid w:val="001D6E68"/>
    <w:pPr>
      <w:spacing w:before="180" w:after="120"/>
      <w:outlineLvl w:val="2"/>
    </w:pPr>
    <w:rPr>
      <w:spacing w:val="-10"/>
      <w:kern w:val="32"/>
    </w:rPr>
  </w:style>
  <w:style w:type="paragraph" w:styleId="Heading4">
    <w:name w:val="heading 4"/>
    <w:basedOn w:val="HeadingBase"/>
    <w:next w:val="BodyText"/>
    <w:link w:val="Heading4Char"/>
    <w:qFormat/>
    <w:rsid w:val="001D6E68"/>
    <w:pPr>
      <w:spacing w:before="160" w:after="120"/>
      <w:outlineLvl w:val="3"/>
    </w:pPr>
    <w:rPr>
      <w:sz w:val="22"/>
    </w:rPr>
  </w:style>
  <w:style w:type="paragraph" w:styleId="Heading5">
    <w:name w:val="heading 5"/>
    <w:basedOn w:val="HeadingBase"/>
    <w:next w:val="Normal"/>
    <w:link w:val="Heading5Char"/>
    <w:qFormat/>
    <w:rsid w:val="001D6E68"/>
    <w:pPr>
      <w:spacing w:before="80"/>
      <w:outlineLvl w:val="4"/>
    </w:pPr>
    <w:rPr>
      <w:color w:val="918585"/>
      <w:sz w:val="20"/>
    </w:rPr>
  </w:style>
  <w:style w:type="paragraph" w:styleId="Heading6">
    <w:name w:val="heading 6"/>
    <w:basedOn w:val="HeadingBase"/>
    <w:next w:val="Normal"/>
    <w:link w:val="Heading6Char"/>
    <w:qFormat/>
    <w:rsid w:val="001D6E68"/>
    <w:pPr>
      <w:spacing w:before="60"/>
      <w:outlineLvl w:val="5"/>
    </w:pPr>
    <w:rPr>
      <w:color w:val="918585"/>
      <w:sz w:val="20"/>
    </w:rPr>
  </w:style>
  <w:style w:type="paragraph" w:styleId="Heading7">
    <w:name w:val="heading 7"/>
    <w:basedOn w:val="Normal"/>
    <w:next w:val="Normal"/>
    <w:link w:val="Heading7Char"/>
    <w:qFormat/>
    <w:rsid w:val="001D6E68"/>
    <w:pPr>
      <w:ind w:left="720"/>
      <w:outlineLvl w:val="6"/>
    </w:pPr>
    <w:rPr>
      <w:i/>
    </w:rPr>
  </w:style>
  <w:style w:type="paragraph" w:styleId="Heading8">
    <w:name w:val="heading 8"/>
    <w:basedOn w:val="Normal"/>
    <w:next w:val="Normal"/>
    <w:link w:val="Heading8Char"/>
    <w:qFormat/>
    <w:rsid w:val="001D6E68"/>
    <w:pPr>
      <w:ind w:left="720"/>
      <w:outlineLvl w:val="7"/>
    </w:pPr>
    <w:rPr>
      <w:i/>
    </w:rPr>
  </w:style>
  <w:style w:type="paragraph" w:styleId="Heading9">
    <w:name w:val="heading 9"/>
    <w:basedOn w:val="Normal"/>
    <w:next w:val="Normal"/>
    <w:link w:val="Heading9Char"/>
    <w:qFormat/>
    <w:rsid w:val="001D6E68"/>
    <w:pPr>
      <w:ind w:left="720"/>
      <w:outlineLvl w:val="8"/>
    </w:pPr>
    <w:rPr>
      <w:i/>
    </w:rPr>
  </w:style>
  <w:style w:type="character" w:default="1" w:styleId="DefaultParagraphFont">
    <w:name w:val="Default Paragraph Font"/>
    <w:uiPriority w:val="1"/>
    <w:unhideWhenUsed/>
    <w:rsid w:val="001D6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E68"/>
  </w:style>
  <w:style w:type="character" w:customStyle="1" w:styleId="Heading1Char">
    <w:name w:val="Heading 1 Char"/>
    <w:basedOn w:val="DefaultParagraphFont"/>
    <w:link w:val="Heading1"/>
    <w:rsid w:val="001D6E68"/>
    <w:rPr>
      <w:rFonts w:ascii="Times New Roman" w:eastAsia="Times New Roman" w:hAnsi="Times New Roman" w:cs="Times New Roman"/>
      <w:b/>
      <w:sz w:val="32"/>
      <w:szCs w:val="20"/>
      <w:lang w:eastAsia="en-US"/>
    </w:rPr>
  </w:style>
  <w:style w:type="paragraph" w:styleId="BodyText">
    <w:name w:val="Body Text"/>
    <w:basedOn w:val="Normal"/>
    <w:link w:val="BodyTextChar"/>
    <w:rsid w:val="001D6E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E68"/>
    <w:rPr>
      <w:rFonts w:ascii="Times New Roman" w:eastAsia="Times New Roman" w:hAnsi="Times New Roman" w:cs="Times New Roman"/>
      <w:sz w:val="24"/>
      <w:lang w:val="en-US" w:eastAsia="en-US"/>
    </w:rPr>
  </w:style>
  <w:style w:type="paragraph" w:styleId="Footer">
    <w:name w:val="footer"/>
    <w:basedOn w:val="Normal"/>
    <w:link w:val="FooterChar"/>
    <w:rsid w:val="001D6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E68"/>
    <w:rPr>
      <w:rFonts w:ascii="Times New Roman" w:eastAsia="Times New Roman" w:hAnsi="Times New Roman" w:cs="Times New Roman"/>
      <w:sz w:val="16"/>
      <w:lang w:val="en-US" w:eastAsia="en-US"/>
    </w:rPr>
  </w:style>
  <w:style w:type="paragraph" w:styleId="ListBullet">
    <w:name w:val="List Bullet"/>
    <w:basedOn w:val="List"/>
    <w:rsid w:val="001D6E68"/>
    <w:pPr>
      <w:numPr>
        <w:numId w:val="12"/>
      </w:numPr>
      <w:tabs>
        <w:tab w:val="clear" w:pos="340"/>
      </w:tabs>
      <w:spacing w:before="40" w:after="40"/>
    </w:pPr>
  </w:style>
  <w:style w:type="character" w:customStyle="1" w:styleId="SpecialBold">
    <w:name w:val="Special Bold"/>
    <w:basedOn w:val="DefaultParagraphFont"/>
    <w:rsid w:val="001D6E68"/>
    <w:rPr>
      <w:b/>
      <w:spacing w:val="0"/>
    </w:rPr>
  </w:style>
  <w:style w:type="paragraph" w:styleId="Header">
    <w:name w:val="header"/>
    <w:basedOn w:val="Normal"/>
    <w:link w:val="HeaderChar"/>
    <w:rsid w:val="001D6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E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6E68"/>
    <w:pPr>
      <w:spacing w:before="240" w:after="120"/>
      <w:outlineLvl w:val="0"/>
    </w:pPr>
    <w:rPr>
      <w:rFonts w:ascii="Times New Roman" w:hAnsi="Times New Roman"/>
      <w:b/>
      <w:sz w:val="28"/>
    </w:rPr>
  </w:style>
  <w:style w:type="paragraph" w:customStyle="1" w:styleId="AllowPageBreak">
    <w:name w:val="AllowPageBreak"/>
    <w:rsid w:val="001D6E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E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6E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6E68"/>
    <w:rPr>
      <w:rFonts w:ascii="Courier New" w:eastAsia="Times New Roman" w:hAnsi="Courier New" w:cs="Times New Roman"/>
      <w:i/>
      <w:szCs w:val="20"/>
      <w:lang w:val="en-US" w:eastAsia="en-US"/>
    </w:rPr>
  </w:style>
  <w:style w:type="paragraph" w:customStyle="1" w:styleId="HeadingBase">
    <w:name w:val="Heading Base"/>
    <w:rsid w:val="001D6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E68"/>
    <w:pPr>
      <w:tabs>
        <w:tab w:val="right" w:leader="dot" w:pos="9072"/>
      </w:tabs>
      <w:ind w:left="567"/>
    </w:pPr>
    <w:rPr>
      <w:szCs w:val="22"/>
    </w:rPr>
  </w:style>
  <w:style w:type="paragraph" w:customStyle="1" w:styleId="TOCBase">
    <w:name w:val="TOC Base"/>
    <w:rsid w:val="001D6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E68"/>
    <w:pPr>
      <w:tabs>
        <w:tab w:val="right" w:leader="dot" w:pos="9072"/>
      </w:tabs>
      <w:spacing w:before="40" w:after="40"/>
      <w:ind w:left="284"/>
    </w:pPr>
    <w:rPr>
      <w:rFonts w:ascii="Times New Roman" w:hAnsi="Times New Roman"/>
    </w:rPr>
  </w:style>
  <w:style w:type="paragraph" w:styleId="TOC1">
    <w:name w:val="toc 1"/>
    <w:basedOn w:val="TOCBase"/>
    <w:next w:val="Normal"/>
    <w:rsid w:val="001D6E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E68"/>
    <w:pPr>
      <w:spacing w:before="5040"/>
      <w:jc w:val="center"/>
    </w:pPr>
    <w:rPr>
      <w:sz w:val="48"/>
      <w:szCs w:val="72"/>
      <w:lang w:val="en-US"/>
    </w:rPr>
  </w:style>
  <w:style w:type="character" w:customStyle="1" w:styleId="TitleChar">
    <w:name w:val="Title Char"/>
    <w:basedOn w:val="DefaultParagraphFont"/>
    <w:link w:val="Title"/>
    <w:rsid w:val="001D6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E68"/>
    <w:pPr>
      <w:tabs>
        <w:tab w:val="left" w:pos="3600"/>
        <w:tab w:val="left" w:pos="3958"/>
      </w:tabs>
    </w:pPr>
  </w:style>
  <w:style w:type="paragraph" w:styleId="List">
    <w:name w:val="List"/>
    <w:basedOn w:val="BodyText"/>
    <w:next w:val="BodyText"/>
    <w:rsid w:val="001D6E68"/>
    <w:pPr>
      <w:tabs>
        <w:tab w:val="left" w:pos="340"/>
      </w:tabs>
      <w:spacing w:before="60" w:after="60"/>
      <w:ind w:left="340" w:hanging="340"/>
    </w:pPr>
  </w:style>
  <w:style w:type="paragraph" w:customStyle="1" w:styleId="Note">
    <w:name w:val="Note"/>
    <w:basedOn w:val="BodyText"/>
    <w:rsid w:val="001D6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E68"/>
    <w:pPr>
      <w:framePr w:wrap="auto" w:hAnchor="text" w:y="6049"/>
    </w:pPr>
    <w:rPr>
      <w:color w:val="000000"/>
      <w:sz w:val="40"/>
    </w:rPr>
  </w:style>
  <w:style w:type="paragraph" w:customStyle="1" w:styleId="TOCTitle">
    <w:name w:val="TOCTitle"/>
    <w:basedOn w:val="Heading1"/>
    <w:rsid w:val="001D6E68"/>
    <w:pPr>
      <w:spacing w:after="240"/>
      <w:jc w:val="center"/>
      <w:outlineLvl w:val="9"/>
    </w:pPr>
    <w:rPr>
      <w:caps/>
    </w:rPr>
  </w:style>
  <w:style w:type="paragraph" w:customStyle="1" w:styleId="Version">
    <w:name w:val="Version"/>
    <w:rsid w:val="001D6E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E68"/>
    <w:pPr>
      <w:numPr>
        <w:numId w:val="13"/>
      </w:numPr>
      <w:tabs>
        <w:tab w:val="clear" w:pos="680"/>
      </w:tabs>
    </w:pPr>
  </w:style>
  <w:style w:type="paragraph" w:styleId="Index1">
    <w:name w:val="index 1"/>
    <w:basedOn w:val="Normal"/>
    <w:next w:val="Normal"/>
    <w:semiHidden/>
    <w:rsid w:val="001D6E68"/>
    <w:pPr>
      <w:keepNext w:val="0"/>
      <w:tabs>
        <w:tab w:val="right" w:pos="4176"/>
      </w:tabs>
      <w:ind w:left="198" w:hanging="198"/>
    </w:pPr>
    <w:rPr>
      <w:rFonts w:ascii="Garamond" w:hAnsi="Garamond"/>
    </w:rPr>
  </w:style>
  <w:style w:type="paragraph" w:styleId="IndexHeading">
    <w:name w:val="index heading"/>
    <w:basedOn w:val="Normal"/>
    <w:next w:val="Index1"/>
    <w:semiHidden/>
    <w:rsid w:val="001D6E68"/>
    <w:pPr>
      <w:spacing w:before="120" w:after="120"/>
    </w:pPr>
    <w:rPr>
      <w:rFonts w:ascii="Arial" w:hAnsi="Arial"/>
      <w:b/>
      <w:color w:val="918585"/>
      <w:sz w:val="24"/>
    </w:rPr>
  </w:style>
  <w:style w:type="paragraph" w:customStyle="1" w:styleId="Chapter">
    <w:name w:val="Chapter"/>
    <w:basedOn w:val="Normal"/>
    <w:rsid w:val="001D6E68"/>
    <w:pPr>
      <w:spacing w:before="240"/>
    </w:pPr>
    <w:rPr>
      <w:rFonts w:ascii="Times New Roman" w:hAnsi="Times New Roman"/>
      <w:smallCaps/>
      <w:spacing w:val="80"/>
      <w:sz w:val="28"/>
    </w:rPr>
  </w:style>
  <w:style w:type="paragraph" w:customStyle="1" w:styleId="InChapter">
    <w:name w:val="InChapter"/>
    <w:basedOn w:val="Heading3"/>
    <w:rsid w:val="001D6E68"/>
    <w:pPr>
      <w:spacing w:after="240"/>
      <w:outlineLvl w:val="9"/>
    </w:pPr>
    <w:rPr>
      <w:noProof/>
    </w:rPr>
  </w:style>
  <w:style w:type="paragraph" w:styleId="Index2">
    <w:name w:val="index 2"/>
    <w:basedOn w:val="Normal"/>
    <w:next w:val="Normal"/>
    <w:semiHidden/>
    <w:rsid w:val="001D6E68"/>
    <w:pPr>
      <w:tabs>
        <w:tab w:val="right" w:pos="4176"/>
      </w:tabs>
      <w:ind w:left="568" w:hanging="284"/>
    </w:pPr>
    <w:rPr>
      <w:rFonts w:ascii="Garamond" w:hAnsi="Garamond"/>
    </w:rPr>
  </w:style>
  <w:style w:type="paragraph" w:customStyle="1" w:styleId="Byline">
    <w:name w:val="Byline"/>
    <w:rsid w:val="001D6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E68"/>
    <w:pPr>
      <w:tabs>
        <w:tab w:val="clear" w:pos="3600"/>
        <w:tab w:val="clear" w:pos="3958"/>
      </w:tabs>
      <w:jc w:val="right"/>
    </w:pPr>
  </w:style>
  <w:style w:type="character" w:styleId="Emphasis">
    <w:name w:val="Emphasis"/>
    <w:basedOn w:val="DefaultParagraphFont"/>
    <w:qFormat/>
    <w:rsid w:val="001D6E68"/>
    <w:rPr>
      <w:i/>
    </w:rPr>
  </w:style>
  <w:style w:type="paragraph" w:styleId="Caption">
    <w:name w:val="caption"/>
    <w:basedOn w:val="BodyText"/>
    <w:next w:val="Normal"/>
    <w:qFormat/>
    <w:rsid w:val="001D6E68"/>
    <w:pPr>
      <w:framePr w:w="2268" w:hSpace="181" w:vSpace="181" w:wrap="around" w:vAnchor="text" w:hAnchor="page" w:x="1135" w:y="285" w:anchorLock="1"/>
    </w:pPr>
    <w:rPr>
      <w:i/>
    </w:rPr>
  </w:style>
  <w:style w:type="paragraph" w:customStyle="1" w:styleId="MiniTOCTitle">
    <w:name w:val="MiniTOCTitle"/>
    <w:basedOn w:val="Heading4"/>
    <w:rsid w:val="001D6E68"/>
    <w:pPr>
      <w:spacing w:before="240"/>
      <w:outlineLvl w:val="9"/>
    </w:pPr>
    <w:rPr>
      <w:noProof/>
      <w:sz w:val="24"/>
    </w:rPr>
  </w:style>
  <w:style w:type="paragraph" w:customStyle="1" w:styleId="MiniTOCItem">
    <w:name w:val="MiniTOCItem"/>
    <w:basedOn w:val="ListBullet"/>
    <w:rsid w:val="001D6E68"/>
    <w:pPr>
      <w:numPr>
        <w:numId w:val="0"/>
      </w:numPr>
      <w:tabs>
        <w:tab w:val="right" w:leader="dot" w:pos="6521"/>
      </w:tabs>
      <w:spacing w:before="0" w:after="0"/>
    </w:pPr>
  </w:style>
  <w:style w:type="paragraph" w:customStyle="1" w:styleId="TOFTitle">
    <w:name w:val="TOFTitle"/>
    <w:basedOn w:val="TOCTitle"/>
    <w:rsid w:val="001D6E68"/>
  </w:style>
  <w:style w:type="paragraph" w:styleId="TableofFigures">
    <w:name w:val="table of figures"/>
    <w:basedOn w:val="Normal"/>
    <w:next w:val="Normal"/>
    <w:semiHidden/>
    <w:rsid w:val="001D6E68"/>
    <w:pPr>
      <w:tabs>
        <w:tab w:val="right" w:leader="dot" w:pos="9072"/>
      </w:tabs>
      <w:ind w:left="970" w:hanging="403"/>
    </w:pPr>
    <w:rPr>
      <w:rFonts w:ascii="Times New Roman" w:hAnsi="Times New Roman"/>
      <w:b/>
    </w:rPr>
  </w:style>
  <w:style w:type="paragraph" w:styleId="ListNumber">
    <w:name w:val="List Number"/>
    <w:basedOn w:val="List"/>
    <w:rsid w:val="001D6E68"/>
    <w:pPr>
      <w:numPr>
        <w:numId w:val="10"/>
      </w:numPr>
    </w:pPr>
  </w:style>
  <w:style w:type="character" w:customStyle="1" w:styleId="WingdingSymbols">
    <w:name w:val="Wingding Symbols"/>
    <w:rsid w:val="001D6E68"/>
    <w:rPr>
      <w:rFonts w:ascii="Wingdings" w:hAnsi="Wingdings"/>
    </w:rPr>
  </w:style>
  <w:style w:type="paragraph" w:customStyle="1" w:styleId="TableHeading">
    <w:name w:val="Table Heading"/>
    <w:basedOn w:val="HeadingBase"/>
    <w:rsid w:val="001D6E68"/>
    <w:pPr>
      <w:keepLines/>
      <w:pBdr>
        <w:bottom w:val="single" w:sz="6" w:space="1" w:color="918585"/>
      </w:pBdr>
      <w:spacing w:before="240"/>
    </w:pPr>
  </w:style>
  <w:style w:type="character" w:customStyle="1" w:styleId="HotSpot">
    <w:name w:val="HotSpot"/>
    <w:rsid w:val="001D6E68"/>
    <w:rPr>
      <w:color w:val="0033CC"/>
      <w:u w:val="none"/>
    </w:rPr>
  </w:style>
  <w:style w:type="paragraph" w:customStyle="1" w:styleId="BodyTextRight">
    <w:name w:val="Body Text Right"/>
    <w:basedOn w:val="BodyText"/>
    <w:rsid w:val="001D6E68"/>
    <w:pPr>
      <w:spacing w:before="0" w:after="0"/>
      <w:jc w:val="right"/>
    </w:pPr>
  </w:style>
  <w:style w:type="paragraph" w:styleId="Index3">
    <w:name w:val="index 3"/>
    <w:basedOn w:val="ListNumber2"/>
    <w:next w:val="Normal"/>
    <w:semiHidden/>
    <w:rsid w:val="001D6E68"/>
    <w:pPr>
      <w:numPr>
        <w:numId w:val="0"/>
      </w:numPr>
      <w:tabs>
        <w:tab w:val="right" w:leader="dot" w:pos="4176"/>
      </w:tabs>
    </w:pPr>
  </w:style>
  <w:style w:type="paragraph" w:styleId="ListNumber2">
    <w:name w:val="List Number 2"/>
    <w:basedOn w:val="List2"/>
    <w:rsid w:val="001D6E68"/>
    <w:pPr>
      <w:numPr>
        <w:numId w:val="9"/>
      </w:numPr>
      <w:tabs>
        <w:tab w:val="clear" w:pos="1060"/>
      </w:tabs>
    </w:pPr>
  </w:style>
  <w:style w:type="paragraph" w:customStyle="1" w:styleId="MarginNote">
    <w:name w:val="Margin Note"/>
    <w:basedOn w:val="BodyText"/>
    <w:rsid w:val="001D6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E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6E68"/>
    <w:rPr>
      <w:sz w:val="32"/>
    </w:rPr>
  </w:style>
  <w:style w:type="paragraph" w:customStyle="1" w:styleId="HeadingProcedure">
    <w:name w:val="Heading Procedure"/>
    <w:basedOn w:val="HeadingBase"/>
    <w:next w:val="Normal"/>
    <w:rsid w:val="001D6E68"/>
    <w:pPr>
      <w:tabs>
        <w:tab w:val="left" w:pos="0"/>
      </w:tabs>
      <w:spacing w:before="120" w:after="60"/>
    </w:pPr>
    <w:rPr>
      <w:i/>
      <w:color w:val="918585"/>
      <w:sz w:val="22"/>
    </w:rPr>
  </w:style>
  <w:style w:type="paragraph" w:customStyle="1" w:styleId="TableBodyText">
    <w:name w:val="Table Body Text"/>
    <w:basedOn w:val="BodyText"/>
    <w:rsid w:val="001D6E68"/>
    <w:pPr>
      <w:spacing w:before="60" w:after="60"/>
    </w:pPr>
  </w:style>
  <w:style w:type="paragraph" w:styleId="ListContinue">
    <w:name w:val="List Continue"/>
    <w:basedOn w:val="List"/>
    <w:rsid w:val="001D6E68"/>
    <w:pPr>
      <w:ind w:firstLine="0"/>
    </w:pPr>
  </w:style>
  <w:style w:type="paragraph" w:customStyle="1" w:styleId="ListNote">
    <w:name w:val="List Note"/>
    <w:basedOn w:val="List"/>
    <w:rsid w:val="001D6E68"/>
    <w:pPr>
      <w:pBdr>
        <w:top w:val="single" w:sz="6" w:space="2" w:color="918585"/>
        <w:bottom w:val="single" w:sz="6" w:space="2" w:color="918585"/>
      </w:pBdr>
      <w:tabs>
        <w:tab w:val="left" w:pos="1021"/>
      </w:tabs>
      <w:ind w:firstLine="0"/>
    </w:pPr>
  </w:style>
  <w:style w:type="paragraph" w:customStyle="1" w:styleId="Warning">
    <w:name w:val="Warning"/>
    <w:basedOn w:val="BodyText"/>
    <w:rsid w:val="001D6E68"/>
    <w:pPr>
      <w:shd w:val="clear" w:color="auto" w:fill="D9D9D9"/>
      <w:tabs>
        <w:tab w:val="left" w:pos="992"/>
      </w:tabs>
      <w:ind w:left="119" w:right="119"/>
    </w:pPr>
    <w:rPr>
      <w:sz w:val="20"/>
    </w:rPr>
  </w:style>
  <w:style w:type="paragraph" w:customStyle="1" w:styleId="MarginIcons">
    <w:name w:val="Margin Icons"/>
    <w:basedOn w:val="BodyText"/>
    <w:rsid w:val="001D6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E68"/>
    <w:rPr>
      <w:rFonts w:ascii="Courier New" w:hAnsi="Courier New"/>
    </w:rPr>
  </w:style>
  <w:style w:type="paragraph" w:customStyle="1" w:styleId="NoteBullet">
    <w:name w:val="Note Bullet"/>
    <w:basedOn w:val="Note"/>
    <w:rsid w:val="001D6E68"/>
    <w:pPr>
      <w:tabs>
        <w:tab w:val="clear" w:pos="680"/>
      </w:tabs>
      <w:spacing w:before="60" w:after="60"/>
    </w:pPr>
  </w:style>
  <w:style w:type="paragraph" w:customStyle="1" w:styleId="SubHeading2">
    <w:name w:val="SubHeading2"/>
    <w:basedOn w:val="HeadingBase"/>
    <w:rsid w:val="001D6E68"/>
    <w:pPr>
      <w:spacing w:before="240" w:after="60"/>
    </w:pPr>
    <w:rPr>
      <w:sz w:val="20"/>
    </w:rPr>
  </w:style>
  <w:style w:type="paragraph" w:customStyle="1" w:styleId="SubHeading1">
    <w:name w:val="SubHeading1"/>
    <w:basedOn w:val="HeadingBase"/>
    <w:rsid w:val="001D6E68"/>
    <w:pPr>
      <w:spacing w:before="240" w:after="60"/>
    </w:pPr>
    <w:rPr>
      <w:color w:val="918585"/>
      <w:sz w:val="22"/>
    </w:rPr>
  </w:style>
  <w:style w:type="paragraph" w:customStyle="1" w:styleId="SideHeading">
    <w:name w:val="Side Heading"/>
    <w:basedOn w:val="HeadingBase"/>
    <w:rsid w:val="001D6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E68"/>
    <w:pPr>
      <w:tabs>
        <w:tab w:val="num" w:pos="360"/>
      </w:tabs>
    </w:pPr>
  </w:style>
  <w:style w:type="paragraph" w:styleId="PlainText">
    <w:name w:val="Plain Text"/>
    <w:basedOn w:val="Normal"/>
    <w:link w:val="PlainTextChar"/>
    <w:rsid w:val="001D6E68"/>
    <w:rPr>
      <w:sz w:val="20"/>
    </w:rPr>
  </w:style>
  <w:style w:type="character" w:customStyle="1" w:styleId="PlainTextChar">
    <w:name w:val="Plain Text Char"/>
    <w:basedOn w:val="DefaultParagraphFont"/>
    <w:link w:val="PlainText"/>
    <w:rsid w:val="001D6E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6E68"/>
    <w:rPr>
      <w:b/>
      <w:smallCaps/>
    </w:rPr>
  </w:style>
  <w:style w:type="paragraph" w:customStyle="1" w:styleId="TableListNumber">
    <w:name w:val="Table List Number"/>
    <w:basedOn w:val="ListNumber"/>
    <w:rsid w:val="001D6E68"/>
    <w:pPr>
      <w:numPr>
        <w:numId w:val="0"/>
      </w:numPr>
    </w:pPr>
  </w:style>
  <w:style w:type="paragraph" w:styleId="TOC4">
    <w:name w:val="toc 4"/>
    <w:basedOn w:val="TOCBase"/>
    <w:next w:val="Normal"/>
    <w:semiHidden/>
    <w:rsid w:val="001D6E68"/>
    <w:pPr>
      <w:tabs>
        <w:tab w:val="right" w:leader="dot" w:pos="9071"/>
      </w:tabs>
      <w:ind w:left="1701"/>
    </w:pPr>
  </w:style>
  <w:style w:type="paragraph" w:customStyle="1" w:styleId="ListAlpha">
    <w:name w:val="List Alpha"/>
    <w:basedOn w:val="List"/>
    <w:rsid w:val="001D6E68"/>
    <w:pPr>
      <w:numPr>
        <w:numId w:val="8"/>
      </w:numPr>
    </w:pPr>
  </w:style>
  <w:style w:type="paragraph" w:customStyle="1" w:styleId="ListAlpha2">
    <w:name w:val="List Alpha 2"/>
    <w:basedOn w:val="List2"/>
    <w:rsid w:val="001D6E68"/>
    <w:pPr>
      <w:numPr>
        <w:numId w:val="7"/>
      </w:numPr>
    </w:pPr>
  </w:style>
  <w:style w:type="paragraph" w:styleId="List2">
    <w:name w:val="List 2"/>
    <w:basedOn w:val="BodyText"/>
    <w:rsid w:val="001D6E68"/>
    <w:pPr>
      <w:tabs>
        <w:tab w:val="left" w:pos="680"/>
      </w:tabs>
      <w:spacing w:before="60" w:after="60"/>
      <w:ind w:left="680" w:hanging="340"/>
    </w:pPr>
  </w:style>
  <w:style w:type="paragraph" w:styleId="List3">
    <w:name w:val="List 3"/>
    <w:basedOn w:val="BodyText"/>
    <w:rsid w:val="001D6E68"/>
    <w:pPr>
      <w:tabs>
        <w:tab w:val="left" w:pos="1021"/>
      </w:tabs>
      <w:spacing w:before="60" w:after="60"/>
      <w:ind w:left="1020" w:hanging="340"/>
    </w:pPr>
  </w:style>
  <w:style w:type="paragraph" w:styleId="List4">
    <w:name w:val="List 4"/>
    <w:basedOn w:val="BodyText"/>
    <w:rsid w:val="001D6E68"/>
    <w:pPr>
      <w:tabs>
        <w:tab w:val="left" w:pos="1361"/>
      </w:tabs>
      <w:spacing w:before="60" w:after="60"/>
      <w:ind w:left="1361" w:hanging="340"/>
    </w:pPr>
  </w:style>
  <w:style w:type="paragraph" w:styleId="List5">
    <w:name w:val="List 5"/>
    <w:basedOn w:val="BodyText"/>
    <w:rsid w:val="001D6E68"/>
    <w:pPr>
      <w:tabs>
        <w:tab w:val="left" w:pos="1701"/>
      </w:tabs>
      <w:spacing w:before="60" w:after="60"/>
      <w:ind w:left="1701" w:hanging="340"/>
    </w:pPr>
  </w:style>
  <w:style w:type="paragraph" w:styleId="ListBullet3">
    <w:name w:val="List Bullet 3"/>
    <w:basedOn w:val="List3"/>
    <w:rsid w:val="001D6E68"/>
    <w:pPr>
      <w:numPr>
        <w:numId w:val="14"/>
      </w:numPr>
      <w:tabs>
        <w:tab w:val="clear" w:pos="1021"/>
      </w:tabs>
      <w:ind w:left="1037" w:hanging="357"/>
    </w:pPr>
  </w:style>
  <w:style w:type="paragraph" w:styleId="ListBullet4">
    <w:name w:val="List Bullet 4"/>
    <w:basedOn w:val="List4"/>
    <w:rsid w:val="001D6E68"/>
    <w:pPr>
      <w:numPr>
        <w:numId w:val="2"/>
      </w:numPr>
    </w:pPr>
  </w:style>
  <w:style w:type="paragraph" w:styleId="ListBullet5">
    <w:name w:val="List Bullet 5"/>
    <w:basedOn w:val="List5"/>
    <w:rsid w:val="001D6E68"/>
    <w:pPr>
      <w:numPr>
        <w:numId w:val="3"/>
      </w:numPr>
    </w:pPr>
  </w:style>
  <w:style w:type="paragraph" w:styleId="ListContinue2">
    <w:name w:val="List Continue 2"/>
    <w:basedOn w:val="List2"/>
    <w:rsid w:val="001D6E68"/>
    <w:pPr>
      <w:ind w:firstLine="0"/>
    </w:pPr>
  </w:style>
  <w:style w:type="paragraph" w:styleId="ListContinue3">
    <w:name w:val="List Continue 3"/>
    <w:basedOn w:val="List3"/>
    <w:rsid w:val="001D6E68"/>
    <w:pPr>
      <w:ind w:left="1021" w:firstLine="0"/>
    </w:pPr>
  </w:style>
  <w:style w:type="paragraph" w:styleId="ListContinue4">
    <w:name w:val="List Continue 4"/>
    <w:basedOn w:val="List4"/>
    <w:rsid w:val="001D6E68"/>
    <w:pPr>
      <w:ind w:firstLine="0"/>
    </w:pPr>
  </w:style>
  <w:style w:type="paragraph" w:styleId="ListContinue5">
    <w:name w:val="List Continue 5"/>
    <w:basedOn w:val="List5"/>
    <w:rsid w:val="001D6E68"/>
    <w:pPr>
      <w:ind w:firstLine="0"/>
    </w:pPr>
  </w:style>
  <w:style w:type="paragraph" w:styleId="ListNumber3">
    <w:name w:val="List Number 3"/>
    <w:basedOn w:val="List3"/>
    <w:rsid w:val="001D6E68"/>
    <w:pPr>
      <w:numPr>
        <w:numId w:val="4"/>
      </w:numPr>
    </w:pPr>
  </w:style>
  <w:style w:type="paragraph" w:styleId="ListNumber4">
    <w:name w:val="List Number 4"/>
    <w:basedOn w:val="List4"/>
    <w:rsid w:val="001D6E68"/>
    <w:pPr>
      <w:numPr>
        <w:numId w:val="5"/>
      </w:numPr>
    </w:pPr>
  </w:style>
  <w:style w:type="paragraph" w:styleId="ListNumber5">
    <w:name w:val="List Number 5"/>
    <w:basedOn w:val="List5"/>
    <w:rsid w:val="001D6E68"/>
    <w:pPr>
      <w:numPr>
        <w:numId w:val="6"/>
      </w:numPr>
    </w:pPr>
  </w:style>
  <w:style w:type="paragraph" w:styleId="BlockText">
    <w:name w:val="Block Text"/>
    <w:basedOn w:val="Normal"/>
    <w:rsid w:val="001D6E68"/>
    <w:pPr>
      <w:spacing w:after="120"/>
      <w:ind w:left="1440" w:right="1440"/>
    </w:pPr>
  </w:style>
  <w:style w:type="character" w:customStyle="1" w:styleId="Subscript">
    <w:name w:val="Subscript"/>
    <w:basedOn w:val="DefaultParagraphFont"/>
    <w:rsid w:val="001D6E68"/>
    <w:rPr>
      <w:sz w:val="16"/>
      <w:vertAlign w:val="subscript"/>
    </w:rPr>
  </w:style>
  <w:style w:type="character" w:customStyle="1" w:styleId="Superscript">
    <w:name w:val="Superscript"/>
    <w:basedOn w:val="DefaultParagraphFont"/>
    <w:rsid w:val="001D6E68"/>
    <w:rPr>
      <w:sz w:val="16"/>
      <w:vertAlign w:val="superscript"/>
    </w:rPr>
  </w:style>
  <w:style w:type="character" w:customStyle="1" w:styleId="Symbols">
    <w:name w:val="Symbols"/>
    <w:basedOn w:val="DefaultParagraphFont"/>
    <w:rsid w:val="001D6E68"/>
    <w:rPr>
      <w:rFonts w:ascii="Symbol" w:hAnsi="Symbol"/>
    </w:rPr>
  </w:style>
  <w:style w:type="character" w:customStyle="1" w:styleId="MenuOptions">
    <w:name w:val="Menu Options"/>
    <w:basedOn w:val="DefaultParagraphFont"/>
    <w:rsid w:val="001D6E68"/>
    <w:rPr>
      <w:rFonts w:ascii="Arial Narrow" w:hAnsi="Arial Narrow"/>
      <w:smallCaps/>
    </w:rPr>
  </w:style>
  <w:style w:type="character" w:customStyle="1" w:styleId="Buttons">
    <w:name w:val="Buttons"/>
    <w:basedOn w:val="DefaultParagraphFont"/>
    <w:rsid w:val="001D6E68"/>
    <w:rPr>
      <w:b/>
    </w:rPr>
  </w:style>
  <w:style w:type="character" w:customStyle="1" w:styleId="Underlined">
    <w:name w:val="Underlined"/>
    <w:basedOn w:val="DefaultParagraphFont"/>
    <w:rsid w:val="001D6E68"/>
    <w:rPr>
      <w:u w:val="single"/>
    </w:rPr>
  </w:style>
  <w:style w:type="paragraph" w:customStyle="1" w:styleId="TableBodyTextRight">
    <w:name w:val="Table Body Text Right"/>
    <w:basedOn w:val="TableBodyText"/>
    <w:rsid w:val="001D6E68"/>
    <w:pPr>
      <w:widowControl w:val="0"/>
      <w:autoSpaceDE w:val="0"/>
      <w:autoSpaceDN w:val="0"/>
      <w:adjustRightInd w:val="0"/>
      <w:jc w:val="right"/>
    </w:pPr>
    <w:rPr>
      <w:rFonts w:cs="Arial"/>
      <w:szCs w:val="18"/>
    </w:rPr>
  </w:style>
  <w:style w:type="paragraph" w:customStyle="1" w:styleId="CopyrightText">
    <w:name w:val="Copyright Text"/>
    <w:basedOn w:val="BodyText"/>
    <w:rsid w:val="001D6E68"/>
    <w:rPr>
      <w:sz w:val="18"/>
    </w:rPr>
  </w:style>
  <w:style w:type="paragraph" w:customStyle="1" w:styleId="BodySmallRight">
    <w:name w:val="Body Small Right"/>
    <w:basedOn w:val="BodyTextRight"/>
    <w:rsid w:val="001D6E68"/>
    <w:rPr>
      <w:sz w:val="18"/>
      <w:szCs w:val="18"/>
    </w:rPr>
  </w:style>
  <w:style w:type="paragraph" w:customStyle="1" w:styleId="MarginEdition">
    <w:name w:val="Margin Edition"/>
    <w:basedOn w:val="MarginNote"/>
    <w:rsid w:val="001D6E68"/>
    <w:pPr>
      <w:spacing w:before="0" w:after="0"/>
    </w:pPr>
    <w:rPr>
      <w:rFonts w:ascii="Times New Roman" w:hAnsi="Times New Roman"/>
      <w:color w:val="999999"/>
    </w:rPr>
  </w:style>
  <w:style w:type="paragraph" w:customStyle="1" w:styleId="Spacer">
    <w:name w:val="Spacer"/>
    <w:basedOn w:val="Normal"/>
    <w:rsid w:val="001D6E68"/>
    <w:rPr>
      <w:sz w:val="2"/>
      <w:szCs w:val="2"/>
    </w:rPr>
  </w:style>
  <w:style w:type="character" w:customStyle="1" w:styleId="Small">
    <w:name w:val="Small"/>
    <w:basedOn w:val="DefaultParagraphFont"/>
    <w:rsid w:val="001D6E68"/>
    <w:rPr>
      <w:sz w:val="16"/>
    </w:rPr>
  </w:style>
  <w:style w:type="paragraph" w:customStyle="1" w:styleId="WideTable">
    <w:name w:val="Wide Table"/>
    <w:basedOn w:val="Normal"/>
    <w:rsid w:val="001D6E68"/>
    <w:pPr>
      <w:ind w:left="-1418"/>
    </w:pPr>
    <w:rPr>
      <w:sz w:val="2"/>
      <w:szCs w:val="2"/>
    </w:rPr>
  </w:style>
  <w:style w:type="character" w:styleId="PageNumber">
    <w:name w:val="page number"/>
    <w:basedOn w:val="DefaultParagraphFont"/>
    <w:rsid w:val="001D6E68"/>
  </w:style>
  <w:style w:type="paragraph" w:styleId="Quote">
    <w:name w:val="Quote"/>
    <w:basedOn w:val="Heading1"/>
    <w:link w:val="QuoteChar"/>
    <w:qFormat/>
    <w:rsid w:val="001D6E68"/>
    <w:rPr>
      <w:b w:val="0"/>
      <w:sz w:val="72"/>
      <w:szCs w:val="72"/>
      <w:lang w:val="en-NZ"/>
    </w:rPr>
  </w:style>
  <w:style w:type="character" w:customStyle="1" w:styleId="QuoteChar">
    <w:name w:val="Quote Char"/>
    <w:basedOn w:val="DefaultParagraphFont"/>
    <w:link w:val="Quote"/>
    <w:rsid w:val="001D6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E68"/>
    <w:pPr>
      <w:pageBreakBefore/>
    </w:pPr>
  </w:style>
  <w:style w:type="paragraph" w:customStyle="1" w:styleId="Border">
    <w:name w:val="Border"/>
    <w:basedOn w:val="Normal"/>
    <w:qFormat/>
    <w:rsid w:val="001D6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E68"/>
    <w:rPr>
      <w:b/>
      <w:bCs/>
      <w:i/>
      <w:iCs/>
      <w:color w:val="auto"/>
    </w:rPr>
  </w:style>
  <w:style w:type="paragraph" w:styleId="IntenseQuote">
    <w:name w:val="Intense Quote"/>
    <w:basedOn w:val="Normal"/>
    <w:next w:val="Normal"/>
    <w:link w:val="IntenseQuoteChar"/>
    <w:uiPriority w:val="30"/>
    <w:qFormat/>
    <w:rsid w:val="001D6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E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6E68"/>
    <w:rPr>
      <w:smallCaps/>
      <w:color w:val="auto"/>
      <w:u w:val="single"/>
    </w:rPr>
  </w:style>
  <w:style w:type="character" w:styleId="IntenseReference">
    <w:name w:val="Intense Reference"/>
    <w:basedOn w:val="DefaultParagraphFont"/>
    <w:uiPriority w:val="32"/>
    <w:qFormat/>
    <w:rsid w:val="001D6E68"/>
    <w:rPr>
      <w:b/>
      <w:bCs/>
      <w:smallCaps/>
      <w:color w:val="auto"/>
      <w:spacing w:val="5"/>
      <w:u w:val="single"/>
    </w:rPr>
  </w:style>
  <w:style w:type="paragraph" w:customStyle="1" w:styleId="2ColumnHeading">
    <w:name w:val="2Column Heading"/>
    <w:basedOn w:val="BodyText"/>
    <w:qFormat/>
    <w:rsid w:val="001D6E68"/>
    <w:pPr>
      <w:spacing w:after="60"/>
      <w:ind w:left="-2268"/>
    </w:pPr>
    <w:rPr>
      <w:b/>
    </w:rPr>
  </w:style>
  <w:style w:type="paragraph" w:customStyle="1" w:styleId="Heading1TOC">
    <w:name w:val="Heading1 TOC"/>
    <w:basedOn w:val="Normal"/>
    <w:qFormat/>
    <w:rsid w:val="001D6E68"/>
    <w:pPr>
      <w:spacing w:before="240" w:after="120"/>
    </w:pPr>
    <w:rPr>
      <w:rFonts w:ascii="Times New Roman" w:hAnsi="Times New Roman"/>
      <w:b/>
      <w:sz w:val="32"/>
    </w:rPr>
  </w:style>
  <w:style w:type="paragraph" w:customStyle="1" w:styleId="Heading2TOC">
    <w:name w:val="Heading2 TOC"/>
    <w:basedOn w:val="Normal"/>
    <w:qFormat/>
    <w:rsid w:val="001D6E68"/>
    <w:pPr>
      <w:spacing w:before="240" w:after="60"/>
    </w:pPr>
    <w:rPr>
      <w:rFonts w:ascii="Times New Roman" w:hAnsi="Times New Roman"/>
      <w:b/>
      <w:sz w:val="28"/>
    </w:rPr>
  </w:style>
  <w:style w:type="character" w:customStyle="1" w:styleId="Underline">
    <w:name w:val="Underline"/>
    <w:basedOn w:val="DefaultParagraphFont"/>
    <w:qFormat/>
    <w:rsid w:val="001D6E68"/>
    <w:rPr>
      <w:u w:val="single"/>
    </w:rPr>
  </w:style>
  <w:style w:type="character" w:customStyle="1" w:styleId="BoldandItalics">
    <w:name w:val="Bold and Italics"/>
    <w:qFormat/>
    <w:rsid w:val="001D6E68"/>
    <w:rPr>
      <w:b/>
      <w:i/>
      <w:u w:val="none"/>
    </w:rPr>
  </w:style>
  <w:style w:type="paragraph" w:styleId="BalloonText">
    <w:name w:val="Balloon Text"/>
    <w:basedOn w:val="Normal"/>
    <w:link w:val="BalloonTextChar"/>
    <w:rsid w:val="001D6E68"/>
    <w:rPr>
      <w:rFonts w:ascii="Tahoma" w:hAnsi="Tahoma" w:cs="Tahoma"/>
      <w:sz w:val="16"/>
      <w:szCs w:val="16"/>
    </w:rPr>
  </w:style>
  <w:style w:type="character" w:customStyle="1" w:styleId="BalloonTextChar">
    <w:name w:val="Balloon Text Char"/>
    <w:basedOn w:val="DefaultParagraphFont"/>
    <w:link w:val="BalloonText"/>
    <w:rsid w:val="001D6E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6E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E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8803</Characters>
  <Application>Microsoft Office Word</Application>
  <DocSecurity>0</DocSecurity>
  <Lines>375</Lines>
  <Paragraphs>206</Paragraphs>
  <ScaleCrop>false</ScaleCrop>
  <Company>Author-it Software Corporation Ltd.</Company>
  <LinksUpToDate>false</LinksUpToDate>
  <CharactersWithSpaces>10086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MEM26001A Lay up composites using open moulding techniques</dc:title>
  <dc:subject>Approved</dc:subject>
  <dc:creator>Dennis Urbans</dc:creator>
  <cp:keywords>Release: 1</cp:keywords>
  <dc:description>Copyright © 1996-2007 Author-it Software Corporation Ltd., all rights reserved.</dc:description>
  <cp:lastModifiedBy>Dennis Urbans</cp:lastModifiedBy>
  <cp:revision>3</cp:revision>
  <dcterms:created xsi:type="dcterms:W3CDTF">2012-05-27T02:12:00Z</dcterms:created>
  <dcterms:modified xsi:type="dcterms:W3CDTF">2012-05-27T02:12:00Z</dcterms:modified>
</cp:coreProperties>
</file>