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EE5" w:rsidP="00E43EE5">
      <w:pPr>
        <w:pStyle w:val="Title"/>
      </w:pPr>
      <w:r>
        <w:fldChar w:fldCharType="begin"/>
      </w:r>
      <w:r>
        <w:instrText xml:space="preserve"> TITLE   \* MERGEFORMAT </w:instrText>
      </w:r>
      <w:r>
        <w:fldChar w:fldCharType="separate"/>
      </w:r>
      <w:r>
        <w:t>MEM24012C Apply metallurgy principles</w:t>
      </w:r>
      <w:r>
        <w:fldChar w:fldCharType="end"/>
      </w:r>
    </w:p>
    <w:p w:rsidR="00E43EE5" w:rsidP="00E43EE5">
      <w:pPr>
        <w:pStyle w:val="Version"/>
        <w:sectPr w:rsidSect="00013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3E37" w:rsidP="00013E37">
      <w:pPr>
        <w:pStyle w:val="SuperHeading"/>
      </w:pPr>
      <w:r w:rsidRPr="00013E37">
        <w:t>MEM24012C Apply metallurgy principles</w:t>
      </w:r>
    </w:p>
    <w:p w:rsidR="00000000" w:rsidRPr="00013E37" w:rsidP="00013E37">
      <w:pPr>
        <w:pStyle w:val="Heading1"/>
      </w:pPr>
      <w:bookmarkStart w:id="1" w:name="O_462263"/>
      <w:bookmarkEnd w:id="1"/>
      <w:r w:rsidRPr="00013E37">
        <w:t>Modification History</w:t>
      </w:r>
    </w:p>
    <w:p w:rsidR="00000000" w:rsidRPr="00013E37" w:rsidP="00013E37">
      <w:pPr>
        <w:pStyle w:val="BodyText"/>
      </w:pPr>
      <w:r w:rsidRPr="00013E37">
        <w:t>Single band identifier removed to clarify dual status</w:t>
      </w:r>
    </w:p>
    <w:p w:rsidR="00000000" w:rsidRPr="00013E37" w:rsidP="00013E37">
      <w:pPr>
        <w:pStyle w:val="AllowPageBreak"/>
      </w:pPr>
    </w:p>
    <w:p w:rsidR="00000000" w:rsidRPr="00013E37" w:rsidP="00013E37">
      <w:pPr>
        <w:pStyle w:val="Heading1"/>
      </w:pPr>
      <w:bookmarkStart w:id="2" w:name="O_462259"/>
      <w:bookmarkEnd w:id="2"/>
      <w:r w:rsidRPr="00013E37">
        <w:t>Unit Descriptor</w:t>
      </w:r>
    </w:p>
    <w:tbl>
      <w:tblPr>
        <w:tblW w:w="0" w:type="auto"/>
        <w:tblLayout w:type="fixed"/>
        <w:tblCellMar>
          <w:left w:w="62" w:type="dxa"/>
          <w:right w:w="62" w:type="dxa"/>
        </w:tblCellMar>
        <w:tblLook w:val="0000"/>
      </w:tblPr>
      <w:tblGrid>
        <w:gridCol w:w="2670"/>
        <w:gridCol w:w="5852"/>
      </w:tblGrid>
      <w:tr w:rsidTr="00E43EE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This unit covers applying basic metallurgy principles related to selecting ap</w:t>
            </w:r>
            <w:r w:rsidRPr="00013E37">
              <w:t>propriate non-destructive testing techniques (NDT) and interpreting the results of NDT tests for metallurgical processes.</w:t>
            </w:r>
          </w:p>
        </w:tc>
      </w:tr>
    </w:tbl>
    <w:p w:rsidR="00E43EE5" w:rsidP="00013E37">
      <w:pPr>
        <w:pStyle w:val="BodyText"/>
      </w:pPr>
    </w:p>
    <w:p w:rsidR="00E43EE5" w:rsidP="00013E37">
      <w:pPr>
        <w:pStyle w:val="BodyText"/>
      </w:pPr>
    </w:p>
    <w:p w:rsidR="00000000" w:rsidRPr="00013E37" w:rsidP="00013E37">
      <w:pPr>
        <w:pStyle w:val="Heading1"/>
      </w:pPr>
      <w:bookmarkStart w:id="3" w:name="O_462272"/>
      <w:bookmarkEnd w:id="3"/>
      <w:r w:rsidRPr="00013E37">
        <w:t>Application of the Unit</w:t>
      </w:r>
    </w:p>
    <w:tbl>
      <w:tblPr>
        <w:tblW w:w="0" w:type="auto"/>
        <w:tblLayout w:type="fixed"/>
        <w:tblCellMar>
          <w:left w:w="62" w:type="dxa"/>
          <w:right w:w="62" w:type="dxa"/>
        </w:tblCellMar>
        <w:tblLook w:val="0000"/>
      </w:tblPr>
      <w:tblGrid>
        <w:gridCol w:w="2745"/>
        <w:gridCol w:w="5777"/>
      </w:tblGrid>
      <w:tr w:rsidTr="00E43E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This unit applies to knowledge of metallurgy principles, and the relationship between the various non-destructive testing methods and their capabilities and limitations when applied to the detection of specific discontinuities in metals and alloys.</w:t>
            </w:r>
          </w:p>
          <w:p w:rsidR="00000000" w:rsidRPr="00013E37" w:rsidP="00013E37">
            <w:pPr>
              <w:pStyle w:val="BodyText"/>
            </w:pPr>
            <w:r w:rsidRPr="00013E37">
              <w:t>The uni</w:t>
            </w:r>
            <w:r w:rsidRPr="00013E37">
              <w:t>t applies to employees other than NDT technicians such as metallurgists, welding supervisors etc. who select and order NDT tests and who interpret results provided by tests for metal manufacturing, casting, shaping, and joining processes.  The unit does no</w:t>
            </w:r>
            <w:r w:rsidRPr="00013E37">
              <w:t>t apply to the conduct of NDT tests.</w:t>
            </w:r>
          </w:p>
          <w:p w:rsidR="00000000" w:rsidRPr="00013E37" w:rsidP="00013E37">
            <w:pPr>
              <w:pStyle w:val="BodyText"/>
            </w:pPr>
            <w:r w:rsidRPr="00013E37">
              <w:t>Such variables as the type of discontinuity, manufacturing process and limitations will assist in determining the sequence of testing and the ultimate selection of one non-destructive test method in preference to anothe</w:t>
            </w:r>
            <w:r w:rsidRPr="00013E37">
              <w:t>r. Any testing that may be carried out must be completed with particular attention to personal and OH&amp;S regulations.</w:t>
            </w:r>
          </w:p>
          <w:p w:rsidR="00000000" w:rsidRPr="00013E37" w:rsidP="00013E37">
            <w:pPr>
              <w:pStyle w:val="BodyText"/>
            </w:pPr>
            <w:r w:rsidRPr="00013E37">
              <w:t>Where materials and chemicals which are subject to codes and regulations are stored and used - for example, chemicals, explosives, solvents</w:t>
            </w:r>
            <w:r w:rsidRPr="00013E37">
              <w:t>, dangerous materials, acids, or noxious waste products - safe work habits must be considered.</w:t>
            </w:r>
          </w:p>
          <w:p w:rsidR="00000000" w:rsidRPr="00013E37" w:rsidP="00013E37">
            <w:pPr>
              <w:pStyle w:val="BodyText"/>
            </w:pPr>
            <w:r w:rsidRPr="00013E37">
              <w:rPr>
                <w:rStyle w:val="SpecialBold"/>
              </w:rPr>
              <w:t>Band:</w:t>
            </w:r>
          </w:p>
          <w:p w:rsidR="00000000" w:rsidRPr="00013E37" w:rsidP="00013E37">
            <w:pPr>
              <w:pStyle w:val="BodyText"/>
            </w:pPr>
            <w:r w:rsidRPr="00013E37">
              <w:t>This unit has dual status and is to be regarded as both a Specialisation band A unit and Specialisation band B unit for progression to C5 (AQF level V).</w:t>
            </w:r>
          </w:p>
          <w:p w:rsidR="00000000" w:rsidRPr="00013E37" w:rsidP="00013E37">
            <w:pPr>
              <w:pStyle w:val="BodyText"/>
            </w:pPr>
          </w:p>
          <w:p w:rsidR="00000000" w:rsidRPr="00013E37" w:rsidP="00013E37">
            <w:pPr>
              <w:pStyle w:val="BodyText"/>
            </w:pPr>
            <w:r w:rsidRPr="00013E37">
              <w:rPr>
                <w:rStyle w:val="SpecialBold"/>
              </w:rPr>
              <w:t>U</w:t>
            </w:r>
            <w:r w:rsidRPr="00013E37">
              <w:rPr>
                <w:rStyle w:val="SpecialBold"/>
              </w:rPr>
              <w:t>nit Weight</w:t>
            </w:r>
            <w:r w:rsidRPr="00013E37">
              <w:t>:</w:t>
            </w:r>
            <w:r w:rsidRPr="00013E37">
              <w:tab/>
            </w:r>
            <w:r w:rsidRPr="00013E37">
              <w:rPr>
                <w:rStyle w:val="SpecialBold"/>
              </w:rPr>
              <w:t>4</w:t>
            </w:r>
          </w:p>
        </w:tc>
      </w:tr>
    </w:tbl>
    <w:p w:rsidR="00E43EE5" w:rsidP="00013E37">
      <w:pPr>
        <w:pStyle w:val="BodyText"/>
      </w:pPr>
    </w:p>
    <w:p w:rsidR="00E43EE5" w:rsidP="00013E37">
      <w:pPr>
        <w:pStyle w:val="BodyText"/>
      </w:pPr>
    </w:p>
    <w:p w:rsidR="00000000" w:rsidRPr="00013E37" w:rsidP="00013E37">
      <w:pPr>
        <w:pStyle w:val="Heading1"/>
      </w:pPr>
      <w:bookmarkStart w:id="4" w:name="O_462264"/>
      <w:bookmarkEnd w:id="4"/>
      <w:r w:rsidRPr="00013E37">
        <w:t>Licensing/Regulatory Information</w:t>
      </w:r>
    </w:p>
    <w:p w:rsidR="00000000" w:rsidRPr="00013E37" w:rsidP="00013E37">
      <w:pPr>
        <w:pStyle w:val="BodyText"/>
      </w:pPr>
      <w:r w:rsidRPr="00013E37">
        <w:t>Not Applicable</w:t>
      </w:r>
    </w:p>
    <w:p w:rsidR="00000000" w:rsidRPr="00013E37" w:rsidP="00013E37">
      <w:pPr>
        <w:pStyle w:val="AllowPageBreak"/>
      </w:pPr>
    </w:p>
    <w:p w:rsidR="00000000" w:rsidRPr="00013E37" w:rsidP="00013E37">
      <w:pPr>
        <w:pStyle w:val="Heading1"/>
      </w:pPr>
      <w:bookmarkStart w:id="5" w:name="O_462262"/>
      <w:bookmarkEnd w:id="5"/>
      <w:r w:rsidRPr="00013E37">
        <w:t>Pre-Requisites</w:t>
      </w:r>
    </w:p>
    <w:tbl>
      <w:tblPr>
        <w:tblW w:w="0" w:type="auto"/>
        <w:tblLayout w:type="fixed"/>
        <w:tblCellMar>
          <w:left w:w="62" w:type="dxa"/>
          <w:right w:w="62" w:type="dxa"/>
        </w:tblCellMar>
        <w:tblLook w:val="0000"/>
      </w:tblPr>
      <w:tblGrid>
        <w:gridCol w:w="2775"/>
        <w:gridCol w:w="1295"/>
        <w:gridCol w:w="4452"/>
      </w:tblGrid>
      <w:tr w:rsidTr="00E43E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p>
        </w:tc>
      </w:tr>
      <w:tr w:rsidTr="00E43E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p>
        </w:tc>
      </w:tr>
      <w:tr w:rsidTr="00E43E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p>
        </w:tc>
      </w:tr>
    </w:tbl>
    <w:p w:rsidR="00E43EE5" w:rsidP="00013E37">
      <w:pPr>
        <w:pStyle w:val="BodyText"/>
      </w:pPr>
    </w:p>
    <w:p w:rsidR="00E43EE5" w:rsidP="00013E37">
      <w:pPr>
        <w:pStyle w:val="BodyText"/>
      </w:pPr>
    </w:p>
    <w:p w:rsidR="00000000" w:rsidRPr="00013E37" w:rsidP="00013E37">
      <w:pPr>
        <w:pStyle w:val="Heading1"/>
      </w:pPr>
      <w:bookmarkStart w:id="6" w:name="O_462267"/>
      <w:bookmarkEnd w:id="6"/>
      <w:r w:rsidRPr="00013E37">
        <w:t>Employability Skills Information</w:t>
      </w:r>
    </w:p>
    <w:tbl>
      <w:tblPr>
        <w:tblW w:w="0" w:type="auto"/>
        <w:tblLayout w:type="fixed"/>
        <w:tblCellMar>
          <w:left w:w="62" w:type="dxa"/>
          <w:right w:w="62" w:type="dxa"/>
        </w:tblCellMar>
        <w:tblLook w:val="0000"/>
      </w:tblPr>
      <w:tblGrid>
        <w:gridCol w:w="2802"/>
        <w:gridCol w:w="5720"/>
      </w:tblGrid>
      <w:tr w:rsidTr="00E43E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This unit contains employability skills.</w:t>
            </w:r>
          </w:p>
        </w:tc>
      </w:tr>
    </w:tbl>
    <w:p w:rsidR="00E43EE5" w:rsidP="00013E37">
      <w:pPr>
        <w:pStyle w:val="BodyText"/>
      </w:pPr>
    </w:p>
    <w:p w:rsidR="00E43EE5" w:rsidP="00013E37">
      <w:pPr>
        <w:pStyle w:val="BodyText"/>
      </w:pPr>
    </w:p>
    <w:p w:rsidR="00000000" w:rsidRPr="00013E37" w:rsidP="00013E37">
      <w:pPr>
        <w:pStyle w:val="Heading1"/>
      </w:pPr>
      <w:bookmarkStart w:id="7" w:name="O_462268"/>
      <w:bookmarkEnd w:id="7"/>
      <w:r w:rsidRPr="00013E37">
        <w:t>Elements and Performance Criteria Pre-Content</w:t>
      </w:r>
    </w:p>
    <w:tbl>
      <w:tblPr>
        <w:tblW w:w="0" w:type="auto"/>
        <w:tblLayout w:type="fixed"/>
        <w:tblCellMar>
          <w:left w:w="62" w:type="dxa"/>
          <w:right w:w="62" w:type="dxa"/>
        </w:tblCellMar>
        <w:tblLook w:val="0000"/>
      </w:tblPr>
      <w:tblGrid>
        <w:gridCol w:w="2552"/>
        <w:gridCol w:w="5970"/>
      </w:tblGrid>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Performance criteria describe the performance needed to demonstrate achievement of the element. Where bold italicised text is used, further information is detailed in the required skills and knowledge section and the range statement. Assessment of performa</w:t>
            </w:r>
            <w:r w:rsidRPr="00013E37">
              <w:t>nce is to be consistent with the evidence guide.</w:t>
            </w:r>
          </w:p>
        </w:tc>
      </w:tr>
    </w:tbl>
    <w:p w:rsidR="00000000" w:rsidRPr="00013E37" w:rsidP="00013E37">
      <w:pPr>
        <w:pStyle w:val="BodyText"/>
      </w:pPr>
    </w:p>
    <w:p w:rsidR="00000000" w:rsidRPr="00013E37" w:rsidP="00013E37">
      <w:pPr>
        <w:pStyle w:val="AllowPageBreak"/>
      </w:pPr>
    </w:p>
    <w:p w:rsidR="00000000" w:rsidRPr="00013E37" w:rsidP="00013E37">
      <w:pPr>
        <w:pStyle w:val="Heading1"/>
      </w:pPr>
      <w:bookmarkStart w:id="8" w:name="O_462269"/>
      <w:bookmarkEnd w:id="8"/>
      <w:r w:rsidRPr="00013E37">
        <w:t>Elements and Performance Criteria</w:t>
      </w:r>
    </w:p>
    <w:tbl>
      <w:tblPr>
        <w:tblW w:w="0" w:type="auto"/>
        <w:tblLayout w:type="fixed"/>
        <w:tblCellMar>
          <w:left w:w="62" w:type="dxa"/>
          <w:right w:w="62" w:type="dxa"/>
        </w:tblCellMar>
        <w:tblLook w:val="0000"/>
      </w:tblPr>
      <w:tblGrid>
        <w:gridCol w:w="2552"/>
        <w:gridCol w:w="5970"/>
      </w:tblGrid>
      <w:tr w:rsidTr="00E43EE5">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PERFORMANCE CRITERIA</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1.</w:t>
            </w:r>
            <w:r w:rsidRPr="00013E37">
              <w:tab/>
              <w:t xml:space="preserve">Interpret and apply the principles of solidification and crystal structures in metals and alloys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2"/>
              <w:rPr>
                <w:lang w:val="en-NZ"/>
              </w:rPr>
            </w:pPr>
            <w:r w:rsidRPr="00013E37">
              <w:t>1.1.</w:t>
            </w:r>
            <w:r w:rsidRPr="00013E37">
              <w:tab/>
              <w:t>Principles of soli</w:t>
            </w:r>
            <w:r w:rsidRPr="00013E37">
              <w:t>dification and crystal structures in metals and alloys are interpreted and applied in relation to NDT techniques.</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2.</w:t>
            </w:r>
            <w:r w:rsidRPr="00013E37">
              <w:tab/>
              <w:t>Interpret equilibrium diagrams for metals and alloys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2"/>
            </w:pPr>
            <w:r w:rsidRPr="00013E37">
              <w:t>2.1.</w:t>
            </w:r>
            <w:r w:rsidRPr="00013E37">
              <w:tab/>
              <w:t>Equilibrium diagram for metal or alloy is correctly sourced</w:t>
            </w:r>
          </w:p>
          <w:p w:rsidR="00000000" w:rsidP="00013E37">
            <w:pPr>
              <w:pStyle w:val="List2"/>
              <w:rPr>
                <w:lang w:val="en-NZ"/>
              </w:rPr>
            </w:pPr>
            <w:r w:rsidRPr="00013E37">
              <w:t>2.2.</w:t>
            </w:r>
            <w:r w:rsidRPr="00013E37">
              <w:tab/>
            </w:r>
            <w:r w:rsidRPr="00013E37">
              <w:t>Equilibrium diagrams are correctly interpreted.</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3.</w:t>
            </w:r>
            <w:r w:rsidRPr="00013E37">
              <w:tab/>
              <w:t>Interpret and apply the principles of fusion welding of metals and alloys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2"/>
            </w:pPr>
            <w:r w:rsidRPr="00013E37">
              <w:t>3.1.</w:t>
            </w:r>
            <w:r w:rsidRPr="00013E37">
              <w:tab/>
              <w:t>Principles and methods for fusion welding of metals and alloys are applied to NDT test selection.</w:t>
            </w:r>
          </w:p>
          <w:p w:rsidR="00000000" w:rsidP="00013E37">
            <w:pPr>
              <w:pStyle w:val="List2"/>
              <w:rPr>
                <w:lang w:val="en-NZ"/>
              </w:rPr>
            </w:pPr>
            <w:r w:rsidRPr="00013E37">
              <w:t>3.2.</w:t>
            </w:r>
            <w:r w:rsidRPr="00013E37">
              <w:tab/>
              <w:t>Defects in weldments a</w:t>
            </w:r>
            <w:r w:rsidRPr="00013E37">
              <w:t>re identified and classified from NDT test results.</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4.</w:t>
            </w:r>
            <w:r w:rsidRPr="00013E37">
              <w:tab/>
              <w:t>Interpret and apply the principles of the formation of castings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2"/>
            </w:pPr>
            <w:r w:rsidRPr="00013E37">
              <w:t>4.1.</w:t>
            </w:r>
            <w:r w:rsidRPr="00013E37">
              <w:tab/>
              <w:t>Principles and methods used to produce metal castings are applied to NDT test selection.</w:t>
            </w:r>
          </w:p>
          <w:p w:rsidR="00000000" w:rsidP="00013E37">
            <w:pPr>
              <w:pStyle w:val="List2"/>
              <w:rPr>
                <w:lang w:val="en-NZ"/>
              </w:rPr>
            </w:pPr>
            <w:r w:rsidRPr="00013E37">
              <w:t>4.2.</w:t>
            </w:r>
            <w:r w:rsidRPr="00013E37">
              <w:tab/>
              <w:t>Defects in metal and alloy castings a</w:t>
            </w:r>
            <w:r w:rsidRPr="00013E37">
              <w:t>re identified and classified from NDT test results.</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5.</w:t>
            </w:r>
            <w:r w:rsidRPr="00013E37">
              <w:tab/>
              <w:t>Interpret and apply the principles of steel forging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2"/>
            </w:pPr>
            <w:r w:rsidRPr="00013E37">
              <w:t>5.1.</w:t>
            </w:r>
            <w:r w:rsidRPr="00013E37">
              <w:tab/>
              <w:t>Principles and methods used to produce steel forgings are applied to NDT test selection.</w:t>
            </w:r>
          </w:p>
          <w:p w:rsidR="00000000" w:rsidP="00013E37">
            <w:pPr>
              <w:pStyle w:val="List2"/>
              <w:rPr>
                <w:lang w:val="en-NZ"/>
              </w:rPr>
            </w:pPr>
            <w:r w:rsidRPr="00013E37">
              <w:t>5.2.</w:t>
            </w:r>
            <w:r w:rsidRPr="00013E37">
              <w:tab/>
              <w:t>Defects in steel forgings are identified and clas</w:t>
            </w:r>
            <w:r w:rsidRPr="00013E37">
              <w:t>sified from NDT test results.</w:t>
            </w:r>
          </w:p>
        </w:tc>
      </w:tr>
      <w:tr w:rsidTr="00E43EE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List"/>
              <w:rPr>
                <w:lang w:val="en-NZ"/>
              </w:rPr>
            </w:pPr>
            <w:r w:rsidRPr="00013E37">
              <w:t>6.</w:t>
            </w:r>
            <w:r w:rsidRPr="00013E37">
              <w:tab/>
              <w:t>Interpret and apply the principles of mechanical testing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2"/>
            </w:pPr>
            <w:r w:rsidRPr="00013E37">
              <w:t>6.1.</w:t>
            </w:r>
            <w:r w:rsidRPr="00013E37">
              <w:tab/>
              <w:t>Principles of mechanical testing are applied to NDT test selection.</w:t>
            </w:r>
          </w:p>
          <w:p w:rsidR="00000000" w:rsidRPr="00013E37" w:rsidP="00013E37">
            <w:pPr>
              <w:pStyle w:val="List2"/>
            </w:pPr>
            <w:r w:rsidRPr="00013E37">
              <w:t>6.2.</w:t>
            </w:r>
            <w:r w:rsidRPr="00013E37">
              <w:tab/>
              <w:t>Defects in metal product are identified and classified from NDT test results</w:t>
            </w:r>
          </w:p>
        </w:tc>
      </w:tr>
    </w:tbl>
    <w:p w:rsidR="00E43EE5" w:rsidP="00013E37">
      <w:pPr>
        <w:pStyle w:val="BodyText"/>
      </w:pPr>
    </w:p>
    <w:p w:rsidR="00E43EE5" w:rsidP="00013E37">
      <w:pPr>
        <w:pStyle w:val="BodyText"/>
      </w:pPr>
    </w:p>
    <w:p w:rsidR="00000000" w:rsidRPr="00013E37" w:rsidP="00013E37">
      <w:pPr>
        <w:pStyle w:val="Heading1"/>
      </w:pPr>
      <w:bookmarkStart w:id="9" w:name="O_462260"/>
      <w:bookmarkEnd w:id="9"/>
      <w:r w:rsidRPr="00013E37">
        <w:t>Required Skills and Knowledge</w:t>
      </w:r>
    </w:p>
    <w:tbl>
      <w:tblPr>
        <w:tblW w:w="0" w:type="auto"/>
        <w:tblLayout w:type="fixed"/>
        <w:tblCellMar>
          <w:left w:w="62" w:type="dxa"/>
          <w:right w:w="62" w:type="dxa"/>
        </w:tblCellMar>
        <w:tblLook w:val="0000"/>
      </w:tblPr>
      <w:tblGrid>
        <w:gridCol w:w="8522"/>
      </w:tblGrid>
      <w:tr w:rsidTr="00E43E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REQUIRED SKILLS AND KNOWLEDGE</w:t>
            </w:r>
          </w:p>
        </w:tc>
      </w:tr>
      <w:tr w:rsidTr="00E43E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This section describes the skills and knowledge required for this unit.</w:t>
            </w:r>
          </w:p>
        </w:tc>
      </w:tr>
      <w:tr w:rsidTr="00E43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Required skills</w:t>
            </w:r>
          </w:p>
        </w:tc>
      </w:tr>
      <w:tr w:rsidTr="00E43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Look for evidence that confirms skills in:</w:t>
            </w:r>
          </w:p>
          <w:p w:rsidR="00000000" w:rsidRPr="00013E37" w:rsidP="00013E37">
            <w:pPr>
              <w:pStyle w:val="ListBullet"/>
            </w:pPr>
            <w:r w:rsidRPr="00013E37">
              <w:t>research</w:t>
            </w:r>
          </w:p>
          <w:p w:rsidR="00000000" w:rsidRPr="00013E37" w:rsidP="00013E37">
            <w:pPr>
              <w:pStyle w:val="ListBullet"/>
            </w:pPr>
            <w:r w:rsidRPr="00013E37">
              <w:t>understanding and applying metallurgy principles</w:t>
            </w:r>
          </w:p>
          <w:p w:rsidR="00000000" w:rsidP="00013E37">
            <w:pPr>
              <w:pStyle w:val="ListBullet"/>
              <w:rPr>
                <w:lang w:val="en-NZ"/>
              </w:rPr>
            </w:pPr>
            <w:r w:rsidRPr="00013E37">
              <w:t>selecting NDT test appropriate to metal or alloy and manufacturing process</w:t>
            </w:r>
          </w:p>
        </w:tc>
      </w:tr>
      <w:tr w:rsidTr="00E43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Required knowledge</w:t>
            </w:r>
          </w:p>
        </w:tc>
      </w:tr>
      <w:tr w:rsidTr="00E43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Look for evidence that confirms knowledge of:</w:t>
            </w:r>
          </w:p>
          <w:p w:rsidR="00000000" w:rsidRPr="00013E37" w:rsidP="00013E37">
            <w:pPr>
              <w:pStyle w:val="ListBullet"/>
            </w:pPr>
            <w:r w:rsidRPr="00013E37">
              <w:t>principles of solidification and crystal structures in metal:</w:t>
            </w:r>
          </w:p>
          <w:p w:rsidR="00000000" w:rsidRPr="00013E37" w:rsidP="00013E37">
            <w:pPr>
              <w:pStyle w:val="ListBullet2"/>
            </w:pPr>
            <w:r w:rsidRPr="00013E37">
              <w:t>c</w:t>
            </w:r>
            <w:r w:rsidRPr="00013E37">
              <w:t>lassification of materials</w:t>
            </w:r>
          </w:p>
          <w:p w:rsidR="00000000" w:rsidRPr="00013E37" w:rsidP="00013E37">
            <w:pPr>
              <w:pStyle w:val="ListBullet2"/>
            </w:pPr>
            <w:r w:rsidRPr="00013E37">
              <w:t>structure of atoms</w:t>
            </w:r>
          </w:p>
          <w:p w:rsidR="00000000" w:rsidRPr="00013E37" w:rsidP="00013E37">
            <w:pPr>
              <w:pStyle w:val="ListBullet2"/>
            </w:pPr>
            <w:r w:rsidRPr="00013E37">
              <w:t>process of solidification</w:t>
            </w:r>
          </w:p>
          <w:p w:rsidR="00000000" w:rsidRPr="00013E37" w:rsidP="00013E37">
            <w:pPr>
              <w:pStyle w:val="ListBullet2"/>
            </w:pPr>
            <w:r w:rsidRPr="00013E37">
              <w:t>crystal structures</w:t>
            </w:r>
          </w:p>
          <w:p w:rsidR="00000000" w:rsidRPr="00013E37" w:rsidP="00013E37">
            <w:pPr>
              <w:pStyle w:val="ListBullet2"/>
            </w:pPr>
            <w:r w:rsidRPr="00013E37">
              <w:t>defects formed during solidification</w:t>
            </w:r>
          </w:p>
          <w:p w:rsidR="00000000" w:rsidRPr="00013E37" w:rsidP="00013E37">
            <w:pPr>
              <w:pStyle w:val="ListBullet2"/>
            </w:pPr>
            <w:r w:rsidRPr="00013E37">
              <w:t>modification of crystal structure</w:t>
            </w:r>
          </w:p>
          <w:p w:rsidR="00000000" w:rsidRPr="00013E37" w:rsidP="00013E37">
            <w:pPr>
              <w:pStyle w:val="ListBullet2"/>
            </w:pPr>
            <w:r w:rsidRPr="00013E37">
              <w:t>heat treatment processes</w:t>
            </w:r>
          </w:p>
          <w:p w:rsidR="00000000" w:rsidRPr="00013E37" w:rsidP="00013E37">
            <w:pPr>
              <w:pStyle w:val="ListBullet2"/>
            </w:pPr>
            <w:r w:rsidRPr="00013E37">
              <w:t>defects formed during heat treatment</w:t>
            </w:r>
          </w:p>
          <w:p w:rsidR="00000000" w:rsidRPr="00013E37" w:rsidP="00013E37">
            <w:pPr>
              <w:pStyle w:val="ListBullet"/>
            </w:pPr>
            <w:r w:rsidRPr="00013E37">
              <w:t>meaning of equilibrium diagrams representative of a range of metals including aluminium, iron, steel and common non-ferrous alloys:</w:t>
            </w:r>
          </w:p>
          <w:p w:rsidR="00000000" w:rsidRPr="00013E37" w:rsidP="00013E37">
            <w:pPr>
              <w:pStyle w:val="ListBullet2"/>
            </w:pPr>
            <w:r w:rsidRPr="00013E37">
              <w:t>alloy systems</w:t>
            </w:r>
          </w:p>
          <w:p w:rsidR="00000000" w:rsidRPr="00013E37" w:rsidP="00013E37">
            <w:pPr>
              <w:pStyle w:val="ListBullet2"/>
            </w:pPr>
            <w:r w:rsidRPr="00013E37">
              <w:t>solid and liquid solubility</w:t>
            </w:r>
          </w:p>
          <w:p w:rsidR="00000000" w:rsidRPr="00013E37" w:rsidP="00013E37">
            <w:pPr>
              <w:pStyle w:val="ListBullet2"/>
            </w:pPr>
            <w:r w:rsidRPr="00013E37">
              <w:t>basic equilibrium diagrams</w:t>
            </w:r>
          </w:p>
          <w:p w:rsidR="00000000" w:rsidRPr="00013E37" w:rsidP="00013E37">
            <w:pPr>
              <w:pStyle w:val="ListBullet2"/>
            </w:pPr>
            <w:r w:rsidRPr="00013E37">
              <w:t>equilibrium diagrams for common alloys</w:t>
            </w:r>
          </w:p>
          <w:p w:rsidR="00000000" w:rsidRPr="00013E37" w:rsidP="00013E37">
            <w:pPr>
              <w:pStyle w:val="ListBullet"/>
            </w:pPr>
            <w:r w:rsidRPr="00013E37">
              <w:t xml:space="preserve">principles of </w:t>
            </w:r>
            <w:r w:rsidRPr="00013E37">
              <w:t>fusion welding in relation to NDT testing</w:t>
            </w:r>
          </w:p>
          <w:p w:rsidR="00000000" w:rsidRPr="00013E37" w:rsidP="00013E37">
            <w:pPr>
              <w:pStyle w:val="ListBullet"/>
            </w:pPr>
            <w:r w:rsidRPr="00013E37">
              <w:t>defects in fusion welding:</w:t>
            </w:r>
          </w:p>
          <w:p w:rsidR="00000000" w:rsidRPr="00013E37" w:rsidP="00013E37">
            <w:pPr>
              <w:pStyle w:val="ListBullet2"/>
            </w:pPr>
            <w:r w:rsidRPr="00013E37">
              <w:t>processing defects</w:t>
            </w:r>
          </w:p>
          <w:p w:rsidR="00000000" w:rsidRPr="00013E37" w:rsidP="00013E37">
            <w:pPr>
              <w:pStyle w:val="ListBullet2"/>
            </w:pPr>
            <w:r w:rsidRPr="00013E37">
              <w:t>grinding cracks</w:t>
            </w:r>
          </w:p>
          <w:p w:rsidR="00000000" w:rsidRPr="00013E37" w:rsidP="00013E37">
            <w:pPr>
              <w:pStyle w:val="ListBullet2"/>
            </w:pPr>
            <w:r w:rsidRPr="00013E37">
              <w:t>pickling cracks</w:t>
            </w:r>
          </w:p>
          <w:p w:rsidR="00000000" w:rsidRPr="00013E37" w:rsidP="00013E37">
            <w:pPr>
              <w:pStyle w:val="ListBullet2"/>
            </w:pPr>
            <w:r w:rsidRPr="00013E37">
              <w:t>heat treatment cracks</w:t>
            </w:r>
          </w:p>
          <w:p w:rsidR="00000000" w:rsidRPr="00013E37" w:rsidP="00013E37">
            <w:pPr>
              <w:pStyle w:val="ListBullet2"/>
            </w:pPr>
            <w:r w:rsidRPr="00013E37">
              <w:t>service defects</w:t>
            </w:r>
          </w:p>
          <w:p w:rsidR="00000000" w:rsidRPr="00013E37" w:rsidP="00013E37">
            <w:pPr>
              <w:pStyle w:val="ListBullet2"/>
            </w:pPr>
            <w:r w:rsidRPr="00013E37">
              <w:t>fatigue cracks</w:t>
            </w:r>
          </w:p>
          <w:p w:rsidR="00000000" w:rsidRPr="00013E37" w:rsidP="00013E37">
            <w:pPr>
              <w:pStyle w:val="ListBullet2"/>
            </w:pPr>
            <w:r w:rsidRPr="00013E37">
              <w:t>corrosion and stress corrosion cracks</w:t>
            </w:r>
          </w:p>
          <w:p w:rsidR="00000000" w:rsidRPr="00013E37" w:rsidP="00013E37">
            <w:pPr>
              <w:pStyle w:val="ListBullet"/>
            </w:pPr>
            <w:r w:rsidRPr="00013E37">
              <w:t>principles of the formation of castings</w:t>
            </w:r>
          </w:p>
          <w:p w:rsidR="00000000" w:rsidRPr="00013E37" w:rsidP="00013E37">
            <w:pPr>
              <w:pStyle w:val="ListBullet"/>
            </w:pPr>
            <w:r w:rsidRPr="00013E37">
              <w:t>defects in castings</w:t>
            </w:r>
          </w:p>
          <w:p w:rsidR="00000000" w:rsidRPr="00013E37" w:rsidP="00013E37">
            <w:pPr>
              <w:pStyle w:val="ListBullet"/>
            </w:pPr>
            <w:r w:rsidRPr="00013E37">
              <w:t>principles of steel forging</w:t>
            </w:r>
          </w:p>
          <w:p w:rsidR="00000000" w:rsidRPr="00013E37" w:rsidP="00013E37">
            <w:pPr>
              <w:pStyle w:val="ListBullet"/>
            </w:pPr>
            <w:r w:rsidRPr="00013E37">
              <w:t>defects in steel forging</w:t>
            </w:r>
          </w:p>
          <w:p w:rsidR="00000000" w:rsidRPr="00013E37" w:rsidP="00013E37">
            <w:pPr>
              <w:pStyle w:val="ListBullet"/>
            </w:pPr>
            <w:r w:rsidRPr="00013E37">
              <w:t>principles of mechanical testing:</w:t>
            </w:r>
          </w:p>
          <w:p w:rsidR="00000000" w:rsidRPr="00013E37" w:rsidP="00013E37">
            <w:pPr>
              <w:pStyle w:val="ListBullet2"/>
            </w:pPr>
            <w:r w:rsidRPr="00013E37">
              <w:t>mechanical testing</w:t>
            </w:r>
          </w:p>
          <w:p w:rsidR="00000000" w:rsidRPr="00013E37" w:rsidP="00013E37">
            <w:pPr>
              <w:pStyle w:val="ListBullet2"/>
            </w:pPr>
            <w:r w:rsidRPr="00013E37">
              <w:t>tensile testing</w:t>
            </w:r>
          </w:p>
          <w:p w:rsidR="00000000" w:rsidRPr="00013E37" w:rsidP="00013E37">
            <w:pPr>
              <w:pStyle w:val="ListBullet2"/>
            </w:pPr>
            <w:r w:rsidRPr="00013E37">
              <w:t>impact testing</w:t>
            </w:r>
          </w:p>
          <w:p w:rsidR="00000000" w:rsidRPr="00013E37" w:rsidP="00013E37">
            <w:pPr>
              <w:pStyle w:val="ListBullet2"/>
            </w:pPr>
            <w:r w:rsidRPr="00013E37">
              <w:t>hardness testing</w:t>
            </w:r>
          </w:p>
          <w:p w:rsidR="00000000" w:rsidRPr="00013E37" w:rsidP="00013E37">
            <w:pPr>
              <w:pStyle w:val="ListBullet2"/>
            </w:pPr>
            <w:r w:rsidRPr="00013E37">
              <w:t>fatigue testing</w:t>
            </w:r>
          </w:p>
          <w:p w:rsidR="00000000" w:rsidRPr="00013E37" w:rsidP="00013E37">
            <w:pPr>
              <w:pStyle w:val="ListBullet"/>
            </w:pPr>
            <w:r w:rsidRPr="00013E37">
              <w:t>other tests</w:t>
            </w:r>
          </w:p>
        </w:tc>
      </w:tr>
    </w:tbl>
    <w:p w:rsidR="00E43EE5" w:rsidP="00013E37">
      <w:pPr>
        <w:pStyle w:val="BodyText"/>
      </w:pPr>
    </w:p>
    <w:p w:rsidR="00E43EE5" w:rsidP="00013E37">
      <w:pPr>
        <w:pStyle w:val="BodyText"/>
      </w:pPr>
    </w:p>
    <w:p w:rsidR="00000000" w:rsidRPr="00013E37" w:rsidP="00013E37">
      <w:pPr>
        <w:pStyle w:val="AllowPageBreak"/>
      </w:pPr>
    </w:p>
    <w:p w:rsidR="00000000" w:rsidRPr="00013E37" w:rsidP="00013E37">
      <w:pPr>
        <w:pStyle w:val="Heading1"/>
      </w:pPr>
      <w:bookmarkStart w:id="10" w:name="O_462266"/>
      <w:bookmarkEnd w:id="10"/>
      <w:r w:rsidRPr="00013E37">
        <w:t>Evidence Guide</w:t>
      </w:r>
    </w:p>
    <w:tbl>
      <w:tblPr>
        <w:tblW w:w="9570" w:type="dxa"/>
        <w:tblLayout w:type="fixed"/>
        <w:tblCellMar>
          <w:left w:w="62" w:type="dxa"/>
          <w:right w:w="62" w:type="dxa"/>
        </w:tblCellMar>
        <w:tblLook w:val="0000"/>
      </w:tblPr>
      <w:tblGrid>
        <w:gridCol w:w="3908"/>
        <w:gridCol w:w="5662"/>
      </w:tblGrid>
      <w:tr w:rsidTr="00E43E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EVIDENCE GUIDE</w:t>
            </w:r>
          </w:p>
        </w:tc>
      </w:tr>
      <w:tr w:rsidTr="00E43E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The evidence guide provides advice on assessment and must be read in conjunction with the performance criteria, required skills and knowledge, range statement and the Assessment Guidelines for the Training Package.</w:t>
            </w:r>
          </w:p>
        </w:tc>
      </w:tr>
      <w:tr w:rsidTr="00E43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A person who demonstrates competency in this unit must be able to apply metallurgy principles to NDT test selection and interpretation. Competency in this unit cannot be claimed until all prerequisites have been satisfied.</w:t>
            </w:r>
          </w:p>
        </w:tc>
      </w:tr>
      <w:tr w:rsidTr="00E43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Critical aspects for assessment</w:t>
            </w:r>
            <w:r w:rsidRPr="00013E37">
              <w:rPr>
                <w:rStyle w:val="SpecialBold"/>
              </w:rPr>
              <w:t xml:space="preserve">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Assessors must be satisfied that the candidate can competently and consistently perform all elements of the unit as specified by the criteria, including required knowledge, and be capable of app</w:t>
            </w:r>
            <w:r w:rsidRPr="00013E37">
              <w:t>lying the competency in new and different situations and contexts.</w:t>
            </w:r>
          </w:p>
        </w:tc>
      </w:tr>
      <w:tr w:rsidTr="00E43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This unit may be assessed on the job, off the job or a combination of both on and off the job. Where assessment occurs off the job, that is</w:t>
            </w:r>
            <w:r w:rsidRPr="00013E37">
              <w:t xml:space="preserve"> the candidate is not in productive work, then an appropriate simulation must be used where the range of conditions reflects realistic workplace situations. The competencies covered by this unit would be demonstrated by an individual working alone or as pa</w:t>
            </w:r>
            <w:r w:rsidRPr="00013E37">
              <w:t>rt of a team. The assessment environment should not disadvantage the candidate.</w:t>
            </w:r>
          </w:p>
          <w:p w:rsidR="00000000" w:rsidP="00013E37">
            <w:pPr>
              <w:pStyle w:val="BodyText"/>
              <w:rPr>
                <w:lang w:val="en-NZ"/>
              </w:rPr>
            </w:pPr>
            <w:r w:rsidRPr="00013E37">
              <w:t>This unit could be assessed in conjunction with any other units addressing the safety, quality, communication, materials handling, recording and reporting associated with applying basic metallurgy principles as related to non-destructive testing techniques</w:t>
            </w:r>
            <w:r w:rsidRPr="00013E37">
              <w:t>, or other units requiring the exercise of the skills and knowledge covered by this unit.</w:t>
            </w:r>
          </w:p>
        </w:tc>
      </w:tr>
      <w:tr w:rsidTr="00E43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Assessors should gather a range of evidence that is valid, sufficient, current and authentic. Evidence can be gathered through a variety of ways</w:t>
            </w:r>
            <w:r w:rsidRPr="00013E37">
              <w:t xml:space="preserve"> including direct observation, supervisor's reports, project work, samples and questioning. Questioning techniques should not require language, literacy and numeracy skills beyond those required in this unit of competency. The candidate must have access to</w:t>
            </w:r>
            <w:r w:rsidRPr="00013E37">
              <w:t xml:space="preserve"> all tools, equipment, materials and documentation required. The candidate must be permitted to refer to any relevant workplace procedures, product and manufacturing specifications, codes, standards, manuals and reference materials.</w:t>
            </w:r>
          </w:p>
        </w:tc>
      </w:tr>
      <w:tr w:rsidTr="00E43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Guidance information f</w:t>
            </w:r>
            <w:r w:rsidRPr="00013E37">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p>
        </w:tc>
      </w:tr>
    </w:tbl>
    <w:p w:rsidR="00E43EE5" w:rsidP="00013E37">
      <w:pPr>
        <w:pStyle w:val="BodyText"/>
      </w:pPr>
    </w:p>
    <w:p w:rsidR="00E43EE5" w:rsidP="00013E37">
      <w:pPr>
        <w:pStyle w:val="BodyText"/>
      </w:pPr>
    </w:p>
    <w:p w:rsidR="00000000" w:rsidRPr="00013E37" w:rsidP="00013E37">
      <w:pPr>
        <w:pStyle w:val="Heading1"/>
      </w:pPr>
      <w:bookmarkStart w:id="11" w:name="O_462261"/>
      <w:bookmarkEnd w:id="11"/>
      <w:r w:rsidRPr="00013E37">
        <w:t>Range Statement</w:t>
      </w:r>
    </w:p>
    <w:tbl>
      <w:tblPr>
        <w:tblW w:w="0" w:type="auto"/>
        <w:tblLayout w:type="fixed"/>
        <w:tblCellMar>
          <w:left w:w="62" w:type="dxa"/>
          <w:right w:w="62" w:type="dxa"/>
        </w:tblCellMar>
        <w:tblLook w:val="0000"/>
      </w:tblPr>
      <w:tblGrid>
        <w:gridCol w:w="3509"/>
        <w:gridCol w:w="5013"/>
      </w:tblGrid>
      <w:tr w:rsidTr="00E43E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RANGE STATEMENT</w:t>
            </w:r>
          </w:p>
        </w:tc>
      </w:tr>
      <w:tr w:rsidTr="00E43E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 xml:space="preserve">The range statement relates to the unit of competency as a whole. It allows for different work environments and situations that may affect </w:t>
            </w:r>
            <w:r w:rsidRPr="00013E37">
              <w:t>performance. Bold italicised wording, if used in the performance criteria, is detailed below. Essential operating conditions that may be present with training and assessment (depending on the work situation, needs of the candidate, accessibility of the ite</w:t>
            </w:r>
            <w:r w:rsidRPr="00013E37">
              <w:t>m, and local industry and regional contexts) may also be included.</w:t>
            </w:r>
          </w:p>
        </w:tc>
      </w:tr>
      <w:tr w:rsidTr="00E43E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Principles and methods for fusion welding of metals and alloys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ListBullet"/>
            </w:pPr>
            <w:r w:rsidRPr="00013E37">
              <w:t>MMAW</w:t>
            </w:r>
          </w:p>
          <w:p w:rsidR="00000000" w:rsidRPr="00013E37" w:rsidP="00013E37">
            <w:pPr>
              <w:pStyle w:val="ListBullet"/>
            </w:pPr>
            <w:r w:rsidRPr="00013E37">
              <w:t>SAW</w:t>
            </w:r>
          </w:p>
          <w:p w:rsidR="00000000" w:rsidRPr="00013E37" w:rsidP="00013E37">
            <w:pPr>
              <w:pStyle w:val="ListBullet"/>
            </w:pPr>
            <w:r w:rsidRPr="00013E37">
              <w:t>GMAW</w:t>
            </w:r>
          </w:p>
          <w:p w:rsidR="00000000" w:rsidRPr="00013E37" w:rsidP="00013E37">
            <w:pPr>
              <w:pStyle w:val="ListBullet"/>
            </w:pPr>
            <w:r w:rsidRPr="00013E37">
              <w:t>GTAW</w:t>
            </w:r>
          </w:p>
          <w:p w:rsidR="00000000" w:rsidP="00013E37">
            <w:pPr>
              <w:pStyle w:val="ListBullet"/>
              <w:rPr>
                <w:lang w:val="en-NZ"/>
              </w:rPr>
            </w:pPr>
            <w:r w:rsidRPr="00013E37">
              <w:t>FCAW</w:t>
            </w:r>
          </w:p>
        </w:tc>
      </w:tr>
      <w:tr w:rsidTr="00E43E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Defects in weldments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Cracks, lack of fusion, cavities, imperfect shape, solid inclusions, miscellaneous</w:t>
            </w:r>
          </w:p>
        </w:tc>
      </w:tr>
      <w:tr w:rsidTr="00E43E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Defects in metal and alloy castings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Shrinkage cavities, hot tears, cold cracks, gas holes</w:t>
            </w:r>
          </w:p>
        </w:tc>
      </w:tr>
      <w:tr w:rsidTr="00E43E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Principles and methods used to produce steel forgings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t>Deformations, strengthening</w:t>
            </w:r>
            <w:r w:rsidRPr="00013E37">
              <w:t xml:space="preserve"> mechanisms, annealing</w:t>
            </w:r>
          </w:p>
        </w:tc>
      </w:tr>
      <w:tr w:rsidTr="00E43E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Principles of mechanical testing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Impact, tensile, hardness testing</w:t>
            </w:r>
          </w:p>
        </w:tc>
      </w:tr>
    </w:tbl>
    <w:p w:rsidR="00E43EE5" w:rsidP="00013E37">
      <w:pPr>
        <w:pStyle w:val="BodyText"/>
      </w:pPr>
    </w:p>
    <w:p w:rsidR="00E43EE5" w:rsidP="00013E37">
      <w:pPr>
        <w:pStyle w:val="BodyText"/>
      </w:pPr>
    </w:p>
    <w:p w:rsidR="00000000" w:rsidRPr="00013E37" w:rsidP="00013E37">
      <w:pPr>
        <w:pStyle w:val="Heading1"/>
      </w:pPr>
      <w:bookmarkStart w:id="12" w:name="O_462258"/>
      <w:bookmarkEnd w:id="12"/>
      <w:r w:rsidRPr="00013E37">
        <w:t>Unit Sector(s)</w:t>
      </w:r>
    </w:p>
    <w:tbl>
      <w:tblPr>
        <w:tblW w:w="0" w:type="auto"/>
        <w:tblLayout w:type="fixed"/>
        <w:tblCellMar>
          <w:left w:w="62" w:type="dxa"/>
          <w:right w:w="62" w:type="dxa"/>
        </w:tblCellMar>
        <w:tblLook w:val="0000"/>
      </w:tblPr>
      <w:tblGrid>
        <w:gridCol w:w="2654"/>
        <w:gridCol w:w="5868"/>
      </w:tblGrid>
      <w:tr w:rsidTr="00E43E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p>
        </w:tc>
      </w:tr>
    </w:tbl>
    <w:p w:rsidR="00E43EE5" w:rsidP="00013E37">
      <w:pPr>
        <w:pStyle w:val="BodyText"/>
      </w:pPr>
    </w:p>
    <w:p w:rsidR="00E43EE5" w:rsidP="00013E37">
      <w:pPr>
        <w:pStyle w:val="BodyText"/>
      </w:pPr>
    </w:p>
    <w:p w:rsidR="00000000" w:rsidRPr="00013E37" w:rsidP="00013E37">
      <w:pPr>
        <w:pStyle w:val="Heading1"/>
      </w:pPr>
      <w:bookmarkStart w:id="13" w:name="O_462270"/>
      <w:bookmarkEnd w:id="13"/>
      <w:r w:rsidRPr="00013E37">
        <w:t>Co-requisite units</w:t>
      </w:r>
    </w:p>
    <w:tbl>
      <w:tblPr>
        <w:tblW w:w="0" w:type="auto"/>
        <w:tblLayout w:type="fixed"/>
        <w:tblCellMar>
          <w:left w:w="62" w:type="dxa"/>
          <w:right w:w="62" w:type="dxa"/>
        </w:tblCellMar>
        <w:tblLook w:val="0000"/>
      </w:tblPr>
      <w:tblGrid>
        <w:gridCol w:w="2641"/>
        <w:gridCol w:w="1322"/>
        <w:gridCol w:w="4559"/>
      </w:tblGrid>
      <w:tr w:rsidTr="00E43E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p>
        </w:tc>
      </w:tr>
      <w:tr w:rsidTr="00E43E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p>
        </w:tc>
      </w:tr>
      <w:tr w:rsidTr="00E43E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p>
        </w:tc>
      </w:tr>
    </w:tbl>
    <w:p w:rsidR="00E43EE5" w:rsidP="00013E37">
      <w:pPr>
        <w:pStyle w:val="BodyText"/>
      </w:pPr>
    </w:p>
    <w:p w:rsidR="00E43EE5" w:rsidP="00013E37">
      <w:pPr>
        <w:pStyle w:val="BodyText"/>
      </w:pPr>
    </w:p>
    <w:p w:rsidR="00000000" w:rsidRPr="00013E37" w:rsidP="00013E37">
      <w:pPr>
        <w:pStyle w:val="Heading1"/>
      </w:pPr>
      <w:bookmarkStart w:id="14" w:name="O_462271"/>
      <w:bookmarkEnd w:id="14"/>
      <w:r w:rsidRPr="00013E37">
        <w:t>Competency field</w:t>
      </w:r>
    </w:p>
    <w:tbl>
      <w:tblPr>
        <w:tblW w:w="0" w:type="auto"/>
        <w:tblLayout w:type="fixed"/>
        <w:tblCellMar>
          <w:left w:w="62" w:type="dxa"/>
          <w:right w:w="62" w:type="dxa"/>
        </w:tblCellMar>
        <w:tblLook w:val="0000"/>
      </w:tblPr>
      <w:tblGrid>
        <w:gridCol w:w="2779"/>
        <w:gridCol w:w="5743"/>
      </w:tblGrid>
      <w:tr w:rsidTr="00E43EE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E37">
            <w:pPr>
              <w:pStyle w:val="BodyText"/>
              <w:rPr>
                <w:lang w:val="en-NZ"/>
              </w:rPr>
            </w:pPr>
            <w:r w:rsidRPr="00013E3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E37" w:rsidP="00013E37">
            <w:pPr>
              <w:pStyle w:val="BodyText"/>
            </w:pPr>
            <w:r w:rsidRPr="00013E37">
              <w:t>Non-destructive testing</w:t>
            </w:r>
          </w:p>
        </w:tc>
      </w:tr>
    </w:tbl>
    <w:p w:rsidR="00E43EE5" w:rsidP="00013E37">
      <w:pPr>
        <w:pStyle w:val="BodyText"/>
      </w:pPr>
    </w:p>
    <w:p w:rsidR="00E43EE5" w:rsidP="00013E37">
      <w:pPr>
        <w:pStyle w:val="BodyText"/>
      </w:pPr>
    </w:p>
    <w:p w:rsidR="00000000" w:rsidRPr="00013E37" w:rsidP="00013E37"/>
    <w:sectPr w:rsidSect="00013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EE5" w:rsidP="00E43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E5" w:rsidP="00013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3EE5" w:rsidP="00013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3EE5" w:rsidP="00013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EE5" w:rsidP="00E43E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E5" w:rsidP="00013E37">
    <w:pPr>
      <w:pStyle w:val="Header"/>
      <w:framePr w:wrap="around"/>
    </w:pPr>
    <w:r>
      <w:fldChar w:fldCharType="begin"/>
    </w:r>
    <w:r>
      <w:instrText xml:space="preserve"> TITLE   \* MERGEFORMAT </w:instrText>
    </w:r>
    <w:r>
      <w:fldChar w:fldCharType="separate"/>
    </w:r>
    <w:r>
      <w:t>MEM24012C Apply metallurgy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EE5" w:rsidP="00013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A1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E3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41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E37"/>
    <w:pPr>
      <w:spacing w:before="360" w:after="60"/>
      <w:outlineLvl w:val="0"/>
    </w:pPr>
    <w:rPr>
      <w:sz w:val="32"/>
    </w:rPr>
  </w:style>
  <w:style w:type="paragraph" w:styleId="Heading2">
    <w:name w:val="heading 2"/>
    <w:basedOn w:val="HeadingBase"/>
    <w:next w:val="BodyText"/>
    <w:link w:val="Heading2Char"/>
    <w:qFormat/>
    <w:rsid w:val="00013E37"/>
    <w:pPr>
      <w:keepLines/>
      <w:spacing w:before="240" w:after="120"/>
      <w:outlineLvl w:val="1"/>
    </w:pPr>
    <w:rPr>
      <w:sz w:val="28"/>
      <w:szCs w:val="40"/>
    </w:rPr>
  </w:style>
  <w:style w:type="paragraph" w:styleId="Heading3">
    <w:name w:val="heading 3"/>
    <w:basedOn w:val="HeadingBase"/>
    <w:next w:val="BodyText"/>
    <w:link w:val="Heading3Char"/>
    <w:qFormat/>
    <w:rsid w:val="00013E37"/>
    <w:pPr>
      <w:spacing w:before="180" w:after="120"/>
      <w:outlineLvl w:val="2"/>
    </w:pPr>
    <w:rPr>
      <w:spacing w:val="-10"/>
      <w:kern w:val="32"/>
    </w:rPr>
  </w:style>
  <w:style w:type="paragraph" w:styleId="Heading4">
    <w:name w:val="heading 4"/>
    <w:basedOn w:val="HeadingBase"/>
    <w:next w:val="BodyText"/>
    <w:link w:val="Heading4Char"/>
    <w:qFormat/>
    <w:rsid w:val="00013E37"/>
    <w:pPr>
      <w:spacing w:before="160" w:after="120"/>
      <w:outlineLvl w:val="3"/>
    </w:pPr>
    <w:rPr>
      <w:sz w:val="22"/>
    </w:rPr>
  </w:style>
  <w:style w:type="paragraph" w:styleId="Heading5">
    <w:name w:val="heading 5"/>
    <w:basedOn w:val="HeadingBase"/>
    <w:next w:val="Normal"/>
    <w:link w:val="Heading5Char"/>
    <w:qFormat/>
    <w:rsid w:val="00013E37"/>
    <w:pPr>
      <w:spacing w:before="80"/>
      <w:outlineLvl w:val="4"/>
    </w:pPr>
    <w:rPr>
      <w:color w:val="918585"/>
      <w:sz w:val="20"/>
    </w:rPr>
  </w:style>
  <w:style w:type="paragraph" w:styleId="Heading6">
    <w:name w:val="heading 6"/>
    <w:basedOn w:val="HeadingBase"/>
    <w:next w:val="Normal"/>
    <w:link w:val="Heading6Char"/>
    <w:qFormat/>
    <w:rsid w:val="00013E37"/>
    <w:pPr>
      <w:spacing w:before="60"/>
      <w:outlineLvl w:val="5"/>
    </w:pPr>
    <w:rPr>
      <w:color w:val="918585"/>
      <w:sz w:val="20"/>
    </w:rPr>
  </w:style>
  <w:style w:type="paragraph" w:styleId="Heading7">
    <w:name w:val="heading 7"/>
    <w:basedOn w:val="Normal"/>
    <w:next w:val="Normal"/>
    <w:link w:val="Heading7Char"/>
    <w:qFormat/>
    <w:rsid w:val="00013E37"/>
    <w:pPr>
      <w:ind w:left="720"/>
      <w:outlineLvl w:val="6"/>
    </w:pPr>
    <w:rPr>
      <w:i/>
    </w:rPr>
  </w:style>
  <w:style w:type="paragraph" w:styleId="Heading8">
    <w:name w:val="heading 8"/>
    <w:basedOn w:val="Normal"/>
    <w:next w:val="Normal"/>
    <w:link w:val="Heading8Char"/>
    <w:qFormat/>
    <w:rsid w:val="00013E37"/>
    <w:pPr>
      <w:ind w:left="720"/>
      <w:outlineLvl w:val="7"/>
    </w:pPr>
    <w:rPr>
      <w:i/>
    </w:rPr>
  </w:style>
  <w:style w:type="paragraph" w:styleId="Heading9">
    <w:name w:val="heading 9"/>
    <w:basedOn w:val="Normal"/>
    <w:next w:val="Normal"/>
    <w:link w:val="Heading9Char"/>
    <w:qFormat/>
    <w:rsid w:val="00013E37"/>
    <w:pPr>
      <w:ind w:left="720"/>
      <w:outlineLvl w:val="8"/>
    </w:pPr>
    <w:rPr>
      <w:i/>
    </w:rPr>
  </w:style>
  <w:style w:type="character" w:default="1" w:styleId="DefaultParagraphFont">
    <w:name w:val="Default Paragraph Font"/>
    <w:uiPriority w:val="1"/>
    <w:unhideWhenUsed/>
    <w:rsid w:val="00013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E37"/>
  </w:style>
  <w:style w:type="character" w:customStyle="1" w:styleId="Heading1Char">
    <w:name w:val="Heading 1 Char"/>
    <w:link w:val="Heading1"/>
    <w:rsid w:val="00013E37"/>
    <w:rPr>
      <w:rFonts w:ascii="Times New Roman" w:eastAsia="Times New Roman" w:hAnsi="Times New Roman" w:cs="Times New Roman"/>
      <w:b/>
      <w:sz w:val="32"/>
      <w:szCs w:val="20"/>
      <w:lang w:eastAsia="en-US"/>
    </w:rPr>
  </w:style>
  <w:style w:type="paragraph" w:styleId="BodyText">
    <w:name w:val="Body Text"/>
    <w:basedOn w:val="Normal"/>
    <w:link w:val="BodyTextChar"/>
    <w:rsid w:val="00013E37"/>
    <w:pPr>
      <w:spacing w:before="120" w:after="120"/>
      <w:contextualSpacing/>
    </w:pPr>
    <w:rPr>
      <w:rFonts w:ascii="Times New Roman" w:hAnsi="Times New Roman"/>
      <w:sz w:val="24"/>
      <w:szCs w:val="22"/>
    </w:rPr>
  </w:style>
  <w:style w:type="character" w:customStyle="1" w:styleId="BodyTextChar">
    <w:name w:val="Body Text Char"/>
    <w:link w:val="BodyText"/>
    <w:rsid w:val="00013E37"/>
    <w:rPr>
      <w:rFonts w:ascii="Times New Roman" w:eastAsia="Times New Roman" w:hAnsi="Times New Roman" w:cs="Times New Roman"/>
      <w:sz w:val="24"/>
      <w:lang w:val="en-US" w:eastAsia="en-US"/>
    </w:rPr>
  </w:style>
  <w:style w:type="paragraph" w:styleId="Footer">
    <w:name w:val="footer"/>
    <w:basedOn w:val="Normal"/>
    <w:link w:val="FooterChar"/>
    <w:rsid w:val="00013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3E37"/>
    <w:rPr>
      <w:rFonts w:ascii="Times New Roman" w:eastAsia="Times New Roman" w:hAnsi="Times New Roman" w:cs="Times New Roman"/>
      <w:sz w:val="16"/>
      <w:lang w:val="en-US" w:eastAsia="en-US"/>
    </w:rPr>
  </w:style>
  <w:style w:type="paragraph" w:styleId="List">
    <w:name w:val="List"/>
    <w:basedOn w:val="BodyText"/>
    <w:next w:val="BodyText"/>
    <w:rsid w:val="00013E37"/>
    <w:pPr>
      <w:tabs>
        <w:tab w:val="left" w:pos="340"/>
      </w:tabs>
      <w:spacing w:before="60" w:after="60"/>
      <w:ind w:left="340" w:hanging="340"/>
    </w:pPr>
  </w:style>
  <w:style w:type="paragraph" w:styleId="ListBullet">
    <w:name w:val="List Bullet"/>
    <w:basedOn w:val="List"/>
    <w:rsid w:val="00013E37"/>
    <w:pPr>
      <w:numPr>
        <w:numId w:val="13"/>
      </w:numPr>
      <w:tabs>
        <w:tab w:val="clear" w:pos="340"/>
      </w:tabs>
      <w:spacing w:before="40" w:after="40"/>
    </w:pPr>
  </w:style>
  <w:style w:type="character" w:customStyle="1" w:styleId="SpecialBold">
    <w:name w:val="Special Bold"/>
    <w:rsid w:val="00013E37"/>
    <w:rPr>
      <w:b/>
      <w:spacing w:val="0"/>
    </w:rPr>
  </w:style>
  <w:style w:type="paragraph" w:styleId="ListBullet2">
    <w:name w:val="List Bullet 2"/>
    <w:basedOn w:val="List2"/>
    <w:rsid w:val="00013E37"/>
    <w:pPr>
      <w:numPr>
        <w:numId w:val="14"/>
      </w:numPr>
      <w:tabs>
        <w:tab w:val="clear" w:pos="680"/>
      </w:tabs>
    </w:pPr>
  </w:style>
  <w:style w:type="paragraph" w:styleId="Header">
    <w:name w:val="header"/>
    <w:basedOn w:val="Normal"/>
    <w:link w:val="HeaderChar"/>
    <w:rsid w:val="00013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3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E37"/>
    <w:pPr>
      <w:spacing w:before="240" w:after="120"/>
      <w:outlineLvl w:val="0"/>
    </w:pPr>
    <w:rPr>
      <w:rFonts w:ascii="Times New Roman" w:hAnsi="Times New Roman"/>
      <w:b/>
      <w:sz w:val="28"/>
    </w:rPr>
  </w:style>
  <w:style w:type="paragraph" w:customStyle="1" w:styleId="AllowPageBreak">
    <w:name w:val="AllowPageBreak"/>
    <w:rsid w:val="00013E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3E37"/>
    <w:pPr>
      <w:tabs>
        <w:tab w:val="left" w:pos="680"/>
      </w:tabs>
      <w:spacing w:before="60" w:after="60"/>
      <w:ind w:left="680" w:hanging="340"/>
    </w:pPr>
  </w:style>
  <w:style w:type="character" w:customStyle="1" w:styleId="Heading2Char">
    <w:name w:val="Heading 2 Char"/>
    <w:link w:val="Heading2"/>
    <w:rsid w:val="00013E37"/>
    <w:rPr>
      <w:rFonts w:ascii="Times New Roman" w:eastAsia="Times New Roman" w:hAnsi="Times New Roman" w:cs="Times New Roman"/>
      <w:b/>
      <w:sz w:val="28"/>
      <w:szCs w:val="40"/>
      <w:lang w:eastAsia="en-US"/>
    </w:rPr>
  </w:style>
  <w:style w:type="character" w:customStyle="1" w:styleId="Heading3Char">
    <w:name w:val="Heading 3 Char"/>
    <w:link w:val="Heading3"/>
    <w:rsid w:val="00013E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3E37"/>
    <w:rPr>
      <w:rFonts w:ascii="Times New Roman" w:eastAsia="Times New Roman" w:hAnsi="Times New Roman" w:cs="Times New Roman"/>
      <w:b/>
      <w:szCs w:val="20"/>
      <w:lang w:eastAsia="en-US"/>
    </w:rPr>
  </w:style>
  <w:style w:type="character" w:customStyle="1" w:styleId="Heading5Char">
    <w:name w:val="Heading 5 Char"/>
    <w:link w:val="Heading5"/>
    <w:rsid w:val="00013E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3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E37"/>
    <w:rPr>
      <w:rFonts w:ascii="Courier New" w:eastAsia="Times New Roman" w:hAnsi="Courier New" w:cs="Times New Roman"/>
      <w:i/>
      <w:szCs w:val="20"/>
      <w:lang w:val="en-US" w:eastAsia="en-US"/>
    </w:rPr>
  </w:style>
  <w:style w:type="paragraph" w:customStyle="1" w:styleId="HeadingBase">
    <w:name w:val="Heading Base"/>
    <w:rsid w:val="00013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E37"/>
    <w:pPr>
      <w:tabs>
        <w:tab w:val="right" w:leader="dot" w:pos="9072"/>
      </w:tabs>
      <w:ind w:left="567"/>
    </w:pPr>
    <w:rPr>
      <w:szCs w:val="22"/>
    </w:rPr>
  </w:style>
  <w:style w:type="paragraph" w:customStyle="1" w:styleId="TOCBase">
    <w:name w:val="TOC Base"/>
    <w:rsid w:val="00013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E37"/>
    <w:pPr>
      <w:tabs>
        <w:tab w:val="right" w:leader="dot" w:pos="9072"/>
      </w:tabs>
      <w:spacing w:before="40" w:after="40"/>
      <w:ind w:left="284"/>
    </w:pPr>
    <w:rPr>
      <w:rFonts w:ascii="Times New Roman" w:hAnsi="Times New Roman"/>
    </w:rPr>
  </w:style>
  <w:style w:type="paragraph" w:styleId="TOC1">
    <w:name w:val="toc 1"/>
    <w:basedOn w:val="TOCBase"/>
    <w:next w:val="Normal"/>
    <w:rsid w:val="00013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E37"/>
    <w:pPr>
      <w:spacing w:before="5040"/>
      <w:jc w:val="center"/>
    </w:pPr>
    <w:rPr>
      <w:sz w:val="48"/>
      <w:szCs w:val="72"/>
      <w:lang w:val="en-US"/>
    </w:rPr>
  </w:style>
  <w:style w:type="character" w:customStyle="1" w:styleId="TitleChar">
    <w:name w:val="Title Char"/>
    <w:link w:val="Title"/>
    <w:rsid w:val="00013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E37"/>
    <w:pPr>
      <w:tabs>
        <w:tab w:val="left" w:pos="3600"/>
        <w:tab w:val="left" w:pos="3958"/>
      </w:tabs>
    </w:pPr>
  </w:style>
  <w:style w:type="paragraph" w:customStyle="1" w:styleId="Note">
    <w:name w:val="Note"/>
    <w:basedOn w:val="BodyText"/>
    <w:rsid w:val="00013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E37"/>
    <w:pPr>
      <w:framePr w:wrap="auto" w:hAnchor="text" w:y="6049"/>
    </w:pPr>
    <w:rPr>
      <w:color w:val="000000"/>
      <w:sz w:val="40"/>
    </w:rPr>
  </w:style>
  <w:style w:type="paragraph" w:customStyle="1" w:styleId="TOCTitle">
    <w:name w:val="TOCTitle"/>
    <w:basedOn w:val="Heading1"/>
    <w:rsid w:val="00013E37"/>
    <w:pPr>
      <w:spacing w:after="240"/>
      <w:jc w:val="center"/>
      <w:outlineLvl w:val="9"/>
    </w:pPr>
    <w:rPr>
      <w:caps/>
    </w:rPr>
  </w:style>
  <w:style w:type="paragraph" w:customStyle="1" w:styleId="Version">
    <w:name w:val="Version"/>
    <w:rsid w:val="00013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E37"/>
    <w:pPr>
      <w:keepNext w:val="0"/>
      <w:tabs>
        <w:tab w:val="right" w:pos="4176"/>
      </w:tabs>
      <w:ind w:left="198" w:hanging="198"/>
    </w:pPr>
    <w:rPr>
      <w:rFonts w:ascii="Garamond" w:hAnsi="Garamond"/>
    </w:rPr>
  </w:style>
  <w:style w:type="paragraph" w:styleId="IndexHeading">
    <w:name w:val="index heading"/>
    <w:basedOn w:val="Normal"/>
    <w:next w:val="Index1"/>
    <w:semiHidden/>
    <w:rsid w:val="00013E37"/>
    <w:pPr>
      <w:spacing w:before="120" w:after="120"/>
    </w:pPr>
    <w:rPr>
      <w:rFonts w:ascii="Arial" w:hAnsi="Arial"/>
      <w:b/>
      <w:color w:val="918585"/>
      <w:sz w:val="24"/>
    </w:rPr>
  </w:style>
  <w:style w:type="paragraph" w:customStyle="1" w:styleId="Chapter">
    <w:name w:val="Chapter"/>
    <w:basedOn w:val="Normal"/>
    <w:rsid w:val="00013E37"/>
    <w:pPr>
      <w:spacing w:before="240"/>
    </w:pPr>
    <w:rPr>
      <w:rFonts w:ascii="Times New Roman" w:hAnsi="Times New Roman"/>
      <w:smallCaps/>
      <w:spacing w:val="80"/>
      <w:sz w:val="28"/>
    </w:rPr>
  </w:style>
  <w:style w:type="paragraph" w:customStyle="1" w:styleId="InChapter">
    <w:name w:val="InChapter"/>
    <w:basedOn w:val="Heading3"/>
    <w:rsid w:val="00013E37"/>
    <w:pPr>
      <w:spacing w:after="240"/>
      <w:outlineLvl w:val="9"/>
    </w:pPr>
    <w:rPr>
      <w:noProof/>
    </w:rPr>
  </w:style>
  <w:style w:type="paragraph" w:styleId="Index2">
    <w:name w:val="index 2"/>
    <w:basedOn w:val="Normal"/>
    <w:next w:val="Normal"/>
    <w:semiHidden/>
    <w:rsid w:val="00013E37"/>
    <w:pPr>
      <w:tabs>
        <w:tab w:val="right" w:pos="4176"/>
      </w:tabs>
      <w:ind w:left="568" w:hanging="284"/>
    </w:pPr>
    <w:rPr>
      <w:rFonts w:ascii="Garamond" w:hAnsi="Garamond"/>
    </w:rPr>
  </w:style>
  <w:style w:type="paragraph" w:customStyle="1" w:styleId="Byline">
    <w:name w:val="Byline"/>
    <w:rsid w:val="00013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E37"/>
    <w:pPr>
      <w:tabs>
        <w:tab w:val="clear" w:pos="3600"/>
        <w:tab w:val="clear" w:pos="3958"/>
      </w:tabs>
      <w:jc w:val="right"/>
    </w:pPr>
  </w:style>
  <w:style w:type="character" w:styleId="Emphasis">
    <w:name w:val="Emphasis"/>
    <w:qFormat/>
    <w:rsid w:val="00013E37"/>
    <w:rPr>
      <w:i/>
    </w:rPr>
  </w:style>
  <w:style w:type="paragraph" w:styleId="Caption">
    <w:name w:val="caption"/>
    <w:basedOn w:val="BodyText"/>
    <w:next w:val="Normal"/>
    <w:qFormat/>
    <w:rsid w:val="00013E37"/>
    <w:pPr>
      <w:framePr w:w="2268" w:hSpace="181" w:vSpace="181" w:wrap="around" w:vAnchor="text" w:hAnchor="page" w:x="1135" w:y="285" w:anchorLock="1"/>
    </w:pPr>
    <w:rPr>
      <w:i/>
    </w:rPr>
  </w:style>
  <w:style w:type="paragraph" w:customStyle="1" w:styleId="MiniTOCTitle">
    <w:name w:val="MiniTOCTitle"/>
    <w:basedOn w:val="Heading4"/>
    <w:rsid w:val="00013E37"/>
    <w:pPr>
      <w:spacing w:before="240"/>
      <w:outlineLvl w:val="9"/>
    </w:pPr>
    <w:rPr>
      <w:noProof/>
      <w:sz w:val="24"/>
    </w:rPr>
  </w:style>
  <w:style w:type="paragraph" w:customStyle="1" w:styleId="MiniTOCItem">
    <w:name w:val="MiniTOCItem"/>
    <w:basedOn w:val="ListBullet"/>
    <w:rsid w:val="00013E37"/>
    <w:pPr>
      <w:numPr>
        <w:numId w:val="0"/>
      </w:numPr>
      <w:tabs>
        <w:tab w:val="right" w:leader="dot" w:pos="6521"/>
      </w:tabs>
      <w:spacing w:before="0" w:after="0"/>
    </w:pPr>
  </w:style>
  <w:style w:type="paragraph" w:customStyle="1" w:styleId="TOFTitle">
    <w:name w:val="TOFTitle"/>
    <w:basedOn w:val="TOCTitle"/>
    <w:rsid w:val="00013E37"/>
  </w:style>
  <w:style w:type="paragraph" w:styleId="TableofFigures">
    <w:name w:val="table of figures"/>
    <w:basedOn w:val="Normal"/>
    <w:next w:val="Normal"/>
    <w:semiHidden/>
    <w:rsid w:val="00013E37"/>
    <w:pPr>
      <w:tabs>
        <w:tab w:val="right" w:leader="dot" w:pos="9072"/>
      </w:tabs>
      <w:ind w:left="970" w:hanging="403"/>
    </w:pPr>
    <w:rPr>
      <w:rFonts w:ascii="Times New Roman" w:hAnsi="Times New Roman"/>
      <w:b/>
    </w:rPr>
  </w:style>
  <w:style w:type="paragraph" w:styleId="ListNumber">
    <w:name w:val="List Number"/>
    <w:basedOn w:val="List"/>
    <w:rsid w:val="00013E37"/>
    <w:pPr>
      <w:numPr>
        <w:numId w:val="11"/>
      </w:numPr>
    </w:pPr>
  </w:style>
  <w:style w:type="character" w:customStyle="1" w:styleId="WingdingSymbols">
    <w:name w:val="Wingding Symbols"/>
    <w:rsid w:val="00013E37"/>
    <w:rPr>
      <w:rFonts w:ascii="Wingdings" w:hAnsi="Wingdings"/>
    </w:rPr>
  </w:style>
  <w:style w:type="paragraph" w:customStyle="1" w:styleId="TableHeading">
    <w:name w:val="Table Heading"/>
    <w:basedOn w:val="HeadingBase"/>
    <w:rsid w:val="00013E37"/>
    <w:pPr>
      <w:keepLines/>
      <w:pBdr>
        <w:bottom w:val="single" w:sz="6" w:space="1" w:color="918585"/>
      </w:pBdr>
      <w:spacing w:before="240"/>
    </w:pPr>
  </w:style>
  <w:style w:type="character" w:customStyle="1" w:styleId="HotSpot">
    <w:name w:val="HotSpot"/>
    <w:rsid w:val="00013E37"/>
    <w:rPr>
      <w:color w:val="0033CC"/>
      <w:u w:val="none"/>
    </w:rPr>
  </w:style>
  <w:style w:type="paragraph" w:customStyle="1" w:styleId="BodyTextRight">
    <w:name w:val="Body Text Right"/>
    <w:basedOn w:val="BodyText"/>
    <w:rsid w:val="00013E37"/>
    <w:pPr>
      <w:spacing w:before="0" w:after="0"/>
      <w:jc w:val="right"/>
    </w:pPr>
  </w:style>
  <w:style w:type="paragraph" w:styleId="Index3">
    <w:name w:val="index 3"/>
    <w:basedOn w:val="ListNumber2"/>
    <w:next w:val="Normal"/>
    <w:semiHidden/>
    <w:rsid w:val="00013E37"/>
    <w:pPr>
      <w:numPr>
        <w:numId w:val="0"/>
      </w:numPr>
      <w:tabs>
        <w:tab w:val="right" w:leader="dot" w:pos="4176"/>
      </w:tabs>
    </w:pPr>
  </w:style>
  <w:style w:type="paragraph" w:styleId="ListNumber2">
    <w:name w:val="List Number 2"/>
    <w:basedOn w:val="List2"/>
    <w:rsid w:val="00013E37"/>
    <w:pPr>
      <w:numPr>
        <w:numId w:val="10"/>
      </w:numPr>
      <w:tabs>
        <w:tab w:val="clear" w:pos="1060"/>
      </w:tabs>
    </w:pPr>
  </w:style>
  <w:style w:type="paragraph" w:customStyle="1" w:styleId="MarginNote">
    <w:name w:val="Margin Note"/>
    <w:basedOn w:val="BodyText"/>
    <w:rsid w:val="00013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3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E37"/>
    <w:rPr>
      <w:sz w:val="32"/>
    </w:rPr>
  </w:style>
  <w:style w:type="paragraph" w:customStyle="1" w:styleId="HeadingProcedure">
    <w:name w:val="Heading Procedure"/>
    <w:basedOn w:val="HeadingBase"/>
    <w:next w:val="Normal"/>
    <w:rsid w:val="00013E37"/>
    <w:pPr>
      <w:tabs>
        <w:tab w:val="left" w:pos="0"/>
      </w:tabs>
      <w:spacing w:before="120" w:after="60"/>
    </w:pPr>
    <w:rPr>
      <w:i/>
      <w:color w:val="918585"/>
      <w:sz w:val="22"/>
    </w:rPr>
  </w:style>
  <w:style w:type="paragraph" w:customStyle="1" w:styleId="TableBodyText">
    <w:name w:val="Table Body Text"/>
    <w:basedOn w:val="BodyText"/>
    <w:rsid w:val="00013E37"/>
    <w:pPr>
      <w:spacing w:before="60" w:after="60"/>
    </w:pPr>
  </w:style>
  <w:style w:type="paragraph" w:styleId="ListContinue">
    <w:name w:val="List Continue"/>
    <w:basedOn w:val="List"/>
    <w:rsid w:val="00013E37"/>
    <w:pPr>
      <w:ind w:firstLine="0"/>
    </w:pPr>
  </w:style>
  <w:style w:type="paragraph" w:customStyle="1" w:styleId="ListNote">
    <w:name w:val="List Note"/>
    <w:basedOn w:val="List"/>
    <w:rsid w:val="00013E37"/>
    <w:pPr>
      <w:pBdr>
        <w:top w:val="single" w:sz="6" w:space="2" w:color="918585"/>
        <w:bottom w:val="single" w:sz="6" w:space="2" w:color="918585"/>
      </w:pBdr>
      <w:tabs>
        <w:tab w:val="left" w:pos="1021"/>
      </w:tabs>
      <w:ind w:firstLine="0"/>
    </w:pPr>
  </w:style>
  <w:style w:type="paragraph" w:customStyle="1" w:styleId="Warning">
    <w:name w:val="Warning"/>
    <w:basedOn w:val="BodyText"/>
    <w:rsid w:val="00013E37"/>
    <w:pPr>
      <w:shd w:val="clear" w:color="auto" w:fill="D9D9D9"/>
      <w:tabs>
        <w:tab w:val="left" w:pos="992"/>
      </w:tabs>
      <w:ind w:left="119" w:right="119"/>
    </w:pPr>
    <w:rPr>
      <w:sz w:val="20"/>
    </w:rPr>
  </w:style>
  <w:style w:type="paragraph" w:customStyle="1" w:styleId="MarginIcons">
    <w:name w:val="Margin Icons"/>
    <w:basedOn w:val="BodyText"/>
    <w:rsid w:val="00013E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3E37"/>
    <w:rPr>
      <w:rFonts w:ascii="Courier New" w:hAnsi="Courier New"/>
    </w:rPr>
  </w:style>
  <w:style w:type="paragraph" w:customStyle="1" w:styleId="NoteBullet">
    <w:name w:val="Note Bullet"/>
    <w:basedOn w:val="Note"/>
    <w:rsid w:val="00013E37"/>
    <w:pPr>
      <w:tabs>
        <w:tab w:val="clear" w:pos="680"/>
      </w:tabs>
      <w:spacing w:before="60" w:after="60"/>
    </w:pPr>
  </w:style>
  <w:style w:type="paragraph" w:customStyle="1" w:styleId="SubHeading2">
    <w:name w:val="SubHeading2"/>
    <w:basedOn w:val="HeadingBase"/>
    <w:rsid w:val="00013E37"/>
    <w:pPr>
      <w:spacing w:before="240" w:after="60"/>
    </w:pPr>
    <w:rPr>
      <w:sz w:val="20"/>
    </w:rPr>
  </w:style>
  <w:style w:type="paragraph" w:customStyle="1" w:styleId="SubHeading1">
    <w:name w:val="SubHeading1"/>
    <w:basedOn w:val="HeadingBase"/>
    <w:rsid w:val="00013E37"/>
    <w:pPr>
      <w:spacing w:before="240" w:after="60"/>
    </w:pPr>
    <w:rPr>
      <w:color w:val="918585"/>
      <w:sz w:val="22"/>
    </w:rPr>
  </w:style>
  <w:style w:type="paragraph" w:customStyle="1" w:styleId="SideHeading">
    <w:name w:val="Side Heading"/>
    <w:basedOn w:val="HeadingBase"/>
    <w:rsid w:val="00013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E37"/>
    <w:pPr>
      <w:numPr>
        <w:numId w:val="12"/>
      </w:numPr>
    </w:pPr>
  </w:style>
  <w:style w:type="paragraph" w:styleId="PlainText">
    <w:name w:val="Plain Text"/>
    <w:basedOn w:val="Normal"/>
    <w:link w:val="PlainTextChar"/>
    <w:rsid w:val="00013E37"/>
    <w:rPr>
      <w:sz w:val="20"/>
    </w:rPr>
  </w:style>
  <w:style w:type="character" w:customStyle="1" w:styleId="PlainTextChar">
    <w:name w:val="Plain Text Char"/>
    <w:basedOn w:val="DefaultParagraphFont"/>
    <w:link w:val="PlainText"/>
    <w:rsid w:val="00013E37"/>
    <w:rPr>
      <w:rFonts w:ascii="Courier New" w:eastAsia="Times New Roman" w:hAnsi="Courier New" w:cs="Times New Roman"/>
      <w:sz w:val="20"/>
      <w:szCs w:val="20"/>
      <w:lang w:val="en-US" w:eastAsia="en-US"/>
    </w:rPr>
  </w:style>
  <w:style w:type="character" w:customStyle="1" w:styleId="MenuOption">
    <w:name w:val="Menu Option"/>
    <w:rsid w:val="00013E37"/>
    <w:rPr>
      <w:b/>
      <w:smallCaps/>
    </w:rPr>
  </w:style>
  <w:style w:type="paragraph" w:customStyle="1" w:styleId="TableListNumber">
    <w:name w:val="Table List Number"/>
    <w:basedOn w:val="ListNumber"/>
    <w:rsid w:val="00013E37"/>
    <w:pPr>
      <w:numPr>
        <w:numId w:val="0"/>
      </w:numPr>
    </w:pPr>
  </w:style>
  <w:style w:type="paragraph" w:styleId="TOC4">
    <w:name w:val="toc 4"/>
    <w:basedOn w:val="TOCBase"/>
    <w:next w:val="Normal"/>
    <w:semiHidden/>
    <w:rsid w:val="00013E37"/>
    <w:pPr>
      <w:tabs>
        <w:tab w:val="right" w:leader="dot" w:pos="9071"/>
      </w:tabs>
      <w:ind w:left="1701"/>
    </w:pPr>
  </w:style>
  <w:style w:type="paragraph" w:customStyle="1" w:styleId="ListAlpha">
    <w:name w:val="List Alpha"/>
    <w:basedOn w:val="List"/>
    <w:rsid w:val="00013E37"/>
    <w:pPr>
      <w:numPr>
        <w:numId w:val="9"/>
      </w:numPr>
    </w:pPr>
  </w:style>
  <w:style w:type="paragraph" w:customStyle="1" w:styleId="ListAlpha2">
    <w:name w:val="List Alpha 2"/>
    <w:basedOn w:val="List2"/>
    <w:rsid w:val="00013E37"/>
    <w:pPr>
      <w:numPr>
        <w:numId w:val="8"/>
      </w:numPr>
    </w:pPr>
  </w:style>
  <w:style w:type="paragraph" w:styleId="List3">
    <w:name w:val="List 3"/>
    <w:basedOn w:val="BodyText"/>
    <w:rsid w:val="00013E37"/>
    <w:pPr>
      <w:tabs>
        <w:tab w:val="left" w:pos="1021"/>
      </w:tabs>
      <w:spacing w:before="60" w:after="60"/>
      <w:ind w:left="1020" w:hanging="340"/>
    </w:pPr>
  </w:style>
  <w:style w:type="paragraph" w:styleId="List4">
    <w:name w:val="List 4"/>
    <w:basedOn w:val="BodyText"/>
    <w:rsid w:val="00013E37"/>
    <w:pPr>
      <w:tabs>
        <w:tab w:val="left" w:pos="1361"/>
      </w:tabs>
      <w:spacing w:before="60" w:after="60"/>
      <w:ind w:left="1361" w:hanging="340"/>
    </w:pPr>
  </w:style>
  <w:style w:type="paragraph" w:styleId="List5">
    <w:name w:val="List 5"/>
    <w:basedOn w:val="BodyText"/>
    <w:rsid w:val="00013E37"/>
    <w:pPr>
      <w:tabs>
        <w:tab w:val="left" w:pos="1701"/>
      </w:tabs>
      <w:spacing w:before="60" w:after="60"/>
      <w:ind w:left="1701" w:hanging="340"/>
    </w:pPr>
  </w:style>
  <w:style w:type="paragraph" w:styleId="ListBullet3">
    <w:name w:val="List Bullet 3"/>
    <w:basedOn w:val="List3"/>
    <w:rsid w:val="00013E37"/>
    <w:pPr>
      <w:numPr>
        <w:numId w:val="15"/>
      </w:numPr>
      <w:tabs>
        <w:tab w:val="clear" w:pos="1021"/>
      </w:tabs>
      <w:ind w:left="1037" w:hanging="357"/>
    </w:pPr>
  </w:style>
  <w:style w:type="paragraph" w:styleId="ListBullet4">
    <w:name w:val="List Bullet 4"/>
    <w:basedOn w:val="List4"/>
    <w:rsid w:val="00013E37"/>
    <w:pPr>
      <w:numPr>
        <w:numId w:val="3"/>
      </w:numPr>
    </w:pPr>
  </w:style>
  <w:style w:type="paragraph" w:styleId="ListBullet5">
    <w:name w:val="List Bullet 5"/>
    <w:basedOn w:val="List5"/>
    <w:rsid w:val="00013E37"/>
    <w:pPr>
      <w:numPr>
        <w:numId w:val="4"/>
      </w:numPr>
    </w:pPr>
  </w:style>
  <w:style w:type="paragraph" w:styleId="ListContinue2">
    <w:name w:val="List Continue 2"/>
    <w:basedOn w:val="List2"/>
    <w:rsid w:val="00013E37"/>
    <w:pPr>
      <w:ind w:firstLine="0"/>
    </w:pPr>
  </w:style>
  <w:style w:type="paragraph" w:styleId="ListContinue3">
    <w:name w:val="List Continue 3"/>
    <w:basedOn w:val="List3"/>
    <w:rsid w:val="00013E37"/>
    <w:pPr>
      <w:ind w:left="1021" w:firstLine="0"/>
    </w:pPr>
  </w:style>
  <w:style w:type="paragraph" w:styleId="ListContinue4">
    <w:name w:val="List Continue 4"/>
    <w:basedOn w:val="List4"/>
    <w:rsid w:val="00013E37"/>
    <w:pPr>
      <w:ind w:firstLine="0"/>
    </w:pPr>
  </w:style>
  <w:style w:type="paragraph" w:styleId="ListContinue5">
    <w:name w:val="List Continue 5"/>
    <w:basedOn w:val="List5"/>
    <w:rsid w:val="00013E37"/>
    <w:pPr>
      <w:ind w:firstLine="0"/>
    </w:pPr>
  </w:style>
  <w:style w:type="paragraph" w:styleId="ListNumber3">
    <w:name w:val="List Number 3"/>
    <w:basedOn w:val="List3"/>
    <w:rsid w:val="00013E37"/>
    <w:pPr>
      <w:numPr>
        <w:numId w:val="5"/>
      </w:numPr>
    </w:pPr>
  </w:style>
  <w:style w:type="paragraph" w:styleId="ListNumber4">
    <w:name w:val="List Number 4"/>
    <w:basedOn w:val="List4"/>
    <w:rsid w:val="00013E37"/>
    <w:pPr>
      <w:numPr>
        <w:numId w:val="6"/>
      </w:numPr>
    </w:pPr>
  </w:style>
  <w:style w:type="paragraph" w:styleId="ListNumber5">
    <w:name w:val="List Number 5"/>
    <w:basedOn w:val="List5"/>
    <w:rsid w:val="00013E37"/>
    <w:pPr>
      <w:numPr>
        <w:numId w:val="7"/>
      </w:numPr>
    </w:pPr>
  </w:style>
  <w:style w:type="paragraph" w:styleId="BlockText">
    <w:name w:val="Block Text"/>
    <w:basedOn w:val="Normal"/>
    <w:rsid w:val="00013E37"/>
    <w:pPr>
      <w:spacing w:after="120"/>
      <w:ind w:left="1440" w:right="1440"/>
    </w:pPr>
  </w:style>
  <w:style w:type="character" w:customStyle="1" w:styleId="Subscript">
    <w:name w:val="Subscript"/>
    <w:rsid w:val="00013E37"/>
    <w:rPr>
      <w:sz w:val="16"/>
      <w:vertAlign w:val="subscript"/>
    </w:rPr>
  </w:style>
  <w:style w:type="character" w:customStyle="1" w:styleId="Superscript">
    <w:name w:val="Superscript"/>
    <w:rsid w:val="00013E37"/>
    <w:rPr>
      <w:sz w:val="16"/>
      <w:vertAlign w:val="superscript"/>
    </w:rPr>
  </w:style>
  <w:style w:type="character" w:customStyle="1" w:styleId="Symbols">
    <w:name w:val="Symbols"/>
    <w:rsid w:val="00013E37"/>
    <w:rPr>
      <w:rFonts w:ascii="Symbol" w:hAnsi="Symbol"/>
    </w:rPr>
  </w:style>
  <w:style w:type="character" w:customStyle="1" w:styleId="MenuOptions">
    <w:name w:val="Menu Options"/>
    <w:rsid w:val="00013E37"/>
    <w:rPr>
      <w:rFonts w:ascii="Arial Narrow" w:hAnsi="Arial Narrow"/>
      <w:smallCaps/>
    </w:rPr>
  </w:style>
  <w:style w:type="character" w:customStyle="1" w:styleId="Buttons">
    <w:name w:val="Buttons"/>
    <w:rsid w:val="00013E37"/>
    <w:rPr>
      <w:b/>
    </w:rPr>
  </w:style>
  <w:style w:type="character" w:customStyle="1" w:styleId="Underlined">
    <w:name w:val="Underlined"/>
    <w:rsid w:val="00013E37"/>
    <w:rPr>
      <w:u w:val="single"/>
    </w:rPr>
  </w:style>
  <w:style w:type="paragraph" w:customStyle="1" w:styleId="TableBodyTextRight">
    <w:name w:val="Table Body Text Right"/>
    <w:basedOn w:val="TableBodyText"/>
    <w:rsid w:val="00013E37"/>
    <w:pPr>
      <w:widowControl w:val="0"/>
      <w:autoSpaceDE w:val="0"/>
      <w:autoSpaceDN w:val="0"/>
      <w:adjustRightInd w:val="0"/>
      <w:jc w:val="right"/>
    </w:pPr>
    <w:rPr>
      <w:rFonts w:cs="Arial"/>
      <w:szCs w:val="18"/>
    </w:rPr>
  </w:style>
  <w:style w:type="paragraph" w:customStyle="1" w:styleId="CopyrightText">
    <w:name w:val="Copyright Text"/>
    <w:basedOn w:val="BodyText"/>
    <w:rsid w:val="00013E37"/>
    <w:rPr>
      <w:sz w:val="18"/>
    </w:rPr>
  </w:style>
  <w:style w:type="paragraph" w:customStyle="1" w:styleId="BodySmallRight">
    <w:name w:val="Body Small Right"/>
    <w:basedOn w:val="BodyTextRight"/>
    <w:rsid w:val="00013E37"/>
    <w:rPr>
      <w:sz w:val="18"/>
      <w:szCs w:val="18"/>
    </w:rPr>
  </w:style>
  <w:style w:type="paragraph" w:customStyle="1" w:styleId="MarginEdition">
    <w:name w:val="Margin Edition"/>
    <w:basedOn w:val="MarginNote"/>
    <w:rsid w:val="00013E37"/>
    <w:pPr>
      <w:spacing w:before="0" w:after="0"/>
    </w:pPr>
    <w:rPr>
      <w:rFonts w:ascii="Times New Roman" w:hAnsi="Times New Roman"/>
      <w:color w:val="999999"/>
    </w:rPr>
  </w:style>
  <w:style w:type="paragraph" w:customStyle="1" w:styleId="Spacer">
    <w:name w:val="Spacer"/>
    <w:basedOn w:val="Normal"/>
    <w:rsid w:val="00013E37"/>
    <w:rPr>
      <w:sz w:val="2"/>
      <w:szCs w:val="2"/>
    </w:rPr>
  </w:style>
  <w:style w:type="character" w:customStyle="1" w:styleId="Small">
    <w:name w:val="Small"/>
    <w:rsid w:val="00013E37"/>
    <w:rPr>
      <w:sz w:val="16"/>
    </w:rPr>
  </w:style>
  <w:style w:type="paragraph" w:customStyle="1" w:styleId="WideTable">
    <w:name w:val="Wide Table"/>
    <w:basedOn w:val="Normal"/>
    <w:rsid w:val="00013E37"/>
    <w:pPr>
      <w:ind w:left="-1418"/>
    </w:pPr>
    <w:rPr>
      <w:sz w:val="2"/>
      <w:szCs w:val="2"/>
    </w:rPr>
  </w:style>
  <w:style w:type="character" w:styleId="PageNumber">
    <w:name w:val="page number"/>
    <w:rsid w:val="00013E37"/>
  </w:style>
  <w:style w:type="paragraph" w:styleId="Quote">
    <w:name w:val="Quote"/>
    <w:basedOn w:val="Heading1"/>
    <w:link w:val="QuoteChar"/>
    <w:qFormat/>
    <w:rsid w:val="00013E37"/>
    <w:rPr>
      <w:b w:val="0"/>
      <w:sz w:val="72"/>
      <w:szCs w:val="72"/>
      <w:lang w:val="en-NZ"/>
    </w:rPr>
  </w:style>
  <w:style w:type="character" w:customStyle="1" w:styleId="QuoteChar">
    <w:name w:val="Quote Char"/>
    <w:link w:val="Quote"/>
    <w:rsid w:val="00013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E37"/>
    <w:pPr>
      <w:pageBreakBefore/>
    </w:pPr>
  </w:style>
  <w:style w:type="paragraph" w:customStyle="1" w:styleId="Border">
    <w:name w:val="Border"/>
    <w:basedOn w:val="Normal"/>
    <w:qFormat/>
    <w:rsid w:val="00013E37"/>
    <w:pPr>
      <w:pBdr>
        <w:top w:val="single" w:sz="18" w:space="1" w:color="auto"/>
      </w:pBdr>
    </w:pPr>
    <w:rPr>
      <w:rFonts w:ascii="Times New Roman" w:hAnsi="Times New Roman"/>
      <w:color w:val="FFFFFF"/>
      <w:sz w:val="2"/>
    </w:rPr>
  </w:style>
  <w:style w:type="character" w:styleId="IntenseEmphasis">
    <w:name w:val="Intense Emphasis"/>
    <w:uiPriority w:val="21"/>
    <w:qFormat/>
    <w:rsid w:val="00013E37"/>
    <w:rPr>
      <w:b/>
      <w:bCs/>
      <w:i/>
      <w:iCs/>
      <w:color w:val="auto"/>
    </w:rPr>
  </w:style>
  <w:style w:type="paragraph" w:styleId="IntenseQuote">
    <w:name w:val="Intense Quote"/>
    <w:basedOn w:val="Normal"/>
    <w:next w:val="Normal"/>
    <w:link w:val="IntenseQuoteChar"/>
    <w:uiPriority w:val="30"/>
    <w:qFormat/>
    <w:rsid w:val="00013E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3E37"/>
    <w:rPr>
      <w:rFonts w:ascii="Courier New" w:eastAsia="Times New Roman" w:hAnsi="Courier New" w:cs="Times New Roman"/>
      <w:b/>
      <w:bCs/>
      <w:i/>
      <w:iCs/>
      <w:szCs w:val="20"/>
      <w:lang w:val="en-US" w:eastAsia="en-US"/>
    </w:rPr>
  </w:style>
  <w:style w:type="character" w:styleId="SubtleReference">
    <w:name w:val="Subtle Reference"/>
    <w:uiPriority w:val="31"/>
    <w:qFormat/>
    <w:rsid w:val="00013E37"/>
    <w:rPr>
      <w:smallCaps/>
      <w:color w:val="auto"/>
      <w:u w:val="single"/>
    </w:rPr>
  </w:style>
  <w:style w:type="character" w:styleId="IntenseReference">
    <w:name w:val="Intense Reference"/>
    <w:uiPriority w:val="32"/>
    <w:qFormat/>
    <w:rsid w:val="00013E37"/>
    <w:rPr>
      <w:b/>
      <w:bCs/>
      <w:smallCaps/>
      <w:color w:val="auto"/>
      <w:spacing w:val="5"/>
      <w:u w:val="single"/>
    </w:rPr>
  </w:style>
  <w:style w:type="paragraph" w:customStyle="1" w:styleId="2ColumnHeading">
    <w:name w:val="2Column Heading"/>
    <w:basedOn w:val="BodyText"/>
    <w:qFormat/>
    <w:rsid w:val="00013E37"/>
    <w:pPr>
      <w:spacing w:after="60"/>
      <w:ind w:left="-2268"/>
    </w:pPr>
    <w:rPr>
      <w:b/>
    </w:rPr>
  </w:style>
  <w:style w:type="paragraph" w:customStyle="1" w:styleId="Heading1TOC">
    <w:name w:val="Heading1 TOC"/>
    <w:basedOn w:val="Normal"/>
    <w:qFormat/>
    <w:rsid w:val="00013E37"/>
    <w:pPr>
      <w:spacing w:before="240" w:after="120"/>
    </w:pPr>
    <w:rPr>
      <w:rFonts w:ascii="Times New Roman" w:hAnsi="Times New Roman"/>
      <w:b/>
      <w:sz w:val="32"/>
    </w:rPr>
  </w:style>
  <w:style w:type="paragraph" w:customStyle="1" w:styleId="Heading2TOC">
    <w:name w:val="Heading2 TOC"/>
    <w:basedOn w:val="Normal"/>
    <w:qFormat/>
    <w:rsid w:val="00013E37"/>
    <w:pPr>
      <w:spacing w:before="240" w:after="60"/>
    </w:pPr>
    <w:rPr>
      <w:rFonts w:ascii="Times New Roman" w:hAnsi="Times New Roman"/>
      <w:b/>
      <w:sz w:val="28"/>
    </w:rPr>
  </w:style>
  <w:style w:type="character" w:customStyle="1" w:styleId="Underline">
    <w:name w:val="Underline"/>
    <w:qFormat/>
    <w:rsid w:val="00013E37"/>
    <w:rPr>
      <w:u w:val="single"/>
    </w:rPr>
  </w:style>
  <w:style w:type="character" w:customStyle="1" w:styleId="BoldandItalics">
    <w:name w:val="Bold and Italics"/>
    <w:qFormat/>
    <w:rsid w:val="00013E37"/>
    <w:rPr>
      <w:b/>
      <w:i/>
      <w:u w:val="none"/>
    </w:rPr>
  </w:style>
  <w:style w:type="paragraph" w:styleId="BalloonText">
    <w:name w:val="Balloon Text"/>
    <w:basedOn w:val="Normal"/>
    <w:link w:val="BalloonTextChar"/>
    <w:rsid w:val="00013E37"/>
    <w:rPr>
      <w:rFonts w:ascii="Tahoma" w:hAnsi="Tahoma" w:cs="Tahoma"/>
      <w:sz w:val="16"/>
      <w:szCs w:val="16"/>
    </w:rPr>
  </w:style>
  <w:style w:type="character" w:customStyle="1" w:styleId="BalloonTextChar">
    <w:name w:val="Balloon Text Char"/>
    <w:link w:val="BalloonText"/>
    <w:rsid w:val="00013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E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3E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1238</Words>
  <Characters>7424</Characters>
  <Application>Microsoft Office Word</Application>
  <DocSecurity>0</DocSecurity>
  <Lines>281</Lines>
  <Paragraphs>128</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MEM24012C Apply metallurgy principles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2012-05-27T02:11:00Z</dcterms:created>
  <dcterms:modified xsi:type="dcterms:W3CDTF">2012-05-27T02:11:00Z</dcterms:modified>
</cp:coreProperties>
</file>