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E24" w:rsidP="007A7E24">
      <w:pPr>
        <w:pStyle w:val="Title"/>
      </w:pPr>
      <w:r>
        <w:fldChar w:fldCharType="begin"/>
      </w:r>
      <w:r>
        <w:instrText xml:space="preserve"> TITLE   \* MERGEFORMAT </w:instrText>
      </w:r>
      <w:r>
        <w:fldChar w:fldCharType="separate"/>
      </w:r>
      <w:r>
        <w:t>MEM24009B Perform basic radiographic testing</w:t>
      </w:r>
      <w:r>
        <w:fldChar w:fldCharType="end"/>
      </w:r>
    </w:p>
    <w:p w:rsidR="007A7E24" w:rsidP="007A7E24">
      <w:pPr>
        <w:pStyle w:val="Version"/>
        <w:sectPr w:rsidSect="004C2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A83" w:rsidP="004C2A83">
      <w:pPr>
        <w:pStyle w:val="SuperHeading"/>
      </w:pPr>
      <w:r w:rsidRPr="004C2A83">
        <w:t>MEM24009B Perform basic radiographic testing</w:t>
      </w:r>
    </w:p>
    <w:p w:rsidR="00000000" w:rsidRPr="004C2A83" w:rsidP="004C2A83">
      <w:pPr>
        <w:pStyle w:val="Heading1"/>
      </w:pPr>
      <w:bookmarkStart w:id="1" w:name="O_272399"/>
      <w:bookmarkEnd w:id="1"/>
      <w:r w:rsidRPr="004C2A83">
        <w:t>Modification History</w:t>
      </w:r>
    </w:p>
    <w:p w:rsidR="00000000" w:rsidRPr="004C2A83" w:rsidP="004C2A83">
      <w:pPr>
        <w:pStyle w:val="BodyText"/>
      </w:pPr>
      <w:r w:rsidRPr="004C2A83">
        <w:t>Not Applicable</w:t>
      </w:r>
    </w:p>
    <w:p w:rsidR="00000000" w:rsidRPr="004C2A83" w:rsidP="004C2A83">
      <w:pPr>
        <w:pStyle w:val="AllowPageBreak"/>
      </w:pPr>
    </w:p>
    <w:p w:rsidR="00000000" w:rsidRPr="004C2A83" w:rsidP="004C2A83">
      <w:pPr>
        <w:pStyle w:val="Heading1"/>
      </w:pPr>
      <w:bookmarkStart w:id="2" w:name="O_213231"/>
      <w:bookmarkEnd w:id="2"/>
      <w:r w:rsidRPr="004C2A83">
        <w:t>Unit Descriptor</w:t>
      </w:r>
    </w:p>
    <w:tbl>
      <w:tblPr>
        <w:tblW w:w="0" w:type="auto"/>
        <w:tblLayout w:type="fixed"/>
        <w:tblCellMar>
          <w:left w:w="62" w:type="dxa"/>
          <w:right w:w="62" w:type="dxa"/>
        </w:tblCellMar>
        <w:tblLook w:val="0000"/>
      </w:tblPr>
      <w:tblGrid>
        <w:gridCol w:w="2670"/>
        <w:gridCol w:w="5852"/>
      </w:tblGrid>
      <w:tr w:rsidTr="007A7E2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This unit covers performing basic radiographic testing procedures in a range of industrial applications. K</w:t>
            </w:r>
            <w:r w:rsidRPr="004C2A83">
              <w:t>nowledge of metallurgy associated with the level of application in this unit is required.</w:t>
            </w:r>
          </w:p>
        </w:tc>
      </w:tr>
    </w:tbl>
    <w:p w:rsidR="007A7E24" w:rsidP="004C2A83">
      <w:pPr>
        <w:pStyle w:val="BodyText"/>
      </w:pPr>
    </w:p>
    <w:p w:rsidR="007A7E24" w:rsidP="004C2A83">
      <w:pPr>
        <w:pStyle w:val="BodyText"/>
      </w:pPr>
    </w:p>
    <w:p w:rsidR="00000000" w:rsidRPr="004C2A83" w:rsidP="004C2A83">
      <w:pPr>
        <w:pStyle w:val="Heading1"/>
      </w:pPr>
      <w:bookmarkStart w:id="3" w:name="O_213235"/>
      <w:bookmarkEnd w:id="3"/>
      <w:r w:rsidRPr="004C2A83">
        <w:t>Application of the Unit</w:t>
      </w:r>
    </w:p>
    <w:tbl>
      <w:tblPr>
        <w:tblW w:w="0" w:type="auto"/>
        <w:tblLayout w:type="fixed"/>
        <w:tblCellMar>
          <w:left w:w="62" w:type="dxa"/>
          <w:right w:w="62" w:type="dxa"/>
        </w:tblCellMar>
        <w:tblLook w:val="0000"/>
      </w:tblPr>
      <w:tblGrid>
        <w:gridCol w:w="2745"/>
        <w:gridCol w:w="5777"/>
      </w:tblGrid>
      <w:tr w:rsidTr="007A7E2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This unit applies to working with ionizing radiation in open or closed sites; on fabrications, structures and components across a wide range of industries. The work can relate to scheduled and unscheduled maintenance activities using general tools and spec</w:t>
            </w:r>
            <w:r w:rsidRPr="004C2A83">
              <w:t>ific radiographic testing equipment as specified in maintenance documentation, testing procedures or operators instructions. All testing must be completed with particular attention to personal and OH&amp;S regulations. Ionizing radiation equipment materials an</w:t>
            </w:r>
            <w:r w:rsidRPr="004C2A83">
              <w:t xml:space="preserve">d chemicals, which are subject to codes and regulations, must be stored, used, and transported in accordance with safe work practices. Certification against Australian standards may be achieved where assessment in this unit of competency is carried out in </w:t>
            </w:r>
            <w:r w:rsidRPr="004C2A83">
              <w:t>conjunction with an examining authority as described in ISO 9712.</w:t>
            </w:r>
          </w:p>
          <w:p w:rsidR="00000000" w:rsidRPr="004C2A83" w:rsidP="004C2A83">
            <w:pPr>
              <w:pStyle w:val="BodyText"/>
            </w:pPr>
            <w:r w:rsidRPr="004C2A83">
              <w:t>This unit should not be selected when Unit MEM24010B (Perform radiographic testing) has already been selected.</w:t>
            </w:r>
          </w:p>
          <w:p w:rsidR="00000000" w:rsidRPr="004C2A83" w:rsidP="004C2A83">
            <w:pPr>
              <w:pStyle w:val="BodyText"/>
            </w:pPr>
            <w:r w:rsidRPr="004C2A83">
              <w:t>Where power tools are required, Unit MEM18002B (Use power tools/hand held opera</w:t>
            </w:r>
            <w:r w:rsidRPr="004C2A83">
              <w:t xml:space="preserve">tions) should also be selected. </w:t>
            </w:r>
          </w:p>
          <w:p w:rsidR="00000000" w:rsidRPr="004C2A83" w:rsidP="004C2A83">
            <w:pPr>
              <w:pStyle w:val="BodyText"/>
            </w:pPr>
            <w:r w:rsidRPr="004C2A83">
              <w:t>Where tests require the interpretation of drawings, Unit MEM09002B (Interpret technical drawings) should also be selected.</w:t>
            </w:r>
          </w:p>
          <w:p w:rsidR="00000000" w:rsidRPr="004C2A83" w:rsidP="004C2A83">
            <w:pPr>
              <w:pStyle w:val="BodyText"/>
            </w:pPr>
          </w:p>
          <w:p w:rsidR="00000000" w:rsidRPr="004C2A83" w:rsidP="004C2A83">
            <w:pPr>
              <w:pStyle w:val="BodyText"/>
            </w:pPr>
            <w:r w:rsidRPr="004C2A83">
              <w:rPr>
                <w:rStyle w:val="SpecialBold"/>
              </w:rPr>
              <w:t>Band</w:t>
            </w:r>
            <w:r w:rsidRPr="004C2A83">
              <w:t>:</w:t>
            </w:r>
            <w:r w:rsidRPr="004C2A83">
              <w:tab/>
            </w:r>
            <w:r w:rsidRPr="004C2A83">
              <w:rPr>
                <w:rStyle w:val="SpecialBold"/>
              </w:rPr>
              <w:t>A</w:t>
            </w:r>
          </w:p>
          <w:p w:rsidR="00000000" w:rsidRPr="004C2A83" w:rsidP="004C2A83">
            <w:pPr>
              <w:pStyle w:val="BodyText"/>
            </w:pPr>
            <w:r w:rsidRPr="004C2A83">
              <w:rPr>
                <w:rStyle w:val="SpecialBold"/>
              </w:rPr>
              <w:t>Unit Weight</w:t>
            </w:r>
            <w:r w:rsidRPr="004C2A83">
              <w:t>:</w:t>
            </w:r>
            <w:r w:rsidRPr="004C2A83">
              <w:tab/>
            </w:r>
            <w:r w:rsidRPr="004C2A83">
              <w:rPr>
                <w:rStyle w:val="SpecialBold"/>
              </w:rPr>
              <w:t>2</w:t>
            </w:r>
          </w:p>
        </w:tc>
      </w:tr>
    </w:tbl>
    <w:p w:rsidR="007A7E24" w:rsidP="004C2A83">
      <w:pPr>
        <w:pStyle w:val="BodyText"/>
      </w:pPr>
    </w:p>
    <w:p w:rsidR="007A7E24" w:rsidP="004C2A83">
      <w:pPr>
        <w:pStyle w:val="BodyText"/>
      </w:pPr>
    </w:p>
    <w:p w:rsidR="00000000" w:rsidRPr="004C2A83" w:rsidP="004C2A83">
      <w:pPr>
        <w:pStyle w:val="Heading1"/>
      </w:pPr>
      <w:bookmarkStart w:id="4" w:name="O_280659"/>
      <w:bookmarkEnd w:id="4"/>
      <w:r w:rsidRPr="004C2A83">
        <w:t>Licensing/Regulatory Information</w:t>
      </w:r>
    </w:p>
    <w:p w:rsidR="00000000" w:rsidRPr="004C2A83" w:rsidP="004C2A83">
      <w:pPr>
        <w:pStyle w:val="BodyText"/>
      </w:pPr>
      <w:r w:rsidRPr="004C2A83">
        <w:t>Not Applicable</w:t>
      </w:r>
    </w:p>
    <w:p w:rsidR="00000000" w:rsidRPr="004C2A83" w:rsidP="004C2A83">
      <w:pPr>
        <w:pStyle w:val="AllowPageBreak"/>
      </w:pPr>
    </w:p>
    <w:p w:rsidR="00000000" w:rsidRPr="004C2A83" w:rsidP="004C2A83">
      <w:pPr>
        <w:pStyle w:val="Heading1"/>
      </w:pPr>
      <w:bookmarkStart w:id="5" w:name="O_213233"/>
      <w:bookmarkEnd w:id="5"/>
      <w:r w:rsidRPr="004C2A83">
        <w:t>Pre-Requisites</w:t>
      </w:r>
    </w:p>
    <w:tbl>
      <w:tblPr>
        <w:tblW w:w="0" w:type="auto"/>
        <w:tblLayout w:type="fixed"/>
        <w:tblCellMar>
          <w:left w:w="62" w:type="dxa"/>
          <w:right w:w="62" w:type="dxa"/>
        </w:tblCellMar>
        <w:tblLook w:val="0000"/>
      </w:tblPr>
      <w:tblGrid>
        <w:gridCol w:w="2719"/>
        <w:gridCol w:w="2207"/>
        <w:gridCol w:w="3596"/>
      </w:tblGrid>
      <w:tr w:rsidTr="007A7E24">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p>
        </w:tc>
      </w:tr>
      <w:tr w:rsidTr="007A7E24">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MEM13013B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Work safely with ionizing radiation</w:t>
            </w:r>
          </w:p>
        </w:tc>
      </w:tr>
      <w:tr w:rsidTr="007A7E24">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Use hand tools</w:t>
            </w:r>
          </w:p>
        </w:tc>
      </w:tr>
    </w:tbl>
    <w:p w:rsidR="007A7E24" w:rsidP="004C2A83">
      <w:pPr>
        <w:pStyle w:val="BodyText"/>
      </w:pPr>
    </w:p>
    <w:p w:rsidR="007A7E24" w:rsidP="004C2A83">
      <w:pPr>
        <w:pStyle w:val="BodyText"/>
      </w:pPr>
    </w:p>
    <w:p w:rsidR="00000000" w:rsidRPr="004C2A83" w:rsidP="004C2A83">
      <w:pPr>
        <w:pStyle w:val="Heading1"/>
      </w:pPr>
      <w:bookmarkStart w:id="6" w:name="O_213232"/>
      <w:bookmarkEnd w:id="6"/>
      <w:r w:rsidRPr="004C2A83">
        <w:t>Employability Skills Information</w:t>
      </w:r>
    </w:p>
    <w:tbl>
      <w:tblPr>
        <w:tblW w:w="0" w:type="auto"/>
        <w:tblLayout w:type="fixed"/>
        <w:tblCellMar>
          <w:left w:w="62" w:type="dxa"/>
          <w:right w:w="62" w:type="dxa"/>
        </w:tblCellMar>
        <w:tblLook w:val="0000"/>
      </w:tblPr>
      <w:tblGrid>
        <w:gridCol w:w="2802"/>
        <w:gridCol w:w="5720"/>
      </w:tblGrid>
      <w:tr w:rsidTr="007A7E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This unit contains employability skills.</w:t>
            </w:r>
          </w:p>
        </w:tc>
      </w:tr>
    </w:tbl>
    <w:p w:rsidR="007A7E24" w:rsidP="004C2A83">
      <w:pPr>
        <w:pStyle w:val="BodyText"/>
      </w:pPr>
    </w:p>
    <w:p w:rsidR="007A7E24" w:rsidP="004C2A83">
      <w:pPr>
        <w:pStyle w:val="BodyText"/>
      </w:pPr>
    </w:p>
    <w:p w:rsidR="00000000" w:rsidRPr="004C2A83" w:rsidP="004C2A83">
      <w:pPr>
        <w:pStyle w:val="Heading1"/>
      </w:pPr>
      <w:bookmarkStart w:id="7" w:name="O_290445"/>
      <w:bookmarkEnd w:id="7"/>
      <w:r w:rsidRPr="004C2A83">
        <w:t>Elements and Performance Criteria Pre-Content</w:t>
      </w:r>
    </w:p>
    <w:tbl>
      <w:tblPr>
        <w:tblW w:w="0" w:type="auto"/>
        <w:tblLayout w:type="fixed"/>
        <w:tblCellMar>
          <w:left w:w="62" w:type="dxa"/>
          <w:right w:w="62" w:type="dxa"/>
        </w:tblCellMar>
        <w:tblLook w:val="0000"/>
      </w:tblPr>
      <w:tblGrid>
        <w:gridCol w:w="2544"/>
        <w:gridCol w:w="5978"/>
      </w:tblGrid>
      <w:tr w:rsidTr="007A7E2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Performance criteria describe the performance needed to demonstrate achievement of the element. Where bold italicised text is used, further information is detailed in the required skills and knowledge section and the range statement. Assessment of performa</w:t>
            </w:r>
            <w:r w:rsidRPr="004C2A83">
              <w:t>nce is to be consistent with the evidence guide.</w:t>
            </w:r>
          </w:p>
        </w:tc>
      </w:tr>
    </w:tbl>
    <w:p w:rsidR="00000000" w:rsidRPr="004C2A83" w:rsidP="004C2A83">
      <w:pPr>
        <w:pStyle w:val="BodyText"/>
      </w:pPr>
    </w:p>
    <w:p w:rsidR="00000000" w:rsidRPr="004C2A83" w:rsidP="004C2A83">
      <w:pPr>
        <w:pStyle w:val="AllowPageBreak"/>
      </w:pPr>
    </w:p>
    <w:p w:rsidR="00000000" w:rsidRPr="004C2A83" w:rsidP="004C2A83">
      <w:pPr>
        <w:pStyle w:val="Heading1"/>
      </w:pPr>
      <w:bookmarkStart w:id="8" w:name="O_237112"/>
      <w:bookmarkEnd w:id="8"/>
      <w:r w:rsidRPr="004C2A83">
        <w:t>Elements and Performance Criteria</w:t>
      </w:r>
    </w:p>
    <w:tbl>
      <w:tblPr>
        <w:tblW w:w="0" w:type="auto"/>
        <w:tblLayout w:type="fixed"/>
        <w:tblCellMar>
          <w:left w:w="62" w:type="dxa"/>
          <w:right w:w="62" w:type="dxa"/>
        </w:tblCellMar>
        <w:tblLook w:val="0000"/>
      </w:tblPr>
      <w:tblGrid>
        <w:gridCol w:w="2544"/>
        <w:gridCol w:w="5978"/>
      </w:tblGrid>
      <w:tr w:rsidTr="007A7E24">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PERFORMANCE CRITERIA</w:t>
            </w:r>
          </w:p>
        </w:tc>
      </w:tr>
      <w:tr w:rsidTr="007A7E2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List"/>
              <w:rPr>
                <w:lang w:val="en-NZ"/>
              </w:rPr>
            </w:pPr>
            <w:r w:rsidRPr="004C2A83">
              <w:t>1.</w:t>
            </w:r>
            <w:r w:rsidRPr="004C2A83">
              <w:tab/>
              <w:t xml:space="preserve">Prepare inspection areas ready for basic radiographic testing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List2"/>
            </w:pPr>
            <w:r w:rsidRPr="004C2A83">
              <w:t>1.1.</w:t>
            </w:r>
            <w:r w:rsidRPr="004C2A83">
              <w:tab/>
              <w:t>Radiographic specimens are cleaned and prepared for t</w:t>
            </w:r>
            <w:r w:rsidRPr="004C2A83">
              <w:t>esting using appropriate procedures and materials.</w:t>
            </w:r>
          </w:p>
          <w:p w:rsidR="00000000" w:rsidRPr="004C2A83" w:rsidP="004C2A83">
            <w:pPr>
              <w:pStyle w:val="List2"/>
            </w:pPr>
            <w:r w:rsidRPr="004C2A83">
              <w:t>1.2.</w:t>
            </w:r>
            <w:r w:rsidRPr="004C2A83">
              <w:tab/>
              <w:t>Preparation processes are carried out in accordance with the relevant procedures and OH&amp;S requirements.</w:t>
            </w:r>
          </w:p>
          <w:p w:rsidR="00000000" w:rsidP="004C2A83">
            <w:pPr>
              <w:pStyle w:val="List2"/>
              <w:rPr>
                <w:lang w:val="en-NZ"/>
              </w:rPr>
            </w:pPr>
            <w:r w:rsidRPr="004C2A83">
              <w:t>1.3.</w:t>
            </w:r>
            <w:r w:rsidRPr="004C2A83">
              <w:tab/>
              <w:t>Inspection areas are visually assessed and obvious discontinuities are identified.</w:t>
            </w:r>
          </w:p>
        </w:tc>
      </w:tr>
      <w:tr w:rsidTr="007A7E2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List"/>
              <w:rPr>
                <w:lang w:val="en-NZ"/>
              </w:rPr>
            </w:pPr>
            <w:r w:rsidRPr="004C2A83">
              <w:t>2.</w:t>
            </w:r>
            <w:r w:rsidRPr="004C2A83">
              <w:tab/>
            </w:r>
            <w:r w:rsidRPr="004C2A83">
              <w:t>Set up radiographic test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List2"/>
            </w:pPr>
            <w:r w:rsidRPr="004C2A83">
              <w:t>2.1.</w:t>
            </w:r>
            <w:r w:rsidRPr="004C2A83">
              <w:tab/>
              <w:t>Nominated test is identified from standard operating procedures.</w:t>
            </w:r>
          </w:p>
          <w:p w:rsidR="00000000" w:rsidP="004C2A83">
            <w:pPr>
              <w:pStyle w:val="List2"/>
              <w:rPr>
                <w:lang w:val="en-NZ"/>
              </w:rPr>
            </w:pPr>
            <w:r w:rsidRPr="004C2A83">
              <w:t>2.2.</w:t>
            </w:r>
            <w:r w:rsidRPr="004C2A83">
              <w:tab/>
              <w:t>Radiation testing and processing equipment is set up in accordance with standard operating procedures.</w:t>
            </w:r>
          </w:p>
        </w:tc>
      </w:tr>
      <w:tr w:rsidTr="007A7E2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List"/>
              <w:rPr>
                <w:lang w:val="en-NZ"/>
              </w:rPr>
            </w:pPr>
            <w:r w:rsidRPr="004C2A83">
              <w:t>3.</w:t>
            </w:r>
            <w:r w:rsidRPr="004C2A83">
              <w:tab/>
              <w:t>Carry out basic radiographic tests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List2"/>
            </w:pPr>
            <w:r w:rsidRPr="004C2A83">
              <w:t>3.1.</w:t>
            </w:r>
            <w:r w:rsidRPr="004C2A83">
              <w:tab/>
              <w:t>Basic properties of X-rays and gamma rays are identified.</w:t>
            </w:r>
          </w:p>
          <w:p w:rsidR="00000000" w:rsidRPr="004C2A83" w:rsidP="004C2A83">
            <w:pPr>
              <w:pStyle w:val="List2"/>
            </w:pPr>
            <w:r w:rsidRPr="004C2A83">
              <w:t>3.2.</w:t>
            </w:r>
            <w:r w:rsidRPr="004C2A83">
              <w:tab/>
              <w:t>Safety practices and  controls for minimising radiation exposure are applied.</w:t>
            </w:r>
          </w:p>
          <w:p w:rsidR="00000000" w:rsidRPr="004C2A83" w:rsidP="004C2A83">
            <w:pPr>
              <w:pStyle w:val="List2"/>
            </w:pPr>
            <w:r w:rsidRPr="004C2A83">
              <w:t>3.3.</w:t>
            </w:r>
            <w:r w:rsidRPr="004C2A83">
              <w:tab/>
              <w:t xml:space="preserve">Radiographic testing and safety equipment is operated in accordance with relevant work instructions and OH&amp;S </w:t>
            </w:r>
            <w:r w:rsidRPr="004C2A83">
              <w:t>requirements.</w:t>
            </w:r>
          </w:p>
          <w:p w:rsidR="00000000" w:rsidRPr="004C2A83" w:rsidP="004C2A83">
            <w:pPr>
              <w:pStyle w:val="List2"/>
            </w:pPr>
            <w:r w:rsidRPr="004C2A83">
              <w:t>3.4.</w:t>
            </w:r>
            <w:r w:rsidRPr="004C2A83">
              <w:tab/>
              <w:t>Films are processed to achieve optimum results.</w:t>
            </w:r>
          </w:p>
        </w:tc>
      </w:tr>
    </w:tbl>
    <w:p w:rsidR="007A7E24" w:rsidP="004C2A83">
      <w:pPr>
        <w:pStyle w:val="BodyText"/>
      </w:pPr>
    </w:p>
    <w:p w:rsidR="007A7E24" w:rsidP="004C2A83">
      <w:pPr>
        <w:pStyle w:val="BodyText"/>
      </w:pPr>
    </w:p>
    <w:p w:rsidR="00000000" w:rsidRPr="004C2A83" w:rsidP="004C2A83">
      <w:pPr>
        <w:pStyle w:val="Heading1"/>
      </w:pPr>
      <w:bookmarkStart w:id="9" w:name="O_261062"/>
      <w:bookmarkEnd w:id="9"/>
      <w:r w:rsidRPr="004C2A83">
        <w:t>Required Skills and Knowledge</w:t>
      </w:r>
    </w:p>
    <w:tbl>
      <w:tblPr>
        <w:tblW w:w="0" w:type="auto"/>
        <w:tblLayout w:type="fixed"/>
        <w:tblCellMar>
          <w:left w:w="62" w:type="dxa"/>
          <w:right w:w="62" w:type="dxa"/>
        </w:tblCellMar>
        <w:tblLook w:val="0000"/>
      </w:tblPr>
      <w:tblGrid>
        <w:gridCol w:w="8522"/>
      </w:tblGrid>
      <w:tr w:rsidTr="007A7E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REQUIRED SKILLS AND KNOWLEDGE</w:t>
            </w:r>
          </w:p>
        </w:tc>
      </w:tr>
      <w:tr w:rsidTr="007A7E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This section describes the skills and knowledge required for this unit.</w:t>
            </w:r>
          </w:p>
        </w:tc>
      </w:tr>
      <w:tr w:rsidTr="007A7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Required skills</w:t>
            </w:r>
          </w:p>
        </w:tc>
      </w:tr>
      <w:tr w:rsidTr="007A7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Look for evidence that confirms skills in:</w:t>
            </w:r>
          </w:p>
          <w:p w:rsidR="00000000" w:rsidRPr="004C2A83" w:rsidP="004C2A83">
            <w:pPr>
              <w:pStyle w:val="ListBullet"/>
            </w:pPr>
            <w:r w:rsidRPr="004C2A83">
              <w:t>interpreting and following procedures</w:t>
            </w:r>
          </w:p>
          <w:p w:rsidR="00000000" w:rsidRPr="004C2A83" w:rsidP="004C2A83">
            <w:pPr>
              <w:pStyle w:val="ListBullet"/>
            </w:pPr>
            <w:r w:rsidRPr="004C2A83">
              <w:t>identifying inspection areas</w:t>
            </w:r>
          </w:p>
          <w:p w:rsidR="00000000" w:rsidRPr="004C2A83" w:rsidP="004C2A83">
            <w:pPr>
              <w:pStyle w:val="ListBullet"/>
            </w:pPr>
            <w:r w:rsidRPr="004C2A83">
              <w:t>identifying discontinuities and defects</w:t>
            </w:r>
          </w:p>
          <w:p w:rsidR="00000000" w:rsidRPr="004C2A83" w:rsidP="004C2A83">
            <w:pPr>
              <w:pStyle w:val="ListBullet"/>
            </w:pPr>
            <w:r w:rsidRPr="004C2A83">
              <w:t>selecting appropriate testing techniques, equipment and procedures</w:t>
            </w:r>
          </w:p>
          <w:p w:rsidR="00000000" w:rsidRPr="004C2A83" w:rsidP="004C2A83">
            <w:pPr>
              <w:pStyle w:val="ListBullet"/>
            </w:pPr>
            <w:r w:rsidRPr="004C2A83">
              <w:t>calculating and producing optimum qual</w:t>
            </w:r>
            <w:r w:rsidRPr="004C2A83">
              <w:t>ity radiographs</w:t>
            </w:r>
          </w:p>
          <w:p w:rsidR="00000000" w:rsidRPr="004C2A83" w:rsidP="004C2A83">
            <w:pPr>
              <w:pStyle w:val="ListBullet"/>
            </w:pPr>
            <w:r w:rsidRPr="004C2A83">
              <w:t>effectively designing exposure and storage areas</w:t>
            </w:r>
          </w:p>
          <w:p w:rsidR="00000000" w:rsidRPr="004C2A83" w:rsidP="004C2A83">
            <w:pPr>
              <w:pStyle w:val="ListBullet"/>
            </w:pPr>
            <w:r w:rsidRPr="004C2A83">
              <w:t>calculating shielding thicknesses</w:t>
            </w:r>
          </w:p>
          <w:p w:rsidR="00000000" w:rsidRPr="004C2A83" w:rsidP="004C2A83">
            <w:pPr>
              <w:pStyle w:val="ListBullet"/>
            </w:pPr>
            <w:r w:rsidRPr="004C2A83">
              <w:t>reading, interpreting and applying relative testing standards</w:t>
            </w:r>
          </w:p>
          <w:p w:rsidR="00000000" w:rsidRPr="004C2A83" w:rsidP="004C2A83">
            <w:pPr>
              <w:pStyle w:val="ListBullet"/>
            </w:pPr>
            <w:r w:rsidRPr="004C2A83">
              <w:t>reading, interpreting and applying relative conformance standards</w:t>
            </w:r>
          </w:p>
          <w:p w:rsidR="00000000" w:rsidRPr="004C2A83" w:rsidP="004C2A83">
            <w:pPr>
              <w:pStyle w:val="ListBullet"/>
            </w:pPr>
            <w:r w:rsidRPr="004C2A83">
              <w:t>documenting and reporting</w:t>
            </w:r>
          </w:p>
          <w:p w:rsidR="00000000" w:rsidP="004C2A83">
            <w:pPr>
              <w:pStyle w:val="ListBullet"/>
              <w:rPr>
                <w:lang w:val="en-NZ"/>
              </w:rPr>
            </w:pPr>
            <w:r w:rsidRPr="004C2A83">
              <w:t>assessing risk</w:t>
            </w:r>
          </w:p>
        </w:tc>
      </w:tr>
      <w:tr w:rsidTr="007A7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Required knowledge</w:t>
            </w:r>
          </w:p>
        </w:tc>
      </w:tr>
      <w:tr w:rsidTr="007A7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Look for evidence that confirms knowledge of:</w:t>
            </w:r>
          </w:p>
          <w:p w:rsidR="00000000" w:rsidRPr="004C2A83" w:rsidP="004C2A83">
            <w:pPr>
              <w:pStyle w:val="ListBullet"/>
            </w:pPr>
            <w:r w:rsidRPr="004C2A83">
              <w:t>cleaning and preparation processes for a range of test surfaces</w:t>
            </w:r>
          </w:p>
          <w:p w:rsidR="00000000" w:rsidRPr="004C2A83" w:rsidP="004C2A83">
            <w:pPr>
              <w:pStyle w:val="ListBullet"/>
            </w:pPr>
            <w:r w:rsidRPr="004C2A83">
              <w:t>cleaning and preparation processes for a range of test surfaces</w:t>
            </w:r>
          </w:p>
          <w:p w:rsidR="00000000" w:rsidRPr="004C2A83" w:rsidP="004C2A83">
            <w:pPr>
              <w:pStyle w:val="ListBullet"/>
            </w:pPr>
            <w:r w:rsidRPr="004C2A83">
              <w:t>assessment procedures and techniques</w:t>
            </w:r>
          </w:p>
          <w:p w:rsidR="00000000" w:rsidRPr="004C2A83" w:rsidP="004C2A83">
            <w:pPr>
              <w:pStyle w:val="ListBullet"/>
            </w:pPr>
            <w:r w:rsidRPr="004C2A83">
              <w:t>types of</w:t>
            </w:r>
            <w:r w:rsidRPr="004C2A83">
              <w:t xml:space="preserve"> discontinuities and their consequences/effect on the material</w:t>
            </w:r>
          </w:p>
          <w:p w:rsidR="00000000" w:rsidRPr="004C2A83" w:rsidP="004C2A83">
            <w:pPr>
              <w:pStyle w:val="ListBullet"/>
            </w:pPr>
            <w:r w:rsidRPr="004C2A83">
              <w:t>procedure for carrying out each radiographic test</w:t>
            </w:r>
          </w:p>
          <w:p w:rsidR="00000000" w:rsidRPr="004C2A83" w:rsidP="004C2A83">
            <w:pPr>
              <w:pStyle w:val="ListBullet"/>
            </w:pPr>
            <w:r w:rsidRPr="004C2A83">
              <w:t>principal types of X-ray generators and radioisotopes and their effect on radiographic sensitivity</w:t>
            </w:r>
          </w:p>
          <w:p w:rsidR="00000000" w:rsidRPr="004C2A83" w:rsidP="004C2A83">
            <w:pPr>
              <w:pStyle w:val="ListBullet"/>
            </w:pPr>
            <w:r w:rsidRPr="004C2A83">
              <w:t>tools, equipment, techniques and system verification checks</w:t>
            </w:r>
          </w:p>
          <w:p w:rsidR="00000000" w:rsidRPr="004C2A83" w:rsidP="004C2A83">
            <w:pPr>
              <w:pStyle w:val="ListBullet"/>
            </w:pPr>
            <w:r w:rsidRPr="004C2A83">
              <w:t>relevant standards, regulations and codes</w:t>
            </w:r>
          </w:p>
          <w:p w:rsidR="00000000" w:rsidRPr="004C2A83" w:rsidP="004C2A83">
            <w:pPr>
              <w:pStyle w:val="ListBullet"/>
            </w:pPr>
            <w:r w:rsidRPr="004C2A83">
              <w:t>hazards associated with radiographic testing</w:t>
            </w:r>
          </w:p>
          <w:p w:rsidR="00000000" w:rsidRPr="004C2A83" w:rsidP="004C2A83">
            <w:pPr>
              <w:pStyle w:val="ListBullet"/>
            </w:pPr>
            <w:r w:rsidRPr="004C2A83">
              <w:t>procedures for specialised radiographic applications</w:t>
            </w:r>
          </w:p>
          <w:p w:rsidR="00000000" w:rsidRPr="004C2A83" w:rsidP="004C2A83">
            <w:pPr>
              <w:pStyle w:val="ListBullet"/>
            </w:pPr>
            <w:r w:rsidRPr="004C2A83">
              <w:t>principles of image formation, film and chemical propert</w:t>
            </w:r>
            <w:r w:rsidRPr="004C2A83">
              <w:t>ies and processing techniques</w:t>
            </w:r>
          </w:p>
          <w:p w:rsidR="00000000" w:rsidRPr="004C2A83" w:rsidP="004C2A83">
            <w:pPr>
              <w:pStyle w:val="ListBullet"/>
            </w:pPr>
            <w:r w:rsidRPr="004C2A83">
              <w:t>various types of films and screens, their properties and effects on image quality</w:t>
            </w:r>
          </w:p>
          <w:p w:rsidR="00000000" w:rsidRPr="004C2A83" w:rsidP="004C2A83">
            <w:pPr>
              <w:pStyle w:val="ListBullet"/>
            </w:pPr>
            <w:r w:rsidRPr="004C2A83">
              <w:t>maintenance and storage procedures for test equipment</w:t>
            </w:r>
          </w:p>
          <w:p w:rsidR="00000000" w:rsidRPr="004C2A83" w:rsidP="004C2A83">
            <w:pPr>
              <w:pStyle w:val="ListBullet"/>
            </w:pPr>
            <w:r w:rsidRPr="004C2A83">
              <w:t>common faults and damage</w:t>
            </w:r>
          </w:p>
          <w:p w:rsidR="00000000" w:rsidRPr="004C2A83" w:rsidP="004C2A83">
            <w:pPr>
              <w:pStyle w:val="ListBullet"/>
            </w:pPr>
            <w:r w:rsidRPr="004C2A83">
              <w:t>safety features of radioisotope cameras and X-ray equipment</w:t>
            </w:r>
          </w:p>
          <w:p w:rsidR="00000000" w:rsidRPr="004C2A83" w:rsidP="004C2A83">
            <w:pPr>
              <w:pStyle w:val="ListBullet"/>
            </w:pPr>
            <w:r w:rsidRPr="004C2A83">
              <w:t>produ</w:t>
            </w:r>
            <w:r w:rsidRPr="004C2A83">
              <w:t>ction of X-rays and gamma rays</w:t>
            </w:r>
          </w:p>
          <w:p w:rsidR="00000000" w:rsidRPr="004C2A83" w:rsidP="004C2A83">
            <w:pPr>
              <w:pStyle w:val="ListBullet"/>
            </w:pPr>
            <w:r w:rsidRPr="004C2A83">
              <w:t>absorption of ionizing radiation by matter and the biological effects on living</w:t>
            </w:r>
          </w:p>
          <w:p w:rsidR="00000000" w:rsidRPr="004C2A83" w:rsidP="004C2A83">
            <w:pPr>
              <w:pStyle w:val="ListBullet"/>
            </w:pPr>
            <w:r w:rsidRPr="004C2A83">
              <w:t>X-ray equipment</w:t>
            </w:r>
          </w:p>
          <w:p w:rsidR="00000000" w:rsidRPr="004C2A83" w:rsidP="004C2A83">
            <w:pPr>
              <w:pStyle w:val="ListBullet"/>
            </w:pPr>
            <w:r w:rsidRPr="004C2A83">
              <w:t>gamma ray sources</w:t>
            </w:r>
          </w:p>
          <w:p w:rsidR="00000000" w:rsidRPr="004C2A83" w:rsidP="004C2A83">
            <w:pPr>
              <w:pStyle w:val="ListBullet"/>
            </w:pPr>
            <w:r w:rsidRPr="004C2A83">
              <w:t>comparison of X-ray and gamma ray sources on basis of energy and intensity</w:t>
            </w:r>
          </w:p>
          <w:p w:rsidR="00000000" w:rsidRPr="004C2A83" w:rsidP="004C2A83">
            <w:pPr>
              <w:pStyle w:val="ListBullet"/>
            </w:pPr>
            <w:r w:rsidRPr="004C2A83">
              <w:t>shielding thickness</w:t>
            </w:r>
          </w:p>
          <w:p w:rsidR="00000000" w:rsidRPr="004C2A83" w:rsidP="004C2A83">
            <w:pPr>
              <w:pStyle w:val="ListBullet"/>
            </w:pPr>
            <w:r w:rsidRPr="004C2A83">
              <w:t>exposure calcula</w:t>
            </w:r>
            <w:r w:rsidRPr="004C2A83">
              <w:t>tions</w:t>
            </w:r>
          </w:p>
          <w:p w:rsidR="00000000" w:rsidRPr="004C2A83" w:rsidP="004C2A83">
            <w:pPr>
              <w:pStyle w:val="ListBullet"/>
            </w:pPr>
            <w:r w:rsidRPr="004C2A83">
              <w:t>reciprocity law</w:t>
            </w:r>
          </w:p>
          <w:p w:rsidR="00000000" w:rsidRPr="004C2A83" w:rsidP="004C2A83">
            <w:pPr>
              <w:pStyle w:val="ListBullet"/>
            </w:pPr>
            <w:r w:rsidRPr="004C2A83">
              <w:t>preparation and use of exposure charts, radiographic equivalence charts</w:t>
            </w:r>
          </w:p>
          <w:p w:rsidR="00000000" w:rsidRPr="004C2A83" w:rsidP="004C2A83">
            <w:pPr>
              <w:pStyle w:val="ListBullet"/>
            </w:pPr>
            <w:r w:rsidRPr="004C2A83">
              <w:t>exposure techniques</w:t>
            </w:r>
          </w:p>
          <w:p w:rsidR="00000000" w:rsidRPr="004C2A83" w:rsidP="004C2A83">
            <w:pPr>
              <w:pStyle w:val="ListBullet"/>
            </w:pPr>
            <w:r w:rsidRPr="004C2A83">
              <w:t>equipment types</w:t>
            </w:r>
          </w:p>
          <w:p w:rsidR="00000000" w:rsidRPr="004C2A83" w:rsidP="004C2A83">
            <w:pPr>
              <w:pStyle w:val="ListBullet"/>
            </w:pPr>
            <w:r w:rsidRPr="004C2A83">
              <w:t>recording and reporting</w:t>
            </w:r>
          </w:p>
          <w:p w:rsidR="00000000" w:rsidRPr="004C2A83" w:rsidP="004C2A83">
            <w:pPr>
              <w:pStyle w:val="ListBullet"/>
            </w:pPr>
            <w:r w:rsidRPr="004C2A83">
              <w:t>safety aspects</w:t>
            </w:r>
          </w:p>
          <w:p w:rsidR="00000000" w:rsidRPr="004C2A83" w:rsidP="004C2A83">
            <w:pPr>
              <w:pStyle w:val="ListBullet"/>
            </w:pPr>
            <w:r w:rsidRPr="004C2A83">
              <w:t xml:space="preserve">types of materials </w:t>
            </w:r>
          </w:p>
          <w:p w:rsidR="00000000" w:rsidRPr="004C2A83" w:rsidP="004C2A83">
            <w:pPr>
              <w:pStyle w:val="ListBullet"/>
            </w:pPr>
            <w:r w:rsidRPr="004C2A83">
              <w:t>industrial applications</w:t>
            </w:r>
          </w:p>
          <w:p w:rsidR="00000000" w:rsidRPr="004C2A83" w:rsidP="004C2A83">
            <w:pPr>
              <w:pStyle w:val="ListBullet"/>
            </w:pPr>
            <w:r w:rsidRPr="004C2A83">
              <w:t>set-up procedures</w:t>
            </w:r>
          </w:p>
          <w:p w:rsidR="00000000" w:rsidRPr="004C2A83" w:rsidP="004C2A83">
            <w:pPr>
              <w:pStyle w:val="ListBullet"/>
            </w:pPr>
            <w:r w:rsidRPr="004C2A83">
              <w:t>methods/procedures for reporting test results</w:t>
            </w:r>
          </w:p>
          <w:p w:rsidR="00000000" w:rsidRPr="004C2A83" w:rsidP="004C2A83">
            <w:pPr>
              <w:pStyle w:val="ListBullet"/>
            </w:pPr>
            <w:r w:rsidRPr="004C2A83">
              <w:t>implications of test results for the particular material/application</w:t>
            </w:r>
          </w:p>
          <w:p w:rsidR="00000000" w:rsidRPr="004C2A83" w:rsidP="004C2A83">
            <w:pPr>
              <w:pStyle w:val="ListBullet"/>
            </w:pPr>
            <w:r w:rsidRPr="004C2A83">
              <w:t>any applicable industry standards, national/Australian standards, NOHSC guides, State/Territory regulatory codes of practice/standards</w:t>
            </w:r>
          </w:p>
          <w:p w:rsidR="00000000" w:rsidRPr="004C2A83" w:rsidP="004C2A83">
            <w:pPr>
              <w:pStyle w:val="ListBullet"/>
            </w:pPr>
            <w:r w:rsidRPr="004C2A83">
              <w:t>use an</w:t>
            </w:r>
            <w:r w:rsidRPr="004C2A83">
              <w:t>d application of personal protective equipment</w:t>
            </w:r>
          </w:p>
          <w:p w:rsidR="00000000" w:rsidRPr="004C2A83" w:rsidP="004C2A83">
            <w:pPr>
              <w:pStyle w:val="ListBullet"/>
            </w:pPr>
            <w:r w:rsidRPr="004C2A83">
              <w:t>safe work practices and procedures</w:t>
            </w:r>
          </w:p>
          <w:p w:rsidR="00000000" w:rsidRPr="004C2A83" w:rsidP="004C2A83">
            <w:pPr>
              <w:pStyle w:val="ListBullet"/>
            </w:pPr>
            <w:r w:rsidRPr="004C2A83">
              <w:t>relevant hazards and control measures related to the competency</w:t>
            </w:r>
          </w:p>
        </w:tc>
      </w:tr>
    </w:tbl>
    <w:p w:rsidR="007A7E24" w:rsidP="004C2A83">
      <w:pPr>
        <w:pStyle w:val="BodyText"/>
      </w:pPr>
    </w:p>
    <w:p w:rsidR="007A7E24" w:rsidP="004C2A83">
      <w:pPr>
        <w:pStyle w:val="BodyText"/>
      </w:pPr>
    </w:p>
    <w:p w:rsidR="00000000" w:rsidRPr="004C2A83" w:rsidP="004C2A83">
      <w:pPr>
        <w:pStyle w:val="AllowPageBreak"/>
      </w:pPr>
    </w:p>
    <w:p w:rsidR="00000000" w:rsidRPr="004C2A83" w:rsidP="004C2A83">
      <w:pPr>
        <w:pStyle w:val="Heading1"/>
      </w:pPr>
      <w:bookmarkStart w:id="10" w:name="O_245096"/>
      <w:bookmarkEnd w:id="10"/>
      <w:r w:rsidRPr="004C2A83">
        <w:t>Evidence Guide</w:t>
      </w:r>
    </w:p>
    <w:tbl>
      <w:tblPr>
        <w:tblW w:w="9570" w:type="dxa"/>
        <w:tblLayout w:type="fixed"/>
        <w:tblCellMar>
          <w:left w:w="62" w:type="dxa"/>
          <w:right w:w="62" w:type="dxa"/>
        </w:tblCellMar>
        <w:tblLook w:val="0000"/>
      </w:tblPr>
      <w:tblGrid>
        <w:gridCol w:w="3908"/>
        <w:gridCol w:w="5662"/>
      </w:tblGrid>
      <w:tr w:rsidTr="007A7E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EVIDENCE GUIDE</w:t>
            </w:r>
          </w:p>
        </w:tc>
      </w:tr>
      <w:tr w:rsidTr="007A7E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The evidence guide provides advice on assessment and must be read in conjunction with the performance criteria, required skills and knowledge, range statement and the Assessment Guidelines for the Training Package.</w:t>
            </w:r>
          </w:p>
        </w:tc>
      </w:tr>
      <w:tr w:rsidTr="007A7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A person wh</w:t>
            </w:r>
            <w:r w:rsidRPr="004C2A83">
              <w:t>o demonstrates competency in this unit must be able to perform basic radiographic testing. Competency in this unit cannot be claimed until all prerequisites have been satisfied.</w:t>
            </w:r>
          </w:p>
        </w:tc>
      </w:tr>
      <w:tr w:rsidTr="007A7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Critical aspects for assessment and evidence required to demonstrate competen</w:t>
            </w:r>
            <w:r w:rsidRPr="004C2A83">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Assessors must be satisfied that the candidate can competently and consistently perform all elements of the unit as specified by the criteria, including required knowledge, and be capable of applying the competency in new and different situ</w:t>
            </w:r>
            <w:r w:rsidRPr="004C2A83">
              <w:t>ations and contexts.</w:t>
            </w:r>
          </w:p>
        </w:tc>
      </w:tr>
      <w:tr w:rsidTr="007A7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This unit may be assessed on the job, off the job or a combination of both on and off the job. Where assessment occurs off the job, that is the candidate is not in productive work, then</w:t>
            </w:r>
            <w:r w:rsidRPr="004C2A83">
              <w:t xml:space="preserve"> an appropriate simulation must be used where the range of conditions reflects realistic workplace situations. The competencies covered by this unit would be demonstrated by an individual working alone or as part of a team. The assessment environment shoul</w:t>
            </w:r>
            <w:r w:rsidRPr="004C2A83">
              <w:t>d not disadvantage the candidate.</w:t>
            </w:r>
          </w:p>
          <w:p w:rsidR="00000000" w:rsidP="004C2A83">
            <w:pPr>
              <w:pStyle w:val="BodyText"/>
              <w:rPr>
                <w:lang w:val="en-NZ"/>
              </w:rPr>
            </w:pPr>
            <w:r w:rsidRPr="004C2A83">
              <w:t>This unit could be assessed in conjunction with any other units addressing the safety, quality, communication, materials handling, recording and reporting associated with performing basic radiographic testing procedures in</w:t>
            </w:r>
            <w:r w:rsidRPr="004C2A83">
              <w:t xml:space="preserve"> a range of industrial applications, or other units requiring the exercise of the skills and knowledge covered by this unit.</w:t>
            </w:r>
          </w:p>
        </w:tc>
      </w:tr>
      <w:tr w:rsidTr="007A7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Assessors should gather a range of evidence that is valid, sufficient, current and authentic. Evidence can be</w:t>
            </w:r>
            <w:r w:rsidRPr="004C2A83">
              <w:t xml:space="preserve"> gathered through a variety of ways including direct observation, supervisor's reports, project work, samples and questioning. Questioning techniques should not require language, literacy and numeracy skills beyond those required in this unit of competency</w:t>
            </w:r>
            <w:r w:rsidRPr="004C2A83">
              <w:t>. The candidate must have access to all tools, equipment, materials and documentation required. The candidate must be permitted to refer to any relevant workplace procedures, product and manufacturing specifications, codes, standards, manuals and reference</w:t>
            </w:r>
            <w:r w:rsidRPr="004C2A83">
              <w:t xml:space="preserve"> materials.</w:t>
            </w:r>
          </w:p>
        </w:tc>
      </w:tr>
      <w:tr w:rsidTr="007A7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p>
        </w:tc>
      </w:tr>
    </w:tbl>
    <w:p w:rsidR="007A7E24" w:rsidP="004C2A83">
      <w:pPr>
        <w:pStyle w:val="BodyText"/>
      </w:pPr>
    </w:p>
    <w:p w:rsidR="007A7E24" w:rsidP="004C2A83">
      <w:pPr>
        <w:pStyle w:val="BodyText"/>
      </w:pPr>
    </w:p>
    <w:p w:rsidR="00000000" w:rsidRPr="004C2A83" w:rsidP="004C2A83">
      <w:pPr>
        <w:pStyle w:val="Heading1"/>
      </w:pPr>
      <w:bookmarkStart w:id="11" w:name="O_253079"/>
      <w:bookmarkEnd w:id="11"/>
      <w:r w:rsidRPr="004C2A83">
        <w:t>Range Statement</w:t>
      </w:r>
    </w:p>
    <w:tbl>
      <w:tblPr>
        <w:tblW w:w="0" w:type="auto"/>
        <w:tblLayout w:type="fixed"/>
        <w:tblCellMar>
          <w:left w:w="62" w:type="dxa"/>
          <w:right w:w="62" w:type="dxa"/>
        </w:tblCellMar>
        <w:tblLook w:val="0000"/>
      </w:tblPr>
      <w:tblGrid>
        <w:gridCol w:w="3554"/>
        <w:gridCol w:w="4968"/>
      </w:tblGrid>
      <w:tr w:rsidTr="007A7E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RANGE STATEMENT</w:t>
            </w:r>
          </w:p>
        </w:tc>
      </w:tr>
      <w:tr w:rsidTr="007A7E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 xml:space="preserve">The range statement relates to the unit of competency as a whole. It allows for different work environments and situations that may affect </w:t>
            </w:r>
            <w:r w:rsidRPr="004C2A83">
              <w:t>performance. Bold italicised wording, if used in the performance criteria, is detailed below. Essential operating conditions that may be present with training and assessment (depending on the work situation, needs of the candidate, accessibility of the ite</w:t>
            </w:r>
            <w:r w:rsidRPr="004C2A83">
              <w:t>m, and local industry and regional contexts) may also be included.</w:t>
            </w:r>
          </w:p>
        </w:tc>
      </w:tr>
      <w:tr w:rsidTr="007A7E24">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Preparation processes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t>Surface cleaning and drying</w:t>
            </w:r>
          </w:p>
        </w:tc>
      </w:tr>
      <w:tr w:rsidTr="007A7E24">
        <w:tblPrEx>
          <w:tblW w:w="0" w:type="auto"/>
          <w:tblLayout w:type="fixed"/>
          <w:tblCellMar>
            <w:left w:w="62" w:type="dxa"/>
            <w:right w:w="62" w:type="dxa"/>
          </w:tblCellMar>
          <w:tblLook w:val="0000"/>
        </w:tblPrEx>
        <w:tc>
          <w:tcPr>
            <w:tcW w:w="3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Obvious discontinuities</w:t>
            </w:r>
          </w:p>
        </w:tc>
        <w:tc>
          <w:tcPr>
            <w:tcW w:w="4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Observed changes in material homogeneity</w:t>
            </w:r>
          </w:p>
        </w:tc>
      </w:tr>
    </w:tbl>
    <w:p w:rsidR="007A7E24" w:rsidP="004C2A83">
      <w:pPr>
        <w:pStyle w:val="BodyText"/>
      </w:pPr>
    </w:p>
    <w:p w:rsidR="007A7E24" w:rsidP="004C2A83">
      <w:pPr>
        <w:pStyle w:val="BodyText"/>
      </w:pPr>
    </w:p>
    <w:p w:rsidR="00000000" w:rsidRPr="004C2A83" w:rsidP="004C2A83">
      <w:pPr>
        <w:pStyle w:val="Heading1"/>
      </w:pPr>
      <w:bookmarkStart w:id="12" w:name="O_213237"/>
      <w:bookmarkEnd w:id="12"/>
      <w:r w:rsidRPr="004C2A83">
        <w:t>Unit Sector(s)</w:t>
      </w:r>
    </w:p>
    <w:tbl>
      <w:tblPr>
        <w:tblW w:w="0" w:type="auto"/>
        <w:tblLayout w:type="fixed"/>
        <w:tblCellMar>
          <w:left w:w="62" w:type="dxa"/>
          <w:right w:w="62" w:type="dxa"/>
        </w:tblCellMar>
        <w:tblLook w:val="0000"/>
      </w:tblPr>
      <w:tblGrid>
        <w:gridCol w:w="2654"/>
        <w:gridCol w:w="5868"/>
      </w:tblGrid>
      <w:tr w:rsidTr="007A7E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p>
        </w:tc>
      </w:tr>
    </w:tbl>
    <w:p w:rsidR="007A7E24" w:rsidP="004C2A83">
      <w:pPr>
        <w:pStyle w:val="BodyText"/>
      </w:pPr>
    </w:p>
    <w:p w:rsidR="007A7E24" w:rsidP="004C2A83">
      <w:pPr>
        <w:pStyle w:val="BodyText"/>
      </w:pPr>
    </w:p>
    <w:p w:rsidR="00000000" w:rsidRPr="004C2A83" w:rsidP="004C2A83">
      <w:pPr>
        <w:pStyle w:val="Heading1"/>
      </w:pPr>
      <w:bookmarkStart w:id="13" w:name="O_213234"/>
      <w:bookmarkEnd w:id="13"/>
      <w:r w:rsidRPr="004C2A83">
        <w:t>Co-requisite units</w:t>
      </w:r>
    </w:p>
    <w:tbl>
      <w:tblPr>
        <w:tblW w:w="0" w:type="auto"/>
        <w:tblLayout w:type="fixed"/>
        <w:tblCellMar>
          <w:left w:w="62" w:type="dxa"/>
          <w:right w:w="62" w:type="dxa"/>
        </w:tblCellMar>
        <w:tblLook w:val="0000"/>
      </w:tblPr>
      <w:tblGrid>
        <w:gridCol w:w="2641"/>
        <w:gridCol w:w="1322"/>
        <w:gridCol w:w="4559"/>
      </w:tblGrid>
      <w:tr w:rsidTr="007A7E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p>
        </w:tc>
      </w:tr>
      <w:tr w:rsidTr="007A7E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p>
        </w:tc>
      </w:tr>
      <w:tr w:rsidTr="007A7E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p>
        </w:tc>
      </w:tr>
    </w:tbl>
    <w:p w:rsidR="007A7E24" w:rsidP="004C2A83">
      <w:pPr>
        <w:pStyle w:val="BodyText"/>
      </w:pPr>
    </w:p>
    <w:p w:rsidR="007A7E24" w:rsidP="004C2A83">
      <w:pPr>
        <w:pStyle w:val="BodyText"/>
      </w:pPr>
    </w:p>
    <w:p w:rsidR="00000000" w:rsidRPr="004C2A83" w:rsidP="004C2A83">
      <w:pPr>
        <w:pStyle w:val="Heading1"/>
      </w:pPr>
      <w:bookmarkStart w:id="14" w:name="O_213236"/>
      <w:bookmarkEnd w:id="14"/>
      <w:r w:rsidRPr="004C2A83">
        <w:t>Competency field</w:t>
      </w:r>
    </w:p>
    <w:tbl>
      <w:tblPr>
        <w:tblW w:w="0" w:type="auto"/>
        <w:tblLayout w:type="fixed"/>
        <w:tblCellMar>
          <w:left w:w="62" w:type="dxa"/>
          <w:right w:w="62" w:type="dxa"/>
        </w:tblCellMar>
        <w:tblLook w:val="0000"/>
      </w:tblPr>
      <w:tblGrid>
        <w:gridCol w:w="2779"/>
        <w:gridCol w:w="5743"/>
      </w:tblGrid>
      <w:tr w:rsidTr="007A7E24">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A83">
            <w:pPr>
              <w:pStyle w:val="BodyText"/>
              <w:rPr>
                <w:lang w:val="en-NZ"/>
              </w:rPr>
            </w:pPr>
            <w:r w:rsidRPr="004C2A8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A83" w:rsidP="004C2A83">
            <w:pPr>
              <w:pStyle w:val="BodyText"/>
            </w:pPr>
            <w:r w:rsidRPr="004C2A83">
              <w:t>Non-destructive testing</w:t>
            </w:r>
          </w:p>
        </w:tc>
      </w:tr>
    </w:tbl>
    <w:p w:rsidR="007A7E24" w:rsidP="004C2A83">
      <w:pPr>
        <w:pStyle w:val="BodyText"/>
      </w:pPr>
    </w:p>
    <w:p w:rsidR="007A7E24" w:rsidP="004C2A83">
      <w:pPr>
        <w:pStyle w:val="BodyText"/>
      </w:pPr>
    </w:p>
    <w:p w:rsidR="00000000" w:rsidRPr="004C2A83" w:rsidP="004C2A83"/>
    <w:sectPr w:rsidSect="004C2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E24" w:rsidP="007A7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24" w:rsidP="004C2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7E24" w:rsidP="004C2A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7E24" w:rsidP="004C2A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E24" w:rsidP="007A7E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24" w:rsidP="004C2A83">
    <w:pPr>
      <w:pStyle w:val="Header"/>
      <w:framePr w:wrap="around"/>
    </w:pPr>
    <w:r>
      <w:fldChar w:fldCharType="begin"/>
    </w:r>
    <w:r>
      <w:instrText xml:space="preserve"> TITLE   \* MERGEFORMAT </w:instrText>
    </w:r>
    <w:r>
      <w:fldChar w:fldCharType="separate"/>
    </w:r>
    <w:r>
      <w:t>MEM24009B Perform basic radiographic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7E24" w:rsidP="004C2A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1A3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4A54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A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A83"/>
    <w:pPr>
      <w:spacing w:before="360" w:after="60"/>
      <w:outlineLvl w:val="0"/>
    </w:pPr>
    <w:rPr>
      <w:sz w:val="32"/>
    </w:rPr>
  </w:style>
  <w:style w:type="paragraph" w:styleId="Heading2">
    <w:name w:val="heading 2"/>
    <w:basedOn w:val="HeadingBase"/>
    <w:next w:val="BodyText"/>
    <w:link w:val="Heading2Char"/>
    <w:qFormat/>
    <w:rsid w:val="004C2A83"/>
    <w:pPr>
      <w:keepLines/>
      <w:spacing w:before="240" w:after="120"/>
      <w:outlineLvl w:val="1"/>
    </w:pPr>
    <w:rPr>
      <w:sz w:val="28"/>
      <w:szCs w:val="40"/>
    </w:rPr>
  </w:style>
  <w:style w:type="paragraph" w:styleId="Heading3">
    <w:name w:val="heading 3"/>
    <w:basedOn w:val="HeadingBase"/>
    <w:next w:val="BodyText"/>
    <w:link w:val="Heading3Char"/>
    <w:qFormat/>
    <w:rsid w:val="004C2A83"/>
    <w:pPr>
      <w:spacing w:before="180" w:after="120"/>
      <w:outlineLvl w:val="2"/>
    </w:pPr>
    <w:rPr>
      <w:spacing w:val="-10"/>
      <w:kern w:val="32"/>
    </w:rPr>
  </w:style>
  <w:style w:type="paragraph" w:styleId="Heading4">
    <w:name w:val="heading 4"/>
    <w:basedOn w:val="HeadingBase"/>
    <w:next w:val="BodyText"/>
    <w:link w:val="Heading4Char"/>
    <w:qFormat/>
    <w:rsid w:val="004C2A83"/>
    <w:pPr>
      <w:spacing w:before="160" w:after="120"/>
      <w:outlineLvl w:val="3"/>
    </w:pPr>
    <w:rPr>
      <w:sz w:val="22"/>
    </w:rPr>
  </w:style>
  <w:style w:type="paragraph" w:styleId="Heading5">
    <w:name w:val="heading 5"/>
    <w:basedOn w:val="HeadingBase"/>
    <w:next w:val="Normal"/>
    <w:link w:val="Heading5Char"/>
    <w:qFormat/>
    <w:rsid w:val="004C2A83"/>
    <w:pPr>
      <w:spacing w:before="80"/>
      <w:outlineLvl w:val="4"/>
    </w:pPr>
    <w:rPr>
      <w:color w:val="918585"/>
      <w:sz w:val="20"/>
    </w:rPr>
  </w:style>
  <w:style w:type="paragraph" w:styleId="Heading6">
    <w:name w:val="heading 6"/>
    <w:basedOn w:val="HeadingBase"/>
    <w:next w:val="Normal"/>
    <w:link w:val="Heading6Char"/>
    <w:qFormat/>
    <w:rsid w:val="004C2A83"/>
    <w:pPr>
      <w:spacing w:before="60"/>
      <w:outlineLvl w:val="5"/>
    </w:pPr>
    <w:rPr>
      <w:color w:val="918585"/>
      <w:sz w:val="20"/>
    </w:rPr>
  </w:style>
  <w:style w:type="paragraph" w:styleId="Heading7">
    <w:name w:val="heading 7"/>
    <w:basedOn w:val="Normal"/>
    <w:next w:val="Normal"/>
    <w:link w:val="Heading7Char"/>
    <w:qFormat/>
    <w:rsid w:val="004C2A83"/>
    <w:pPr>
      <w:ind w:left="720"/>
      <w:outlineLvl w:val="6"/>
    </w:pPr>
    <w:rPr>
      <w:i/>
    </w:rPr>
  </w:style>
  <w:style w:type="paragraph" w:styleId="Heading8">
    <w:name w:val="heading 8"/>
    <w:basedOn w:val="Normal"/>
    <w:next w:val="Normal"/>
    <w:link w:val="Heading8Char"/>
    <w:qFormat/>
    <w:rsid w:val="004C2A83"/>
    <w:pPr>
      <w:ind w:left="720"/>
      <w:outlineLvl w:val="7"/>
    </w:pPr>
    <w:rPr>
      <w:i/>
    </w:rPr>
  </w:style>
  <w:style w:type="paragraph" w:styleId="Heading9">
    <w:name w:val="heading 9"/>
    <w:basedOn w:val="Normal"/>
    <w:next w:val="Normal"/>
    <w:link w:val="Heading9Char"/>
    <w:qFormat/>
    <w:rsid w:val="004C2A83"/>
    <w:pPr>
      <w:ind w:left="720"/>
      <w:outlineLvl w:val="8"/>
    </w:pPr>
    <w:rPr>
      <w:i/>
    </w:rPr>
  </w:style>
  <w:style w:type="character" w:default="1" w:styleId="DefaultParagraphFont">
    <w:name w:val="Default Paragraph Font"/>
    <w:uiPriority w:val="1"/>
    <w:unhideWhenUsed/>
    <w:rsid w:val="004C2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A83"/>
  </w:style>
  <w:style w:type="character" w:customStyle="1" w:styleId="Heading1Char">
    <w:name w:val="Heading 1 Char"/>
    <w:link w:val="Heading1"/>
    <w:rsid w:val="004C2A83"/>
    <w:rPr>
      <w:rFonts w:ascii="Times New Roman" w:eastAsia="Times New Roman" w:hAnsi="Times New Roman" w:cs="Times New Roman"/>
      <w:b/>
      <w:sz w:val="32"/>
      <w:szCs w:val="20"/>
      <w:lang w:eastAsia="en-US"/>
    </w:rPr>
  </w:style>
  <w:style w:type="paragraph" w:styleId="BodyText">
    <w:name w:val="Body Text"/>
    <w:basedOn w:val="Normal"/>
    <w:link w:val="BodyTextChar"/>
    <w:rsid w:val="004C2A83"/>
    <w:pPr>
      <w:spacing w:before="120" w:after="120"/>
      <w:contextualSpacing/>
    </w:pPr>
    <w:rPr>
      <w:rFonts w:ascii="Times New Roman" w:hAnsi="Times New Roman"/>
      <w:sz w:val="24"/>
      <w:szCs w:val="22"/>
    </w:rPr>
  </w:style>
  <w:style w:type="character" w:customStyle="1" w:styleId="BodyTextChar">
    <w:name w:val="Body Text Char"/>
    <w:link w:val="BodyText"/>
    <w:rsid w:val="004C2A83"/>
    <w:rPr>
      <w:rFonts w:ascii="Times New Roman" w:eastAsia="Times New Roman" w:hAnsi="Times New Roman" w:cs="Times New Roman"/>
      <w:sz w:val="24"/>
      <w:lang w:val="en-US" w:eastAsia="en-US"/>
    </w:rPr>
  </w:style>
  <w:style w:type="paragraph" w:styleId="Footer">
    <w:name w:val="footer"/>
    <w:basedOn w:val="Normal"/>
    <w:link w:val="FooterChar"/>
    <w:rsid w:val="004C2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2A83"/>
    <w:rPr>
      <w:rFonts w:ascii="Times New Roman" w:eastAsia="Times New Roman" w:hAnsi="Times New Roman" w:cs="Times New Roman"/>
      <w:sz w:val="16"/>
      <w:lang w:val="en-US" w:eastAsia="en-US"/>
    </w:rPr>
  </w:style>
  <w:style w:type="paragraph" w:styleId="List">
    <w:name w:val="List"/>
    <w:basedOn w:val="BodyText"/>
    <w:next w:val="BodyText"/>
    <w:rsid w:val="004C2A83"/>
    <w:pPr>
      <w:tabs>
        <w:tab w:val="left" w:pos="340"/>
      </w:tabs>
      <w:spacing w:before="60" w:after="60"/>
      <w:ind w:left="340" w:hanging="340"/>
    </w:pPr>
  </w:style>
  <w:style w:type="paragraph" w:styleId="ListBullet">
    <w:name w:val="List Bullet"/>
    <w:basedOn w:val="List"/>
    <w:rsid w:val="004C2A83"/>
    <w:pPr>
      <w:numPr>
        <w:numId w:val="12"/>
      </w:numPr>
      <w:tabs>
        <w:tab w:val="clear" w:pos="340"/>
      </w:tabs>
      <w:spacing w:before="40" w:after="40"/>
    </w:pPr>
  </w:style>
  <w:style w:type="character" w:customStyle="1" w:styleId="SpecialBold">
    <w:name w:val="Special Bold"/>
    <w:rsid w:val="004C2A83"/>
    <w:rPr>
      <w:b/>
      <w:spacing w:val="0"/>
    </w:rPr>
  </w:style>
  <w:style w:type="paragraph" w:styleId="Header">
    <w:name w:val="header"/>
    <w:basedOn w:val="Normal"/>
    <w:link w:val="HeaderChar"/>
    <w:rsid w:val="004C2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2A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2A83"/>
    <w:pPr>
      <w:spacing w:before="240" w:after="120"/>
      <w:outlineLvl w:val="0"/>
    </w:pPr>
    <w:rPr>
      <w:rFonts w:ascii="Times New Roman" w:hAnsi="Times New Roman"/>
      <w:b/>
      <w:sz w:val="28"/>
    </w:rPr>
  </w:style>
  <w:style w:type="paragraph" w:customStyle="1" w:styleId="AllowPageBreak">
    <w:name w:val="AllowPageBreak"/>
    <w:rsid w:val="004C2A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2A83"/>
    <w:pPr>
      <w:tabs>
        <w:tab w:val="left" w:pos="680"/>
      </w:tabs>
      <w:spacing w:before="60" w:after="60"/>
      <w:ind w:left="680" w:hanging="340"/>
    </w:pPr>
  </w:style>
  <w:style w:type="character" w:customStyle="1" w:styleId="Heading2Char">
    <w:name w:val="Heading 2 Char"/>
    <w:link w:val="Heading2"/>
    <w:rsid w:val="004C2A83"/>
    <w:rPr>
      <w:rFonts w:ascii="Times New Roman" w:eastAsia="Times New Roman" w:hAnsi="Times New Roman" w:cs="Times New Roman"/>
      <w:b/>
      <w:sz w:val="28"/>
      <w:szCs w:val="40"/>
      <w:lang w:eastAsia="en-US"/>
    </w:rPr>
  </w:style>
  <w:style w:type="character" w:customStyle="1" w:styleId="Heading3Char">
    <w:name w:val="Heading 3 Char"/>
    <w:link w:val="Heading3"/>
    <w:rsid w:val="004C2A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2A83"/>
    <w:rPr>
      <w:rFonts w:ascii="Times New Roman" w:eastAsia="Times New Roman" w:hAnsi="Times New Roman" w:cs="Times New Roman"/>
      <w:b/>
      <w:szCs w:val="20"/>
      <w:lang w:eastAsia="en-US"/>
    </w:rPr>
  </w:style>
  <w:style w:type="character" w:customStyle="1" w:styleId="Heading5Char">
    <w:name w:val="Heading 5 Char"/>
    <w:link w:val="Heading5"/>
    <w:rsid w:val="004C2A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2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A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A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A83"/>
    <w:rPr>
      <w:rFonts w:ascii="Courier New" w:eastAsia="Times New Roman" w:hAnsi="Courier New" w:cs="Times New Roman"/>
      <w:i/>
      <w:szCs w:val="20"/>
      <w:lang w:val="en-US" w:eastAsia="en-US"/>
    </w:rPr>
  </w:style>
  <w:style w:type="paragraph" w:customStyle="1" w:styleId="HeadingBase">
    <w:name w:val="Heading Base"/>
    <w:rsid w:val="004C2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A83"/>
    <w:pPr>
      <w:tabs>
        <w:tab w:val="right" w:leader="dot" w:pos="9072"/>
      </w:tabs>
      <w:ind w:left="567"/>
    </w:pPr>
    <w:rPr>
      <w:szCs w:val="22"/>
    </w:rPr>
  </w:style>
  <w:style w:type="paragraph" w:customStyle="1" w:styleId="TOCBase">
    <w:name w:val="TOC Base"/>
    <w:rsid w:val="004C2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A83"/>
    <w:pPr>
      <w:tabs>
        <w:tab w:val="right" w:leader="dot" w:pos="9072"/>
      </w:tabs>
      <w:spacing w:before="40" w:after="40"/>
      <w:ind w:left="284"/>
    </w:pPr>
    <w:rPr>
      <w:rFonts w:ascii="Times New Roman" w:hAnsi="Times New Roman"/>
    </w:rPr>
  </w:style>
  <w:style w:type="paragraph" w:styleId="TOC1">
    <w:name w:val="toc 1"/>
    <w:basedOn w:val="TOCBase"/>
    <w:next w:val="Normal"/>
    <w:rsid w:val="004C2A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A83"/>
    <w:pPr>
      <w:spacing w:before="5040"/>
      <w:jc w:val="center"/>
    </w:pPr>
    <w:rPr>
      <w:sz w:val="48"/>
      <w:szCs w:val="72"/>
      <w:lang w:val="en-US"/>
    </w:rPr>
  </w:style>
  <w:style w:type="character" w:customStyle="1" w:styleId="TitleChar">
    <w:name w:val="Title Char"/>
    <w:link w:val="Title"/>
    <w:rsid w:val="004C2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A83"/>
    <w:pPr>
      <w:tabs>
        <w:tab w:val="left" w:pos="3600"/>
        <w:tab w:val="left" w:pos="3958"/>
      </w:tabs>
    </w:pPr>
  </w:style>
  <w:style w:type="paragraph" w:customStyle="1" w:styleId="Note">
    <w:name w:val="Note"/>
    <w:basedOn w:val="BodyText"/>
    <w:rsid w:val="004C2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A83"/>
    <w:pPr>
      <w:framePr w:wrap="auto" w:hAnchor="text" w:y="6049"/>
    </w:pPr>
    <w:rPr>
      <w:color w:val="000000"/>
      <w:sz w:val="40"/>
    </w:rPr>
  </w:style>
  <w:style w:type="paragraph" w:customStyle="1" w:styleId="TOCTitle">
    <w:name w:val="TOCTitle"/>
    <w:basedOn w:val="Heading1"/>
    <w:rsid w:val="004C2A83"/>
    <w:pPr>
      <w:spacing w:after="240"/>
      <w:jc w:val="center"/>
      <w:outlineLvl w:val="9"/>
    </w:pPr>
    <w:rPr>
      <w:caps/>
    </w:rPr>
  </w:style>
  <w:style w:type="paragraph" w:customStyle="1" w:styleId="Version">
    <w:name w:val="Version"/>
    <w:rsid w:val="004C2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A83"/>
    <w:pPr>
      <w:numPr>
        <w:numId w:val="13"/>
      </w:numPr>
      <w:tabs>
        <w:tab w:val="clear" w:pos="680"/>
      </w:tabs>
    </w:pPr>
  </w:style>
  <w:style w:type="paragraph" w:styleId="Index1">
    <w:name w:val="index 1"/>
    <w:basedOn w:val="Normal"/>
    <w:next w:val="Normal"/>
    <w:semiHidden/>
    <w:rsid w:val="004C2A83"/>
    <w:pPr>
      <w:keepNext w:val="0"/>
      <w:tabs>
        <w:tab w:val="right" w:pos="4176"/>
      </w:tabs>
      <w:ind w:left="198" w:hanging="198"/>
    </w:pPr>
    <w:rPr>
      <w:rFonts w:ascii="Garamond" w:hAnsi="Garamond"/>
    </w:rPr>
  </w:style>
  <w:style w:type="paragraph" w:styleId="IndexHeading">
    <w:name w:val="index heading"/>
    <w:basedOn w:val="Normal"/>
    <w:next w:val="Index1"/>
    <w:semiHidden/>
    <w:rsid w:val="004C2A83"/>
    <w:pPr>
      <w:spacing w:before="120" w:after="120"/>
    </w:pPr>
    <w:rPr>
      <w:rFonts w:ascii="Arial" w:hAnsi="Arial"/>
      <w:b/>
      <w:color w:val="918585"/>
      <w:sz w:val="24"/>
    </w:rPr>
  </w:style>
  <w:style w:type="paragraph" w:customStyle="1" w:styleId="Chapter">
    <w:name w:val="Chapter"/>
    <w:basedOn w:val="Normal"/>
    <w:rsid w:val="004C2A83"/>
    <w:pPr>
      <w:spacing w:before="240"/>
    </w:pPr>
    <w:rPr>
      <w:rFonts w:ascii="Times New Roman" w:hAnsi="Times New Roman"/>
      <w:smallCaps/>
      <w:spacing w:val="80"/>
      <w:sz w:val="28"/>
    </w:rPr>
  </w:style>
  <w:style w:type="paragraph" w:customStyle="1" w:styleId="InChapter">
    <w:name w:val="InChapter"/>
    <w:basedOn w:val="Heading3"/>
    <w:rsid w:val="004C2A83"/>
    <w:pPr>
      <w:spacing w:after="240"/>
      <w:outlineLvl w:val="9"/>
    </w:pPr>
    <w:rPr>
      <w:noProof/>
    </w:rPr>
  </w:style>
  <w:style w:type="paragraph" w:styleId="Index2">
    <w:name w:val="index 2"/>
    <w:basedOn w:val="Normal"/>
    <w:next w:val="Normal"/>
    <w:semiHidden/>
    <w:rsid w:val="004C2A83"/>
    <w:pPr>
      <w:tabs>
        <w:tab w:val="right" w:pos="4176"/>
      </w:tabs>
      <w:ind w:left="568" w:hanging="284"/>
    </w:pPr>
    <w:rPr>
      <w:rFonts w:ascii="Garamond" w:hAnsi="Garamond"/>
    </w:rPr>
  </w:style>
  <w:style w:type="paragraph" w:customStyle="1" w:styleId="Byline">
    <w:name w:val="Byline"/>
    <w:rsid w:val="004C2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A83"/>
    <w:pPr>
      <w:tabs>
        <w:tab w:val="clear" w:pos="3600"/>
        <w:tab w:val="clear" w:pos="3958"/>
      </w:tabs>
      <w:jc w:val="right"/>
    </w:pPr>
  </w:style>
  <w:style w:type="character" w:styleId="Emphasis">
    <w:name w:val="Emphasis"/>
    <w:qFormat/>
    <w:rsid w:val="004C2A83"/>
    <w:rPr>
      <w:i/>
    </w:rPr>
  </w:style>
  <w:style w:type="paragraph" w:styleId="Caption">
    <w:name w:val="caption"/>
    <w:basedOn w:val="BodyText"/>
    <w:next w:val="Normal"/>
    <w:qFormat/>
    <w:rsid w:val="004C2A83"/>
    <w:pPr>
      <w:framePr w:w="2268" w:hSpace="181" w:vSpace="181" w:wrap="around" w:vAnchor="text" w:hAnchor="page" w:x="1135" w:y="285" w:anchorLock="1"/>
    </w:pPr>
    <w:rPr>
      <w:i/>
    </w:rPr>
  </w:style>
  <w:style w:type="paragraph" w:customStyle="1" w:styleId="MiniTOCTitle">
    <w:name w:val="MiniTOCTitle"/>
    <w:basedOn w:val="Heading4"/>
    <w:rsid w:val="004C2A83"/>
    <w:pPr>
      <w:spacing w:before="240"/>
      <w:outlineLvl w:val="9"/>
    </w:pPr>
    <w:rPr>
      <w:noProof/>
      <w:sz w:val="24"/>
    </w:rPr>
  </w:style>
  <w:style w:type="paragraph" w:customStyle="1" w:styleId="MiniTOCItem">
    <w:name w:val="MiniTOCItem"/>
    <w:basedOn w:val="ListBullet"/>
    <w:rsid w:val="004C2A83"/>
    <w:pPr>
      <w:numPr>
        <w:numId w:val="0"/>
      </w:numPr>
      <w:tabs>
        <w:tab w:val="right" w:leader="dot" w:pos="6521"/>
      </w:tabs>
      <w:spacing w:before="0" w:after="0"/>
    </w:pPr>
  </w:style>
  <w:style w:type="paragraph" w:customStyle="1" w:styleId="TOFTitle">
    <w:name w:val="TOFTitle"/>
    <w:basedOn w:val="TOCTitle"/>
    <w:rsid w:val="004C2A83"/>
  </w:style>
  <w:style w:type="paragraph" w:styleId="TableofFigures">
    <w:name w:val="table of figures"/>
    <w:basedOn w:val="Normal"/>
    <w:next w:val="Normal"/>
    <w:semiHidden/>
    <w:rsid w:val="004C2A83"/>
    <w:pPr>
      <w:tabs>
        <w:tab w:val="right" w:leader="dot" w:pos="9072"/>
      </w:tabs>
      <w:ind w:left="970" w:hanging="403"/>
    </w:pPr>
    <w:rPr>
      <w:rFonts w:ascii="Times New Roman" w:hAnsi="Times New Roman"/>
      <w:b/>
    </w:rPr>
  </w:style>
  <w:style w:type="paragraph" w:styleId="ListNumber">
    <w:name w:val="List Number"/>
    <w:basedOn w:val="List"/>
    <w:rsid w:val="004C2A83"/>
    <w:pPr>
      <w:numPr>
        <w:numId w:val="10"/>
      </w:numPr>
    </w:pPr>
  </w:style>
  <w:style w:type="character" w:customStyle="1" w:styleId="WingdingSymbols">
    <w:name w:val="Wingding Symbols"/>
    <w:rsid w:val="004C2A83"/>
    <w:rPr>
      <w:rFonts w:ascii="Wingdings" w:hAnsi="Wingdings"/>
    </w:rPr>
  </w:style>
  <w:style w:type="paragraph" w:customStyle="1" w:styleId="TableHeading">
    <w:name w:val="Table Heading"/>
    <w:basedOn w:val="HeadingBase"/>
    <w:rsid w:val="004C2A83"/>
    <w:pPr>
      <w:keepLines/>
      <w:pBdr>
        <w:bottom w:val="single" w:sz="6" w:space="1" w:color="918585"/>
      </w:pBdr>
      <w:spacing w:before="240"/>
    </w:pPr>
  </w:style>
  <w:style w:type="character" w:customStyle="1" w:styleId="HotSpot">
    <w:name w:val="HotSpot"/>
    <w:rsid w:val="004C2A83"/>
    <w:rPr>
      <w:color w:val="0033CC"/>
      <w:u w:val="none"/>
    </w:rPr>
  </w:style>
  <w:style w:type="paragraph" w:customStyle="1" w:styleId="BodyTextRight">
    <w:name w:val="Body Text Right"/>
    <w:basedOn w:val="BodyText"/>
    <w:rsid w:val="004C2A83"/>
    <w:pPr>
      <w:spacing w:before="0" w:after="0"/>
      <w:jc w:val="right"/>
    </w:pPr>
  </w:style>
  <w:style w:type="paragraph" w:styleId="Index3">
    <w:name w:val="index 3"/>
    <w:basedOn w:val="ListNumber2"/>
    <w:next w:val="Normal"/>
    <w:semiHidden/>
    <w:rsid w:val="004C2A83"/>
    <w:pPr>
      <w:numPr>
        <w:numId w:val="0"/>
      </w:numPr>
      <w:tabs>
        <w:tab w:val="right" w:leader="dot" w:pos="4176"/>
      </w:tabs>
    </w:pPr>
  </w:style>
  <w:style w:type="paragraph" w:styleId="ListNumber2">
    <w:name w:val="List Number 2"/>
    <w:basedOn w:val="List2"/>
    <w:rsid w:val="004C2A83"/>
    <w:pPr>
      <w:numPr>
        <w:numId w:val="9"/>
      </w:numPr>
      <w:tabs>
        <w:tab w:val="clear" w:pos="1060"/>
      </w:tabs>
    </w:pPr>
  </w:style>
  <w:style w:type="paragraph" w:customStyle="1" w:styleId="MarginNote">
    <w:name w:val="Margin Note"/>
    <w:basedOn w:val="BodyText"/>
    <w:rsid w:val="004C2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2A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A83"/>
    <w:rPr>
      <w:sz w:val="32"/>
    </w:rPr>
  </w:style>
  <w:style w:type="paragraph" w:customStyle="1" w:styleId="HeadingProcedure">
    <w:name w:val="Heading Procedure"/>
    <w:basedOn w:val="HeadingBase"/>
    <w:next w:val="Normal"/>
    <w:rsid w:val="004C2A83"/>
    <w:pPr>
      <w:tabs>
        <w:tab w:val="left" w:pos="0"/>
      </w:tabs>
      <w:spacing w:before="120" w:after="60"/>
    </w:pPr>
    <w:rPr>
      <w:i/>
      <w:color w:val="918585"/>
      <w:sz w:val="22"/>
    </w:rPr>
  </w:style>
  <w:style w:type="paragraph" w:customStyle="1" w:styleId="TableBodyText">
    <w:name w:val="Table Body Text"/>
    <w:basedOn w:val="BodyText"/>
    <w:rsid w:val="004C2A83"/>
    <w:pPr>
      <w:spacing w:before="60" w:after="60"/>
    </w:pPr>
  </w:style>
  <w:style w:type="paragraph" w:styleId="ListContinue">
    <w:name w:val="List Continue"/>
    <w:basedOn w:val="List"/>
    <w:rsid w:val="004C2A83"/>
    <w:pPr>
      <w:ind w:firstLine="0"/>
    </w:pPr>
  </w:style>
  <w:style w:type="paragraph" w:customStyle="1" w:styleId="ListNote">
    <w:name w:val="List Note"/>
    <w:basedOn w:val="List"/>
    <w:rsid w:val="004C2A83"/>
    <w:pPr>
      <w:pBdr>
        <w:top w:val="single" w:sz="6" w:space="2" w:color="918585"/>
        <w:bottom w:val="single" w:sz="6" w:space="2" w:color="918585"/>
      </w:pBdr>
      <w:tabs>
        <w:tab w:val="left" w:pos="1021"/>
      </w:tabs>
      <w:ind w:firstLine="0"/>
    </w:pPr>
  </w:style>
  <w:style w:type="paragraph" w:customStyle="1" w:styleId="Warning">
    <w:name w:val="Warning"/>
    <w:basedOn w:val="BodyText"/>
    <w:rsid w:val="004C2A83"/>
    <w:pPr>
      <w:shd w:val="clear" w:color="auto" w:fill="D9D9D9"/>
      <w:tabs>
        <w:tab w:val="left" w:pos="992"/>
      </w:tabs>
      <w:ind w:left="119" w:right="119"/>
    </w:pPr>
    <w:rPr>
      <w:sz w:val="20"/>
    </w:rPr>
  </w:style>
  <w:style w:type="paragraph" w:customStyle="1" w:styleId="MarginIcons">
    <w:name w:val="Margin Icons"/>
    <w:basedOn w:val="BodyText"/>
    <w:rsid w:val="004C2A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2A83"/>
    <w:rPr>
      <w:rFonts w:ascii="Courier New" w:hAnsi="Courier New"/>
    </w:rPr>
  </w:style>
  <w:style w:type="paragraph" w:customStyle="1" w:styleId="NoteBullet">
    <w:name w:val="Note Bullet"/>
    <w:basedOn w:val="Note"/>
    <w:rsid w:val="004C2A83"/>
    <w:pPr>
      <w:tabs>
        <w:tab w:val="clear" w:pos="680"/>
      </w:tabs>
      <w:spacing w:before="60" w:after="60"/>
    </w:pPr>
  </w:style>
  <w:style w:type="paragraph" w:customStyle="1" w:styleId="SubHeading2">
    <w:name w:val="SubHeading2"/>
    <w:basedOn w:val="HeadingBase"/>
    <w:rsid w:val="004C2A83"/>
    <w:pPr>
      <w:spacing w:before="240" w:after="60"/>
    </w:pPr>
    <w:rPr>
      <w:sz w:val="20"/>
    </w:rPr>
  </w:style>
  <w:style w:type="paragraph" w:customStyle="1" w:styleId="SubHeading1">
    <w:name w:val="SubHeading1"/>
    <w:basedOn w:val="HeadingBase"/>
    <w:rsid w:val="004C2A83"/>
    <w:pPr>
      <w:spacing w:before="240" w:after="60"/>
    </w:pPr>
    <w:rPr>
      <w:color w:val="918585"/>
      <w:sz w:val="22"/>
    </w:rPr>
  </w:style>
  <w:style w:type="paragraph" w:customStyle="1" w:styleId="SideHeading">
    <w:name w:val="Side Heading"/>
    <w:basedOn w:val="HeadingBase"/>
    <w:rsid w:val="004C2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A83"/>
    <w:pPr>
      <w:tabs>
        <w:tab w:val="num" w:pos="360"/>
      </w:tabs>
    </w:pPr>
  </w:style>
  <w:style w:type="paragraph" w:styleId="PlainText">
    <w:name w:val="Plain Text"/>
    <w:basedOn w:val="Normal"/>
    <w:link w:val="PlainTextChar"/>
    <w:rsid w:val="004C2A83"/>
    <w:rPr>
      <w:sz w:val="20"/>
    </w:rPr>
  </w:style>
  <w:style w:type="character" w:customStyle="1" w:styleId="PlainTextChar">
    <w:name w:val="Plain Text Char"/>
    <w:basedOn w:val="DefaultParagraphFont"/>
    <w:link w:val="PlainText"/>
    <w:rsid w:val="004C2A83"/>
    <w:rPr>
      <w:rFonts w:ascii="Courier New" w:eastAsia="Times New Roman" w:hAnsi="Courier New" w:cs="Times New Roman"/>
      <w:sz w:val="20"/>
      <w:szCs w:val="20"/>
      <w:lang w:val="en-US" w:eastAsia="en-US"/>
    </w:rPr>
  </w:style>
  <w:style w:type="character" w:customStyle="1" w:styleId="MenuOption">
    <w:name w:val="Menu Option"/>
    <w:rsid w:val="004C2A83"/>
    <w:rPr>
      <w:b/>
      <w:smallCaps/>
    </w:rPr>
  </w:style>
  <w:style w:type="paragraph" w:customStyle="1" w:styleId="TableListNumber">
    <w:name w:val="Table List Number"/>
    <w:basedOn w:val="ListNumber"/>
    <w:rsid w:val="004C2A83"/>
    <w:pPr>
      <w:numPr>
        <w:numId w:val="0"/>
      </w:numPr>
    </w:pPr>
  </w:style>
  <w:style w:type="paragraph" w:styleId="TOC4">
    <w:name w:val="toc 4"/>
    <w:basedOn w:val="TOCBase"/>
    <w:next w:val="Normal"/>
    <w:semiHidden/>
    <w:rsid w:val="004C2A83"/>
    <w:pPr>
      <w:tabs>
        <w:tab w:val="right" w:leader="dot" w:pos="9071"/>
      </w:tabs>
      <w:ind w:left="1701"/>
    </w:pPr>
  </w:style>
  <w:style w:type="paragraph" w:customStyle="1" w:styleId="ListAlpha">
    <w:name w:val="List Alpha"/>
    <w:basedOn w:val="List"/>
    <w:rsid w:val="004C2A83"/>
    <w:pPr>
      <w:numPr>
        <w:numId w:val="8"/>
      </w:numPr>
    </w:pPr>
  </w:style>
  <w:style w:type="paragraph" w:customStyle="1" w:styleId="ListAlpha2">
    <w:name w:val="List Alpha 2"/>
    <w:basedOn w:val="List2"/>
    <w:rsid w:val="004C2A83"/>
    <w:pPr>
      <w:numPr>
        <w:numId w:val="7"/>
      </w:numPr>
    </w:pPr>
  </w:style>
  <w:style w:type="paragraph" w:styleId="List3">
    <w:name w:val="List 3"/>
    <w:basedOn w:val="BodyText"/>
    <w:rsid w:val="004C2A83"/>
    <w:pPr>
      <w:tabs>
        <w:tab w:val="left" w:pos="1021"/>
      </w:tabs>
      <w:spacing w:before="60" w:after="60"/>
      <w:ind w:left="1020" w:hanging="340"/>
    </w:pPr>
  </w:style>
  <w:style w:type="paragraph" w:styleId="List4">
    <w:name w:val="List 4"/>
    <w:basedOn w:val="BodyText"/>
    <w:rsid w:val="004C2A83"/>
    <w:pPr>
      <w:tabs>
        <w:tab w:val="left" w:pos="1361"/>
      </w:tabs>
      <w:spacing w:before="60" w:after="60"/>
      <w:ind w:left="1361" w:hanging="340"/>
    </w:pPr>
  </w:style>
  <w:style w:type="paragraph" w:styleId="List5">
    <w:name w:val="List 5"/>
    <w:basedOn w:val="BodyText"/>
    <w:rsid w:val="004C2A83"/>
    <w:pPr>
      <w:tabs>
        <w:tab w:val="left" w:pos="1701"/>
      </w:tabs>
      <w:spacing w:before="60" w:after="60"/>
      <w:ind w:left="1701" w:hanging="340"/>
    </w:pPr>
  </w:style>
  <w:style w:type="paragraph" w:styleId="ListBullet3">
    <w:name w:val="List Bullet 3"/>
    <w:basedOn w:val="List3"/>
    <w:rsid w:val="004C2A83"/>
    <w:pPr>
      <w:numPr>
        <w:numId w:val="14"/>
      </w:numPr>
      <w:tabs>
        <w:tab w:val="clear" w:pos="1021"/>
      </w:tabs>
      <w:ind w:left="1037" w:hanging="357"/>
    </w:pPr>
  </w:style>
  <w:style w:type="paragraph" w:styleId="ListBullet4">
    <w:name w:val="List Bullet 4"/>
    <w:basedOn w:val="List4"/>
    <w:rsid w:val="004C2A83"/>
    <w:pPr>
      <w:numPr>
        <w:numId w:val="2"/>
      </w:numPr>
    </w:pPr>
  </w:style>
  <w:style w:type="paragraph" w:styleId="ListBullet5">
    <w:name w:val="List Bullet 5"/>
    <w:basedOn w:val="List5"/>
    <w:rsid w:val="004C2A83"/>
    <w:pPr>
      <w:numPr>
        <w:numId w:val="3"/>
      </w:numPr>
    </w:pPr>
  </w:style>
  <w:style w:type="paragraph" w:styleId="ListContinue2">
    <w:name w:val="List Continue 2"/>
    <w:basedOn w:val="List2"/>
    <w:rsid w:val="004C2A83"/>
    <w:pPr>
      <w:ind w:firstLine="0"/>
    </w:pPr>
  </w:style>
  <w:style w:type="paragraph" w:styleId="ListContinue3">
    <w:name w:val="List Continue 3"/>
    <w:basedOn w:val="List3"/>
    <w:rsid w:val="004C2A83"/>
    <w:pPr>
      <w:ind w:left="1021" w:firstLine="0"/>
    </w:pPr>
  </w:style>
  <w:style w:type="paragraph" w:styleId="ListContinue4">
    <w:name w:val="List Continue 4"/>
    <w:basedOn w:val="List4"/>
    <w:rsid w:val="004C2A83"/>
    <w:pPr>
      <w:ind w:firstLine="0"/>
    </w:pPr>
  </w:style>
  <w:style w:type="paragraph" w:styleId="ListContinue5">
    <w:name w:val="List Continue 5"/>
    <w:basedOn w:val="List5"/>
    <w:rsid w:val="004C2A83"/>
    <w:pPr>
      <w:ind w:firstLine="0"/>
    </w:pPr>
  </w:style>
  <w:style w:type="paragraph" w:styleId="ListNumber3">
    <w:name w:val="List Number 3"/>
    <w:basedOn w:val="List3"/>
    <w:rsid w:val="004C2A83"/>
    <w:pPr>
      <w:numPr>
        <w:numId w:val="4"/>
      </w:numPr>
    </w:pPr>
  </w:style>
  <w:style w:type="paragraph" w:styleId="ListNumber4">
    <w:name w:val="List Number 4"/>
    <w:basedOn w:val="List4"/>
    <w:rsid w:val="004C2A83"/>
    <w:pPr>
      <w:numPr>
        <w:numId w:val="5"/>
      </w:numPr>
    </w:pPr>
  </w:style>
  <w:style w:type="paragraph" w:styleId="ListNumber5">
    <w:name w:val="List Number 5"/>
    <w:basedOn w:val="List5"/>
    <w:rsid w:val="004C2A83"/>
    <w:pPr>
      <w:numPr>
        <w:numId w:val="6"/>
      </w:numPr>
    </w:pPr>
  </w:style>
  <w:style w:type="paragraph" w:styleId="BlockText">
    <w:name w:val="Block Text"/>
    <w:basedOn w:val="Normal"/>
    <w:rsid w:val="004C2A83"/>
    <w:pPr>
      <w:spacing w:after="120"/>
      <w:ind w:left="1440" w:right="1440"/>
    </w:pPr>
  </w:style>
  <w:style w:type="character" w:customStyle="1" w:styleId="Subscript">
    <w:name w:val="Subscript"/>
    <w:rsid w:val="004C2A83"/>
    <w:rPr>
      <w:sz w:val="16"/>
      <w:vertAlign w:val="subscript"/>
    </w:rPr>
  </w:style>
  <w:style w:type="character" w:customStyle="1" w:styleId="Superscript">
    <w:name w:val="Superscript"/>
    <w:rsid w:val="004C2A83"/>
    <w:rPr>
      <w:sz w:val="16"/>
      <w:vertAlign w:val="superscript"/>
    </w:rPr>
  </w:style>
  <w:style w:type="character" w:customStyle="1" w:styleId="Symbols">
    <w:name w:val="Symbols"/>
    <w:rsid w:val="004C2A83"/>
    <w:rPr>
      <w:rFonts w:ascii="Symbol" w:hAnsi="Symbol"/>
    </w:rPr>
  </w:style>
  <w:style w:type="character" w:customStyle="1" w:styleId="MenuOptions">
    <w:name w:val="Menu Options"/>
    <w:rsid w:val="004C2A83"/>
    <w:rPr>
      <w:rFonts w:ascii="Arial Narrow" w:hAnsi="Arial Narrow"/>
      <w:smallCaps/>
    </w:rPr>
  </w:style>
  <w:style w:type="character" w:customStyle="1" w:styleId="Buttons">
    <w:name w:val="Buttons"/>
    <w:rsid w:val="004C2A83"/>
    <w:rPr>
      <w:b/>
    </w:rPr>
  </w:style>
  <w:style w:type="character" w:customStyle="1" w:styleId="Underlined">
    <w:name w:val="Underlined"/>
    <w:rsid w:val="004C2A83"/>
    <w:rPr>
      <w:u w:val="single"/>
    </w:rPr>
  </w:style>
  <w:style w:type="paragraph" w:customStyle="1" w:styleId="TableBodyTextRight">
    <w:name w:val="Table Body Text Right"/>
    <w:basedOn w:val="TableBodyText"/>
    <w:rsid w:val="004C2A83"/>
    <w:pPr>
      <w:widowControl w:val="0"/>
      <w:autoSpaceDE w:val="0"/>
      <w:autoSpaceDN w:val="0"/>
      <w:adjustRightInd w:val="0"/>
      <w:jc w:val="right"/>
    </w:pPr>
    <w:rPr>
      <w:rFonts w:cs="Arial"/>
      <w:szCs w:val="18"/>
    </w:rPr>
  </w:style>
  <w:style w:type="paragraph" w:customStyle="1" w:styleId="CopyrightText">
    <w:name w:val="Copyright Text"/>
    <w:basedOn w:val="BodyText"/>
    <w:rsid w:val="004C2A83"/>
    <w:rPr>
      <w:sz w:val="18"/>
    </w:rPr>
  </w:style>
  <w:style w:type="paragraph" w:customStyle="1" w:styleId="BodySmallRight">
    <w:name w:val="Body Small Right"/>
    <w:basedOn w:val="BodyTextRight"/>
    <w:rsid w:val="004C2A83"/>
    <w:rPr>
      <w:sz w:val="18"/>
      <w:szCs w:val="18"/>
    </w:rPr>
  </w:style>
  <w:style w:type="paragraph" w:customStyle="1" w:styleId="MarginEdition">
    <w:name w:val="Margin Edition"/>
    <w:basedOn w:val="MarginNote"/>
    <w:rsid w:val="004C2A83"/>
    <w:pPr>
      <w:spacing w:before="0" w:after="0"/>
    </w:pPr>
    <w:rPr>
      <w:rFonts w:ascii="Times New Roman" w:hAnsi="Times New Roman"/>
      <w:color w:val="999999"/>
    </w:rPr>
  </w:style>
  <w:style w:type="paragraph" w:customStyle="1" w:styleId="Spacer">
    <w:name w:val="Spacer"/>
    <w:basedOn w:val="Normal"/>
    <w:rsid w:val="004C2A83"/>
    <w:rPr>
      <w:sz w:val="2"/>
      <w:szCs w:val="2"/>
    </w:rPr>
  </w:style>
  <w:style w:type="character" w:customStyle="1" w:styleId="Small">
    <w:name w:val="Small"/>
    <w:rsid w:val="004C2A83"/>
    <w:rPr>
      <w:sz w:val="16"/>
    </w:rPr>
  </w:style>
  <w:style w:type="paragraph" w:customStyle="1" w:styleId="WideTable">
    <w:name w:val="Wide Table"/>
    <w:basedOn w:val="Normal"/>
    <w:rsid w:val="004C2A83"/>
    <w:pPr>
      <w:ind w:left="-1418"/>
    </w:pPr>
    <w:rPr>
      <w:sz w:val="2"/>
      <w:szCs w:val="2"/>
    </w:rPr>
  </w:style>
  <w:style w:type="character" w:styleId="PageNumber">
    <w:name w:val="page number"/>
    <w:rsid w:val="004C2A83"/>
  </w:style>
  <w:style w:type="paragraph" w:styleId="Quote">
    <w:name w:val="Quote"/>
    <w:basedOn w:val="Heading1"/>
    <w:link w:val="QuoteChar"/>
    <w:qFormat/>
    <w:rsid w:val="004C2A83"/>
    <w:rPr>
      <w:b w:val="0"/>
      <w:sz w:val="72"/>
      <w:szCs w:val="72"/>
      <w:lang w:val="en-NZ"/>
    </w:rPr>
  </w:style>
  <w:style w:type="character" w:customStyle="1" w:styleId="QuoteChar">
    <w:name w:val="Quote Char"/>
    <w:link w:val="Quote"/>
    <w:rsid w:val="004C2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A83"/>
    <w:pPr>
      <w:pageBreakBefore/>
    </w:pPr>
  </w:style>
  <w:style w:type="paragraph" w:customStyle="1" w:styleId="Border">
    <w:name w:val="Border"/>
    <w:basedOn w:val="Normal"/>
    <w:qFormat/>
    <w:rsid w:val="004C2A83"/>
    <w:pPr>
      <w:pBdr>
        <w:top w:val="single" w:sz="18" w:space="1" w:color="auto"/>
      </w:pBdr>
    </w:pPr>
    <w:rPr>
      <w:rFonts w:ascii="Times New Roman" w:hAnsi="Times New Roman"/>
      <w:color w:val="FFFFFF"/>
      <w:sz w:val="2"/>
    </w:rPr>
  </w:style>
  <w:style w:type="character" w:styleId="IntenseEmphasis">
    <w:name w:val="Intense Emphasis"/>
    <w:uiPriority w:val="21"/>
    <w:qFormat/>
    <w:rsid w:val="004C2A83"/>
    <w:rPr>
      <w:b/>
      <w:bCs/>
      <w:i/>
      <w:iCs/>
      <w:color w:val="auto"/>
    </w:rPr>
  </w:style>
  <w:style w:type="paragraph" w:styleId="IntenseQuote">
    <w:name w:val="Intense Quote"/>
    <w:basedOn w:val="Normal"/>
    <w:next w:val="Normal"/>
    <w:link w:val="IntenseQuoteChar"/>
    <w:uiPriority w:val="30"/>
    <w:qFormat/>
    <w:rsid w:val="004C2A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2A83"/>
    <w:rPr>
      <w:rFonts w:ascii="Courier New" w:eastAsia="Times New Roman" w:hAnsi="Courier New" w:cs="Times New Roman"/>
      <w:b/>
      <w:bCs/>
      <w:i/>
      <w:iCs/>
      <w:szCs w:val="20"/>
      <w:lang w:val="en-US" w:eastAsia="en-US"/>
    </w:rPr>
  </w:style>
  <w:style w:type="character" w:styleId="SubtleReference">
    <w:name w:val="Subtle Reference"/>
    <w:uiPriority w:val="31"/>
    <w:qFormat/>
    <w:rsid w:val="004C2A83"/>
    <w:rPr>
      <w:smallCaps/>
      <w:color w:val="auto"/>
      <w:u w:val="single"/>
    </w:rPr>
  </w:style>
  <w:style w:type="character" w:styleId="IntenseReference">
    <w:name w:val="Intense Reference"/>
    <w:uiPriority w:val="32"/>
    <w:qFormat/>
    <w:rsid w:val="004C2A83"/>
    <w:rPr>
      <w:b/>
      <w:bCs/>
      <w:smallCaps/>
      <w:color w:val="auto"/>
      <w:spacing w:val="5"/>
      <w:u w:val="single"/>
    </w:rPr>
  </w:style>
  <w:style w:type="paragraph" w:customStyle="1" w:styleId="2ColumnHeading">
    <w:name w:val="2Column Heading"/>
    <w:basedOn w:val="BodyText"/>
    <w:qFormat/>
    <w:rsid w:val="004C2A83"/>
    <w:pPr>
      <w:spacing w:after="60"/>
      <w:ind w:left="-2268"/>
    </w:pPr>
    <w:rPr>
      <w:b/>
    </w:rPr>
  </w:style>
  <w:style w:type="paragraph" w:customStyle="1" w:styleId="Heading1TOC">
    <w:name w:val="Heading1 TOC"/>
    <w:basedOn w:val="Normal"/>
    <w:qFormat/>
    <w:rsid w:val="004C2A83"/>
    <w:pPr>
      <w:spacing w:before="240" w:after="120"/>
    </w:pPr>
    <w:rPr>
      <w:rFonts w:ascii="Times New Roman" w:hAnsi="Times New Roman"/>
      <w:b/>
      <w:sz w:val="32"/>
    </w:rPr>
  </w:style>
  <w:style w:type="paragraph" w:customStyle="1" w:styleId="Heading2TOC">
    <w:name w:val="Heading2 TOC"/>
    <w:basedOn w:val="Normal"/>
    <w:qFormat/>
    <w:rsid w:val="004C2A83"/>
    <w:pPr>
      <w:spacing w:before="240" w:after="60"/>
    </w:pPr>
    <w:rPr>
      <w:rFonts w:ascii="Times New Roman" w:hAnsi="Times New Roman"/>
      <w:b/>
      <w:sz w:val="28"/>
    </w:rPr>
  </w:style>
  <w:style w:type="character" w:customStyle="1" w:styleId="Underline">
    <w:name w:val="Underline"/>
    <w:qFormat/>
    <w:rsid w:val="004C2A83"/>
    <w:rPr>
      <w:u w:val="single"/>
    </w:rPr>
  </w:style>
  <w:style w:type="character" w:customStyle="1" w:styleId="BoldandItalics">
    <w:name w:val="Bold and Italics"/>
    <w:qFormat/>
    <w:rsid w:val="004C2A83"/>
    <w:rPr>
      <w:b/>
      <w:i/>
      <w:u w:val="none"/>
    </w:rPr>
  </w:style>
  <w:style w:type="paragraph" w:styleId="BalloonText">
    <w:name w:val="Balloon Text"/>
    <w:basedOn w:val="Normal"/>
    <w:link w:val="BalloonTextChar"/>
    <w:rsid w:val="004C2A83"/>
    <w:rPr>
      <w:rFonts w:ascii="Tahoma" w:hAnsi="Tahoma" w:cs="Tahoma"/>
      <w:sz w:val="16"/>
      <w:szCs w:val="16"/>
    </w:rPr>
  </w:style>
  <w:style w:type="character" w:customStyle="1" w:styleId="BalloonTextChar">
    <w:name w:val="Balloon Text Char"/>
    <w:link w:val="BalloonText"/>
    <w:rsid w:val="004C2A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A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2A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1223</Words>
  <Characters>7751</Characters>
  <Application>Microsoft Office Word</Application>
  <DocSecurity>0</DocSecurity>
  <Lines>259</Lines>
  <Paragraphs>128</Paragraphs>
  <ScaleCrop>false</ScaleCrop>
  <Company>Author-it Software Corporation Ltd.</Company>
  <LinksUpToDate>false</LinksUpToDate>
  <CharactersWithSpaces>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MEM24009B Perform basic radiographic testing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