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9DA" w:rsidP="009239DA">
      <w:pPr>
        <w:pStyle w:val="Title"/>
      </w:pPr>
      <w:r>
        <w:fldChar w:fldCharType="begin"/>
      </w:r>
      <w:r>
        <w:instrText xml:space="preserve"> TITLE   \* MERGEFORMAT </w:instrText>
      </w:r>
      <w:r>
        <w:fldChar w:fldCharType="separate"/>
      </w:r>
      <w:r>
        <w:t>MEM24007B Perform ultrasonic thickness testing</w:t>
      </w:r>
      <w:r>
        <w:fldChar w:fldCharType="end"/>
      </w:r>
    </w:p>
    <w:p w:rsidR="009239DA" w:rsidP="009239DA">
      <w:pPr>
        <w:pStyle w:val="Version"/>
        <w:sectPr w:rsidSect="007E1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653" w:rsidP="007E1653">
      <w:pPr>
        <w:pStyle w:val="SuperHeading"/>
      </w:pPr>
      <w:r w:rsidRPr="007E1653">
        <w:t>MEM24007B Perform ultrasonic thickness testing</w:t>
      </w:r>
    </w:p>
    <w:p w:rsidR="00000000" w:rsidRPr="007E1653" w:rsidP="007E1653">
      <w:pPr>
        <w:pStyle w:val="Heading1"/>
      </w:pPr>
      <w:bookmarkStart w:id="1" w:name="O_272397"/>
      <w:bookmarkEnd w:id="1"/>
      <w:r w:rsidRPr="007E1653">
        <w:t>Modification History</w:t>
      </w:r>
    </w:p>
    <w:p w:rsidR="00000000" w:rsidRPr="007E1653" w:rsidP="007E1653">
      <w:pPr>
        <w:pStyle w:val="BodyText"/>
      </w:pPr>
      <w:r w:rsidRPr="007E1653">
        <w:t>Not Applicable</w:t>
      </w:r>
    </w:p>
    <w:p w:rsidR="00000000" w:rsidRPr="007E1653" w:rsidP="007E1653">
      <w:pPr>
        <w:pStyle w:val="AllowPageBreak"/>
      </w:pPr>
    </w:p>
    <w:p w:rsidR="00000000" w:rsidRPr="007E1653" w:rsidP="007E1653">
      <w:pPr>
        <w:pStyle w:val="Heading1"/>
      </w:pPr>
      <w:bookmarkStart w:id="2" w:name="O_213217"/>
      <w:bookmarkEnd w:id="2"/>
      <w:r w:rsidRPr="007E1653">
        <w:t>Unit Descriptor</w:t>
      </w:r>
    </w:p>
    <w:tbl>
      <w:tblPr>
        <w:tblW w:w="0" w:type="auto"/>
        <w:tblLayout w:type="fixed"/>
        <w:tblCellMar>
          <w:left w:w="62" w:type="dxa"/>
          <w:right w:w="62" w:type="dxa"/>
        </w:tblCellMar>
        <w:tblLook w:val="0000"/>
      </w:tblPr>
      <w:tblGrid>
        <w:gridCol w:w="2670"/>
        <w:gridCol w:w="5852"/>
      </w:tblGrid>
      <w:tr w:rsidTr="009239D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This unit covers performing ultrasonic thickness testing in a range of industrial applications. Knowledg</w:t>
            </w:r>
            <w:r w:rsidRPr="007E1653">
              <w:t>e of metallurgy associated with the level of application in this unit is required.</w:t>
            </w:r>
          </w:p>
        </w:tc>
      </w:tr>
    </w:tbl>
    <w:p w:rsidR="009239DA" w:rsidP="007E1653">
      <w:pPr>
        <w:pStyle w:val="BodyText"/>
      </w:pPr>
    </w:p>
    <w:p w:rsidR="009239DA" w:rsidP="007E1653">
      <w:pPr>
        <w:pStyle w:val="BodyText"/>
      </w:pPr>
    </w:p>
    <w:p w:rsidR="00000000" w:rsidRPr="007E1653" w:rsidP="007E1653">
      <w:pPr>
        <w:pStyle w:val="Heading1"/>
      </w:pPr>
      <w:bookmarkStart w:id="3" w:name="O_213221"/>
      <w:bookmarkEnd w:id="3"/>
      <w:r w:rsidRPr="007E1653">
        <w:t>Application of the Unit</w:t>
      </w:r>
    </w:p>
    <w:tbl>
      <w:tblPr>
        <w:tblW w:w="0" w:type="auto"/>
        <w:tblLayout w:type="fixed"/>
        <w:tblCellMar>
          <w:left w:w="62" w:type="dxa"/>
          <w:right w:w="62" w:type="dxa"/>
        </w:tblCellMar>
        <w:tblLook w:val="0000"/>
      </w:tblPr>
      <w:tblGrid>
        <w:gridCol w:w="2745"/>
        <w:gridCol w:w="5777"/>
      </w:tblGrid>
      <w:tr w:rsidTr="009239D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Thi</w:t>
            </w:r>
            <w:r w:rsidRPr="007E1653">
              <w:t>s unit applies to inspecting, interpreting and reporting on ultrasonic testing techniques of fabrications, structures and components. Testing is across a wide range of industries and includes identifying abnormalities such as thickness measurement of corro</w:t>
            </w:r>
            <w:r w:rsidRPr="007E1653">
              <w:t>sion, laminations of non-ferrous/ferrous alloys steels, composite materials. The work can relate to scheduled and unscheduled maintenance activities using general tools and specific ultrasonic testing equipment as specified in maintenance documentation, te</w:t>
            </w:r>
            <w:r w:rsidRPr="007E1653">
              <w:t xml:space="preserve">sting procedures or operators instructions. </w:t>
            </w:r>
          </w:p>
          <w:p w:rsidR="00000000" w:rsidRPr="007E1653" w:rsidP="007E1653">
            <w:pPr>
              <w:pStyle w:val="BodyText"/>
            </w:pPr>
            <w:r w:rsidRPr="007E1653">
              <w:t>Actual and potential defects are to be considered, together with ongoing abnormalities in fabrications, components and structures on a wide range of applications. Ultrasonic tests are performed on critical compo</w:t>
            </w:r>
            <w:r w:rsidRPr="007E1653">
              <w:t>nent or structural zones, and may require re-assessment of competency at regular intervals in accordance with Australian standards and/or other relevant standards. All testing must be completed with particular attention to personal safety and OH&amp;S regulati</w:t>
            </w:r>
            <w:r w:rsidRPr="007E1653">
              <w:t>ons. Certification against Australian standards may be achieved where assessment in this unit of competency is carried out in conjunction with an examining authority as described in ISO 9712.</w:t>
            </w:r>
          </w:p>
          <w:p w:rsidR="00000000" w:rsidRPr="007E1653" w:rsidP="007E1653">
            <w:pPr>
              <w:pStyle w:val="BodyText"/>
            </w:pPr>
            <w:r w:rsidRPr="007E1653">
              <w:t>Materials and chemicals which are subject to codes and regulatio</w:t>
            </w:r>
            <w:r w:rsidRPr="007E1653">
              <w:t>ns - for example, chemicals, explosives, solvents, dangerous materials, acids, or noxious waste products - are subject to safe work habits and must be stored and used in accordance with safe work practices.</w:t>
            </w:r>
          </w:p>
          <w:p w:rsidR="00000000" w:rsidRPr="007E1653" w:rsidP="007E1653">
            <w:pPr>
              <w:pStyle w:val="BodyText"/>
            </w:pPr>
            <w:r w:rsidRPr="007E1653">
              <w:t>This unit should not be selected when Unit MEM240</w:t>
            </w:r>
            <w:r w:rsidRPr="007E1653">
              <w:t>08B (Perform ultrasonic testing) has already been selected.</w:t>
            </w:r>
          </w:p>
          <w:p w:rsidR="00000000" w:rsidRPr="007E1653" w:rsidP="007E1653">
            <w:pPr>
              <w:pStyle w:val="BodyText"/>
            </w:pPr>
            <w:r w:rsidRPr="007E1653">
              <w:t>Where tests require the interpretation of drawings, Unit MEM09002B (Interpret technical drawings) should also be selected.</w:t>
            </w:r>
          </w:p>
          <w:p w:rsidR="00000000" w:rsidRPr="007E1653" w:rsidP="007E1653">
            <w:pPr>
              <w:pStyle w:val="BodyText"/>
            </w:pPr>
            <w:r w:rsidRPr="007E1653">
              <w:t xml:space="preserve">Where power tools are required, Unit MEM18002B (Use </w:t>
            </w:r>
            <w:r w:rsidRPr="007E1653">
              <w:t>power tools/hand held</w:t>
            </w:r>
            <w:r w:rsidRPr="007E1653">
              <w:t xml:space="preserve"> operations) should also be selected.</w:t>
            </w:r>
          </w:p>
          <w:p w:rsidR="00000000" w:rsidRPr="007E1653" w:rsidP="007E1653">
            <w:pPr>
              <w:pStyle w:val="BodyText"/>
            </w:pPr>
          </w:p>
          <w:p w:rsidR="00000000" w:rsidRPr="007E1653" w:rsidP="007E1653">
            <w:pPr>
              <w:pStyle w:val="BodyText"/>
            </w:pPr>
            <w:r w:rsidRPr="007E1653">
              <w:rPr>
                <w:rStyle w:val="SpecialBold"/>
              </w:rPr>
              <w:t>Band</w:t>
            </w:r>
            <w:r w:rsidRPr="007E1653">
              <w:t>:</w:t>
            </w:r>
            <w:r w:rsidRPr="007E1653">
              <w:tab/>
            </w:r>
            <w:r w:rsidRPr="007E1653">
              <w:rPr>
                <w:rStyle w:val="SpecialBold"/>
              </w:rPr>
              <w:t>A</w:t>
            </w:r>
          </w:p>
          <w:p w:rsidR="00000000" w:rsidRPr="007E1653" w:rsidP="007E1653">
            <w:pPr>
              <w:pStyle w:val="BodyText"/>
            </w:pPr>
            <w:r w:rsidRPr="007E1653">
              <w:rPr>
                <w:rStyle w:val="SpecialBold"/>
              </w:rPr>
              <w:t>Unit Weight</w:t>
            </w:r>
            <w:r w:rsidRPr="007E1653">
              <w:t>:</w:t>
            </w:r>
            <w:r w:rsidRPr="007E1653">
              <w:tab/>
            </w:r>
            <w:r w:rsidRPr="007E1653">
              <w:rPr>
                <w:rStyle w:val="SpecialBold"/>
              </w:rPr>
              <w:t>2</w:t>
            </w:r>
          </w:p>
        </w:tc>
      </w:tr>
    </w:tbl>
    <w:p w:rsidR="009239DA" w:rsidP="007E1653">
      <w:pPr>
        <w:pStyle w:val="BodyText"/>
      </w:pPr>
    </w:p>
    <w:p w:rsidR="009239DA" w:rsidP="007E1653">
      <w:pPr>
        <w:pStyle w:val="BodyText"/>
      </w:pPr>
    </w:p>
    <w:p w:rsidR="00000000" w:rsidRPr="007E1653" w:rsidP="007E1653">
      <w:pPr>
        <w:pStyle w:val="Heading1"/>
      </w:pPr>
      <w:bookmarkStart w:id="4" w:name="O_280657"/>
      <w:bookmarkEnd w:id="4"/>
      <w:r w:rsidRPr="007E1653">
        <w:t>Licensing/Regulatory Information</w:t>
      </w:r>
    </w:p>
    <w:p w:rsidR="00000000" w:rsidRPr="007E1653" w:rsidP="007E1653">
      <w:pPr>
        <w:pStyle w:val="BodyText"/>
      </w:pPr>
      <w:r w:rsidRPr="007E1653">
        <w:t>Not Applicable</w:t>
      </w:r>
    </w:p>
    <w:p w:rsidR="00000000" w:rsidRPr="007E1653" w:rsidP="007E1653">
      <w:pPr>
        <w:pStyle w:val="AllowPageBreak"/>
      </w:pPr>
    </w:p>
    <w:p w:rsidR="00000000" w:rsidRPr="007E1653" w:rsidP="007E1653">
      <w:pPr>
        <w:pStyle w:val="Heading1"/>
      </w:pPr>
      <w:bookmarkStart w:id="5" w:name="O_213219"/>
      <w:bookmarkEnd w:id="5"/>
      <w:r w:rsidRPr="007E1653">
        <w:t>Pre-Requisites</w:t>
      </w:r>
    </w:p>
    <w:tbl>
      <w:tblPr>
        <w:tblW w:w="0" w:type="auto"/>
        <w:tblLayout w:type="fixed"/>
        <w:tblCellMar>
          <w:left w:w="62" w:type="dxa"/>
          <w:right w:w="62" w:type="dxa"/>
        </w:tblCellMar>
        <w:tblLook w:val="0000"/>
      </w:tblPr>
      <w:tblGrid>
        <w:gridCol w:w="2722"/>
        <w:gridCol w:w="2207"/>
        <w:gridCol w:w="3593"/>
      </w:tblGrid>
      <w:tr w:rsidTr="009239D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p>
        </w:tc>
      </w:tr>
      <w:tr w:rsidTr="009239D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Use hand tools</w:t>
            </w:r>
          </w:p>
        </w:tc>
      </w:tr>
      <w:tr w:rsidTr="009239D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p>
        </w:tc>
      </w:tr>
    </w:tbl>
    <w:p w:rsidR="009239DA" w:rsidP="007E1653">
      <w:pPr>
        <w:pStyle w:val="BodyText"/>
      </w:pPr>
    </w:p>
    <w:p w:rsidR="009239DA" w:rsidP="007E1653">
      <w:pPr>
        <w:pStyle w:val="BodyText"/>
      </w:pPr>
    </w:p>
    <w:p w:rsidR="00000000" w:rsidRPr="007E1653" w:rsidP="007E1653">
      <w:pPr>
        <w:pStyle w:val="Heading1"/>
      </w:pPr>
      <w:bookmarkStart w:id="6" w:name="O_213218"/>
      <w:bookmarkEnd w:id="6"/>
      <w:r w:rsidRPr="007E1653">
        <w:t>Employability Skills Information</w:t>
      </w:r>
    </w:p>
    <w:tbl>
      <w:tblPr>
        <w:tblW w:w="0" w:type="auto"/>
        <w:tblLayout w:type="fixed"/>
        <w:tblCellMar>
          <w:left w:w="62" w:type="dxa"/>
          <w:right w:w="62" w:type="dxa"/>
        </w:tblCellMar>
        <w:tblLook w:val="0000"/>
      </w:tblPr>
      <w:tblGrid>
        <w:gridCol w:w="2802"/>
        <w:gridCol w:w="5720"/>
      </w:tblGrid>
      <w:tr w:rsidTr="009239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This unit contains employability skills.</w:t>
            </w:r>
          </w:p>
        </w:tc>
      </w:tr>
    </w:tbl>
    <w:p w:rsidR="009239DA" w:rsidP="007E1653">
      <w:pPr>
        <w:pStyle w:val="BodyText"/>
      </w:pPr>
    </w:p>
    <w:p w:rsidR="009239DA" w:rsidP="007E1653">
      <w:pPr>
        <w:pStyle w:val="BodyText"/>
      </w:pPr>
    </w:p>
    <w:p w:rsidR="00000000" w:rsidRPr="007E1653" w:rsidP="007E1653">
      <w:pPr>
        <w:pStyle w:val="Heading1"/>
      </w:pPr>
      <w:bookmarkStart w:id="7" w:name="O_290443"/>
      <w:bookmarkEnd w:id="7"/>
      <w:r w:rsidRPr="007E1653">
        <w:t>Elements and Performance Criteria Pre-Content</w:t>
      </w:r>
    </w:p>
    <w:tbl>
      <w:tblPr>
        <w:tblW w:w="0" w:type="auto"/>
        <w:tblLayout w:type="fixed"/>
        <w:tblCellMar>
          <w:left w:w="62" w:type="dxa"/>
          <w:right w:w="62" w:type="dxa"/>
        </w:tblCellMar>
        <w:tblLook w:val="0000"/>
      </w:tblPr>
      <w:tblGrid>
        <w:gridCol w:w="2542"/>
        <w:gridCol w:w="5980"/>
      </w:tblGrid>
      <w:tr w:rsidTr="009239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Performance criteria describe the performance needed to demonstrate achievement of the element. Where bold italicised text is used, further information is detailed in the required skills and knowledge section and the range statement. Assessment of performa</w:t>
            </w:r>
            <w:r w:rsidRPr="007E1653">
              <w:t>nce is to be consistent with the evidence guide.</w:t>
            </w:r>
          </w:p>
        </w:tc>
      </w:tr>
    </w:tbl>
    <w:p w:rsidR="00000000" w:rsidRPr="007E1653" w:rsidP="007E1653">
      <w:pPr>
        <w:pStyle w:val="BodyText"/>
      </w:pPr>
    </w:p>
    <w:p w:rsidR="00000000" w:rsidRPr="007E1653" w:rsidP="007E1653">
      <w:pPr>
        <w:pStyle w:val="AllowPageBreak"/>
      </w:pPr>
    </w:p>
    <w:p w:rsidR="00000000" w:rsidRPr="007E1653" w:rsidP="007E1653">
      <w:pPr>
        <w:pStyle w:val="Heading1"/>
      </w:pPr>
      <w:bookmarkStart w:id="8" w:name="O_237110"/>
      <w:bookmarkEnd w:id="8"/>
      <w:r w:rsidRPr="007E1653">
        <w:t>Elements and Performance Criteria</w:t>
      </w:r>
    </w:p>
    <w:tbl>
      <w:tblPr>
        <w:tblW w:w="0" w:type="auto"/>
        <w:tblLayout w:type="fixed"/>
        <w:tblCellMar>
          <w:left w:w="62" w:type="dxa"/>
          <w:right w:w="62" w:type="dxa"/>
        </w:tblCellMar>
        <w:tblLook w:val="0000"/>
      </w:tblPr>
      <w:tblGrid>
        <w:gridCol w:w="2542"/>
        <w:gridCol w:w="5980"/>
      </w:tblGrid>
      <w:tr w:rsidTr="009239D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PERFORMANCE CRITERIA</w:t>
            </w:r>
          </w:p>
        </w:tc>
      </w:tr>
      <w:tr w:rsidTr="009239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List"/>
              <w:rPr>
                <w:lang w:val="en-NZ"/>
              </w:rPr>
            </w:pPr>
            <w:r w:rsidRPr="007E1653">
              <w:t>1.</w:t>
            </w:r>
            <w:r w:rsidRPr="007E1653">
              <w:tab/>
              <w:t xml:space="preserve">Prepare inspection areas for ultrasonic thickness testing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List2"/>
            </w:pPr>
            <w:r w:rsidRPr="007E1653">
              <w:t>1.1.</w:t>
            </w:r>
            <w:r w:rsidRPr="007E1653">
              <w:tab/>
              <w:t>Inspection areas are cleaned and prepared for testing usi</w:t>
            </w:r>
            <w:r w:rsidRPr="007E1653">
              <w:t>ng appropriate procedures and materials.</w:t>
            </w:r>
          </w:p>
          <w:p w:rsidR="00000000" w:rsidRPr="007E1653" w:rsidP="007E1653">
            <w:pPr>
              <w:pStyle w:val="List2"/>
            </w:pPr>
            <w:r w:rsidRPr="007E1653">
              <w:t>1.2.</w:t>
            </w:r>
            <w:r w:rsidRPr="007E1653">
              <w:tab/>
              <w:t>Preparation processes are carried out in accordance with the relevant procedures and OH&amp;S requirements.</w:t>
            </w:r>
          </w:p>
          <w:p w:rsidR="00000000" w:rsidP="007E1653">
            <w:pPr>
              <w:pStyle w:val="List2"/>
              <w:rPr>
                <w:lang w:val="en-NZ"/>
              </w:rPr>
            </w:pPr>
            <w:r w:rsidRPr="007E1653">
              <w:t>1.3.</w:t>
            </w:r>
            <w:r w:rsidRPr="007E1653">
              <w:tab/>
              <w:t>Inspection areas are visually assessed for obvious discontinuities.</w:t>
            </w:r>
          </w:p>
        </w:tc>
      </w:tr>
      <w:tr w:rsidTr="009239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List"/>
              <w:rPr>
                <w:lang w:val="en-NZ"/>
              </w:rPr>
            </w:pPr>
            <w:r w:rsidRPr="007E1653">
              <w:t>2.</w:t>
            </w:r>
            <w:r w:rsidRPr="007E1653">
              <w:tab/>
            </w:r>
            <w:r w:rsidRPr="007E1653">
              <w:t>Perform ultrasonic thickness testing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List2"/>
            </w:pPr>
            <w:r w:rsidRPr="007E1653">
              <w:t>2.1.</w:t>
            </w:r>
            <w:r w:rsidRPr="007E1653">
              <w:tab/>
              <w:t>Nominated ultrasonic thickness test is identified from standard operating procedures.</w:t>
            </w:r>
          </w:p>
          <w:p w:rsidR="00000000" w:rsidRPr="007E1653" w:rsidP="007E1653">
            <w:pPr>
              <w:pStyle w:val="List2"/>
            </w:pPr>
            <w:r w:rsidRPr="007E1653">
              <w:t>2.2.</w:t>
            </w:r>
            <w:r w:rsidRPr="007E1653">
              <w:tab/>
              <w:t>Test equipment is prepared in accordance with standard operating procedures.</w:t>
            </w:r>
          </w:p>
          <w:p w:rsidR="00000000" w:rsidRPr="007E1653" w:rsidP="007E1653">
            <w:pPr>
              <w:pStyle w:val="List2"/>
            </w:pPr>
            <w:r w:rsidRPr="007E1653">
              <w:t>2.3.</w:t>
            </w:r>
            <w:r w:rsidRPr="007E1653">
              <w:tab/>
              <w:t>Ultrasonic tests are carried out in accor</w:t>
            </w:r>
            <w:r w:rsidRPr="007E1653">
              <w:t>dance with relevant standards and OH&amp;S requirements.</w:t>
            </w:r>
          </w:p>
          <w:p w:rsidR="00000000" w:rsidP="007E1653">
            <w:pPr>
              <w:pStyle w:val="List2"/>
              <w:rPr>
                <w:lang w:val="en-NZ"/>
              </w:rPr>
            </w:pPr>
            <w:r w:rsidRPr="007E1653">
              <w:t>2.4.</w:t>
            </w:r>
            <w:r w:rsidRPr="007E1653">
              <w:tab/>
              <w:t>Ultrasonic test equipment is maintained and stored in accordance with standard operating procedures and OH&amp;S requirements.</w:t>
            </w:r>
          </w:p>
        </w:tc>
      </w:tr>
      <w:tr w:rsidTr="009239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List"/>
              <w:rPr>
                <w:lang w:val="en-NZ"/>
              </w:rPr>
            </w:pPr>
            <w:r w:rsidRPr="007E1653">
              <w:t>3.</w:t>
            </w:r>
            <w:r w:rsidRPr="007E1653">
              <w:tab/>
              <w:t>Report the results of ultrasonic thickness tests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List2"/>
            </w:pPr>
            <w:r w:rsidRPr="007E1653">
              <w:t>3.1.</w:t>
            </w:r>
            <w:r w:rsidRPr="007E1653">
              <w:tab/>
              <w:t>Basic thicknesses</w:t>
            </w:r>
            <w:r w:rsidRPr="007E1653">
              <w:t xml:space="preserve"> are identified and explained in accordance with enterprise standards and/or procedures.</w:t>
            </w:r>
          </w:p>
          <w:p w:rsidR="00000000" w:rsidRPr="007E1653" w:rsidP="007E1653">
            <w:pPr>
              <w:pStyle w:val="List2"/>
            </w:pPr>
            <w:r w:rsidRPr="007E1653">
              <w:t>3.2.</w:t>
            </w:r>
            <w:r w:rsidRPr="007E1653">
              <w:tab/>
              <w:t>Basic thicknesses are confirmed in accordance with enterprise standards and/or procedures.</w:t>
            </w:r>
          </w:p>
          <w:p w:rsidR="00000000" w:rsidRPr="007E1653" w:rsidP="007E1653">
            <w:pPr>
              <w:pStyle w:val="List2"/>
            </w:pPr>
            <w:r w:rsidRPr="007E1653">
              <w:t>3.3.</w:t>
            </w:r>
            <w:r w:rsidRPr="007E1653">
              <w:tab/>
              <w:t xml:space="preserve">Test results are reported in accordance with enterprise standards </w:t>
            </w:r>
            <w:r w:rsidRPr="007E1653">
              <w:t>and/or procedures.</w:t>
            </w:r>
          </w:p>
        </w:tc>
      </w:tr>
    </w:tbl>
    <w:p w:rsidR="009239DA" w:rsidP="007E1653">
      <w:pPr>
        <w:pStyle w:val="BodyText"/>
      </w:pPr>
    </w:p>
    <w:p w:rsidR="009239DA" w:rsidP="007E1653">
      <w:pPr>
        <w:pStyle w:val="BodyText"/>
      </w:pPr>
    </w:p>
    <w:p w:rsidR="00000000" w:rsidRPr="007E1653" w:rsidP="007E1653">
      <w:pPr>
        <w:pStyle w:val="Heading1"/>
      </w:pPr>
      <w:bookmarkStart w:id="9" w:name="O_261060"/>
      <w:bookmarkEnd w:id="9"/>
      <w:r w:rsidRPr="007E1653">
        <w:t>Required Skills and Knowledge</w:t>
      </w:r>
    </w:p>
    <w:tbl>
      <w:tblPr>
        <w:tblW w:w="0" w:type="auto"/>
        <w:tblLayout w:type="fixed"/>
        <w:tblCellMar>
          <w:left w:w="62" w:type="dxa"/>
          <w:right w:w="62" w:type="dxa"/>
        </w:tblCellMar>
        <w:tblLook w:val="0000"/>
      </w:tblPr>
      <w:tblGrid>
        <w:gridCol w:w="8522"/>
      </w:tblGrid>
      <w:tr w:rsidTr="009239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REQUIRED SKILLS AND KNOWLEDGE</w:t>
            </w:r>
          </w:p>
        </w:tc>
      </w:tr>
      <w:tr w:rsidTr="009239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This section describes the skills and knowledge required for this unit.</w:t>
            </w:r>
          </w:p>
        </w:tc>
      </w:tr>
      <w:tr w:rsidTr="00923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Required skills</w:t>
            </w:r>
          </w:p>
        </w:tc>
      </w:tr>
      <w:tr w:rsidTr="00923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Look for evidence that confirms skills in:</w:t>
            </w:r>
          </w:p>
          <w:p w:rsidR="00000000" w:rsidRPr="007E1653" w:rsidP="007E1653">
            <w:pPr>
              <w:pStyle w:val="ListBullet"/>
            </w:pPr>
            <w:r w:rsidRPr="007E1653">
              <w:t>interpreting and following procedures</w:t>
            </w:r>
          </w:p>
          <w:p w:rsidR="00000000" w:rsidRPr="007E1653" w:rsidP="007E1653">
            <w:pPr>
              <w:pStyle w:val="ListBullet"/>
            </w:pPr>
            <w:r w:rsidRPr="007E1653">
              <w:t>identifying inspection areas</w:t>
            </w:r>
          </w:p>
          <w:p w:rsidR="00000000" w:rsidRPr="007E1653" w:rsidP="007E1653">
            <w:pPr>
              <w:pStyle w:val="ListBullet"/>
            </w:pPr>
            <w:r w:rsidRPr="007E1653">
              <w:t>identifying discontinuities and defects</w:t>
            </w:r>
          </w:p>
          <w:p w:rsidR="00000000" w:rsidRPr="007E1653" w:rsidP="007E1653">
            <w:pPr>
              <w:pStyle w:val="ListBullet"/>
            </w:pPr>
            <w:r w:rsidRPr="007E1653">
              <w:t>selecting appropriate testing techniques, equipment and procedures</w:t>
            </w:r>
          </w:p>
          <w:p w:rsidR="00000000" w:rsidRPr="007E1653" w:rsidP="007E1653">
            <w:pPr>
              <w:pStyle w:val="ListBullet"/>
            </w:pPr>
            <w:r w:rsidRPr="007E1653">
              <w:t>performing calculations</w:t>
            </w:r>
          </w:p>
          <w:p w:rsidR="00000000" w:rsidRPr="007E1653" w:rsidP="007E1653">
            <w:pPr>
              <w:pStyle w:val="ListBullet"/>
            </w:pPr>
            <w:r w:rsidRPr="007E1653">
              <w:t>assessing risk</w:t>
            </w:r>
          </w:p>
          <w:p w:rsidR="00000000" w:rsidP="007E1653">
            <w:pPr>
              <w:pStyle w:val="ListBullet"/>
              <w:rPr>
                <w:lang w:val="en-NZ"/>
              </w:rPr>
            </w:pPr>
            <w:r w:rsidRPr="007E1653">
              <w:t>entering routine and familiar information onto proformas and standard workplace forms</w:t>
            </w:r>
          </w:p>
        </w:tc>
      </w:tr>
      <w:tr w:rsidTr="00923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Required knowledge</w:t>
            </w:r>
          </w:p>
        </w:tc>
      </w:tr>
      <w:tr w:rsidTr="00923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Look for evidence that confirms knowledge of:</w:t>
            </w:r>
          </w:p>
          <w:p w:rsidR="00000000" w:rsidRPr="007E1653" w:rsidP="007E1653">
            <w:pPr>
              <w:pStyle w:val="ListBullet"/>
            </w:pPr>
            <w:r w:rsidRPr="007E1653">
              <w:t>cleaning and preparation processes for a variety of test surfaces</w:t>
            </w:r>
          </w:p>
          <w:p w:rsidR="00000000" w:rsidRPr="007E1653" w:rsidP="007E1653">
            <w:pPr>
              <w:pStyle w:val="ListBullet"/>
            </w:pPr>
            <w:r w:rsidRPr="007E1653">
              <w:t xml:space="preserve">procedures and OH&amp;S requirements in </w:t>
            </w:r>
            <w:r w:rsidRPr="007E1653">
              <w:t>relation to the preparation process</w:t>
            </w:r>
          </w:p>
          <w:p w:rsidR="00000000" w:rsidRPr="007E1653" w:rsidP="007E1653">
            <w:pPr>
              <w:pStyle w:val="ListBullet"/>
            </w:pPr>
            <w:r w:rsidRPr="007E1653">
              <w:t>established assessment procedures and techniques</w:t>
            </w:r>
          </w:p>
          <w:p w:rsidR="00000000" w:rsidRPr="007E1653" w:rsidP="007E1653">
            <w:pPr>
              <w:pStyle w:val="ListBullet"/>
            </w:pPr>
            <w:r w:rsidRPr="007E1653">
              <w:t>basic principles of ultrasonic thickness testing</w:t>
            </w:r>
          </w:p>
          <w:p w:rsidR="00000000" w:rsidRPr="007E1653" w:rsidP="007E1653">
            <w:pPr>
              <w:pStyle w:val="ListBullet"/>
            </w:pPr>
            <w:r w:rsidRPr="007E1653">
              <w:t>properties and behaviour of ultrasound</w:t>
            </w:r>
          </w:p>
          <w:p w:rsidR="00000000" w:rsidRPr="007E1653" w:rsidP="007E1653">
            <w:pPr>
              <w:pStyle w:val="ListBullet"/>
            </w:pPr>
            <w:r w:rsidRPr="007E1653">
              <w:t>basic concepts associated with frequency, velocity, wavelength, amplitude</w:t>
            </w:r>
          </w:p>
          <w:p w:rsidR="00000000" w:rsidRPr="007E1653" w:rsidP="007E1653">
            <w:pPr>
              <w:pStyle w:val="ListBullet"/>
            </w:pPr>
            <w:r w:rsidRPr="007E1653">
              <w:t>generatio</w:t>
            </w:r>
            <w:r w:rsidRPr="007E1653">
              <w:t>n of ultrasound</w:t>
            </w:r>
          </w:p>
          <w:p w:rsidR="00000000" w:rsidRPr="007E1653" w:rsidP="007E1653">
            <w:pPr>
              <w:pStyle w:val="ListBullet"/>
            </w:pPr>
            <w:r w:rsidRPr="007E1653">
              <w:t>types of discontinuities and their consequences</w:t>
            </w:r>
          </w:p>
          <w:p w:rsidR="00000000" w:rsidRPr="007E1653" w:rsidP="007E1653">
            <w:pPr>
              <w:pStyle w:val="ListBullet"/>
            </w:pPr>
            <w:r w:rsidRPr="007E1653">
              <w:t>procedures for carrying out ultrasonic thickness tests</w:t>
            </w:r>
          </w:p>
          <w:p w:rsidR="00000000" w:rsidRPr="007E1653" w:rsidP="007E1653">
            <w:pPr>
              <w:pStyle w:val="ListBullet"/>
            </w:pPr>
            <w:r w:rsidRPr="007E1653">
              <w:t>tools, equipment, techniques and system verification checks necessary to carry out the ultrasonic thickness test</w:t>
            </w:r>
          </w:p>
          <w:p w:rsidR="00000000" w:rsidRPr="007E1653" w:rsidP="007E1653">
            <w:pPr>
              <w:pStyle w:val="ListBullet"/>
            </w:pPr>
            <w:r w:rsidRPr="007E1653">
              <w:t>advantages and limitations of ultrasonic thickness testing</w:t>
            </w:r>
          </w:p>
          <w:p w:rsidR="00000000" w:rsidRPr="007E1653" w:rsidP="007E1653">
            <w:pPr>
              <w:pStyle w:val="ListBullet"/>
            </w:pPr>
            <w:r w:rsidRPr="007E1653">
              <w:t>hazards and safety requirements associated with ultrasonic thickness testing</w:t>
            </w:r>
          </w:p>
          <w:p w:rsidR="00000000" w:rsidRPr="007E1653" w:rsidP="007E1653">
            <w:pPr>
              <w:pStyle w:val="ListBullet"/>
            </w:pPr>
            <w:r w:rsidRPr="007E1653">
              <w:t>basic maintenance and storage procedures for testing equipment</w:t>
            </w:r>
          </w:p>
          <w:p w:rsidR="00000000" w:rsidRPr="007E1653" w:rsidP="007E1653">
            <w:pPr>
              <w:pStyle w:val="ListBullet"/>
            </w:pPr>
            <w:r w:rsidRPr="007E1653">
              <w:t>common basic defects</w:t>
            </w:r>
          </w:p>
          <w:p w:rsidR="00000000" w:rsidRPr="007E1653" w:rsidP="007E1653">
            <w:pPr>
              <w:pStyle w:val="ListBullet"/>
            </w:pPr>
            <w:r w:rsidRPr="007E1653">
              <w:t>indications and thicknesses</w:t>
            </w:r>
          </w:p>
          <w:p w:rsidR="00000000" w:rsidRPr="007E1653" w:rsidP="007E1653">
            <w:pPr>
              <w:pStyle w:val="ListBullet"/>
            </w:pPr>
            <w:r w:rsidRPr="007E1653">
              <w:t>methods/</w:t>
            </w:r>
            <w:r w:rsidRPr="007E1653">
              <w:t>procedures for reporting test results</w:t>
            </w:r>
          </w:p>
          <w:p w:rsidR="00000000" w:rsidRPr="007E1653" w:rsidP="007E1653">
            <w:pPr>
              <w:pStyle w:val="ListBullet"/>
            </w:pPr>
            <w:r w:rsidRPr="007E1653">
              <w:t>ultrasonic thickness testing equipment</w:t>
            </w:r>
          </w:p>
          <w:p w:rsidR="00000000" w:rsidRPr="007E1653" w:rsidP="007E1653">
            <w:pPr>
              <w:pStyle w:val="ListBullet"/>
            </w:pPr>
            <w:r w:rsidRPr="007E1653">
              <w:t>types of displays:</w:t>
            </w:r>
          </w:p>
          <w:p w:rsidR="00000000" w:rsidRPr="007E1653" w:rsidP="007E1653">
            <w:pPr>
              <w:pStyle w:val="ListBullet2"/>
            </w:pPr>
            <w:r w:rsidRPr="007E1653">
              <w:t>a-scan display</w:t>
            </w:r>
          </w:p>
          <w:p w:rsidR="00000000" w:rsidRPr="007E1653" w:rsidP="007E1653">
            <w:pPr>
              <w:pStyle w:val="ListBullet2"/>
            </w:pPr>
            <w:r w:rsidRPr="007E1653">
              <w:t>b-scan display</w:t>
            </w:r>
          </w:p>
          <w:p w:rsidR="00000000" w:rsidRPr="007E1653" w:rsidP="007E1653">
            <w:pPr>
              <w:pStyle w:val="ListBullet"/>
            </w:pPr>
            <w:r w:rsidRPr="007E1653">
              <w:t>types of couplants, desirable characteristics</w:t>
            </w:r>
          </w:p>
          <w:p w:rsidR="00000000" w:rsidRPr="007E1653" w:rsidP="007E1653">
            <w:pPr>
              <w:pStyle w:val="ListBullet"/>
            </w:pPr>
            <w:r w:rsidRPr="007E1653">
              <w:t>straight beam testing method:</w:t>
            </w:r>
          </w:p>
          <w:p w:rsidR="00000000" w:rsidRPr="007E1653" w:rsidP="007E1653">
            <w:pPr>
              <w:pStyle w:val="ListBullet"/>
            </w:pPr>
            <w:r w:rsidRPr="007E1653">
              <w:t>calibration of thickness testing equipment</w:t>
            </w:r>
          </w:p>
          <w:p w:rsidR="00000000" w:rsidRPr="007E1653" w:rsidP="007E1653">
            <w:pPr>
              <w:pStyle w:val="ListBullet"/>
            </w:pPr>
            <w:r w:rsidRPr="007E1653">
              <w:t>frequency</w:t>
            </w:r>
          </w:p>
          <w:p w:rsidR="00000000" w:rsidRPr="007E1653" w:rsidP="007E1653">
            <w:pPr>
              <w:pStyle w:val="ListBullet"/>
            </w:pPr>
            <w:r w:rsidRPr="007E1653">
              <w:t>probe size and shape</w:t>
            </w:r>
          </w:p>
          <w:p w:rsidR="00000000" w:rsidRPr="007E1653" w:rsidP="007E1653">
            <w:pPr>
              <w:pStyle w:val="ListBullet"/>
            </w:pPr>
            <w:r w:rsidRPr="007E1653">
              <w:t>thickness testing</w:t>
            </w:r>
          </w:p>
          <w:p w:rsidR="00000000" w:rsidRPr="007E1653" w:rsidP="007E1653">
            <w:pPr>
              <w:pStyle w:val="ListBullet"/>
            </w:pPr>
            <w:r w:rsidRPr="007E1653">
              <w:t>plate testing</w:t>
            </w:r>
          </w:p>
          <w:p w:rsidR="00000000" w:rsidRPr="007E1653" w:rsidP="007E1653">
            <w:pPr>
              <w:pStyle w:val="ListBullet2"/>
            </w:pPr>
            <w:r w:rsidRPr="007E1653">
              <w:t>acceptance standards within the scope of this unit</w:t>
            </w:r>
          </w:p>
          <w:p w:rsidR="00000000" w:rsidRPr="007E1653" w:rsidP="007E1653">
            <w:pPr>
              <w:pStyle w:val="ListBullet"/>
            </w:pPr>
            <w:r w:rsidRPr="007E1653">
              <w:t>recording and reporting:</w:t>
            </w:r>
          </w:p>
          <w:p w:rsidR="00000000" w:rsidRPr="007E1653" w:rsidP="007E1653">
            <w:pPr>
              <w:pStyle w:val="ListBullet2"/>
            </w:pPr>
            <w:r w:rsidRPr="007E1653">
              <w:t>job records</w:t>
            </w:r>
          </w:p>
          <w:p w:rsidR="00000000" w:rsidRPr="007E1653" w:rsidP="007E1653">
            <w:pPr>
              <w:pStyle w:val="ListBullet2"/>
            </w:pPr>
            <w:r w:rsidRPr="007E1653">
              <w:t>routine reports</w:t>
            </w:r>
          </w:p>
          <w:p w:rsidR="00000000" w:rsidRPr="007E1653" w:rsidP="007E1653">
            <w:pPr>
              <w:pStyle w:val="ListBullet2"/>
            </w:pPr>
            <w:r w:rsidRPr="007E1653">
              <w:t>codes and standards</w:t>
            </w:r>
          </w:p>
          <w:p w:rsidR="00000000" w:rsidRPr="007E1653" w:rsidP="007E1653">
            <w:pPr>
              <w:pStyle w:val="ListBullet"/>
            </w:pPr>
            <w:r w:rsidRPr="007E1653">
              <w:t>variables affecting test results</w:t>
            </w:r>
          </w:p>
          <w:p w:rsidR="00000000" w:rsidRPr="007E1653" w:rsidP="007E1653">
            <w:pPr>
              <w:pStyle w:val="ListBullet"/>
            </w:pPr>
            <w:r w:rsidRPr="007E1653">
              <w:t>methods of controlling variables</w:t>
            </w:r>
          </w:p>
          <w:p w:rsidR="00000000" w:rsidRPr="007E1653" w:rsidP="007E1653">
            <w:pPr>
              <w:pStyle w:val="ListBullet"/>
            </w:pPr>
            <w:r w:rsidRPr="007E1653">
              <w:t>componen</w:t>
            </w:r>
            <w:r w:rsidRPr="007E1653">
              <w:t>t variables:</w:t>
            </w:r>
          </w:p>
          <w:p w:rsidR="00000000" w:rsidRPr="007E1653" w:rsidP="007E1653">
            <w:pPr>
              <w:pStyle w:val="ListBullet2"/>
            </w:pPr>
            <w:r w:rsidRPr="007E1653">
              <w:t>size and geometry</w:t>
            </w:r>
          </w:p>
          <w:p w:rsidR="00000000" w:rsidRPr="007E1653" w:rsidP="007E1653">
            <w:pPr>
              <w:pStyle w:val="ListBullet2"/>
            </w:pPr>
            <w:r w:rsidRPr="007E1653">
              <w:t>distance location from entry surface</w:t>
            </w:r>
          </w:p>
          <w:p w:rsidR="00000000" w:rsidRPr="007E1653" w:rsidP="007E1653">
            <w:pPr>
              <w:pStyle w:val="ListBullet2"/>
            </w:pPr>
            <w:r w:rsidRPr="007E1653">
              <w:t>orientation to entry surface</w:t>
            </w:r>
          </w:p>
          <w:p w:rsidR="00000000" w:rsidRPr="007E1653" w:rsidP="007E1653">
            <w:pPr>
              <w:pStyle w:val="ListBullet2"/>
            </w:pPr>
            <w:r w:rsidRPr="007E1653">
              <w:t>reflecting characteristics of back wall</w:t>
            </w:r>
          </w:p>
          <w:p w:rsidR="00000000" w:rsidRPr="007E1653" w:rsidP="007E1653">
            <w:pPr>
              <w:pStyle w:val="ListBullet"/>
            </w:pPr>
            <w:r w:rsidRPr="007E1653">
              <w:t xml:space="preserve">any applicable industry standards, national/Australian standards, NOHSC guides, </w:t>
            </w:r>
            <w:r w:rsidRPr="007E1653">
              <w:t>State/Territory regulatory codes of practice/standards</w:t>
            </w:r>
          </w:p>
          <w:p w:rsidR="00000000" w:rsidRPr="007E1653" w:rsidP="007E1653">
            <w:pPr>
              <w:pStyle w:val="ListBullet"/>
            </w:pPr>
            <w:r w:rsidRPr="007E1653">
              <w:t>use and application of personal protective equipment</w:t>
            </w:r>
          </w:p>
          <w:p w:rsidR="00000000" w:rsidRPr="007E1653" w:rsidP="007E1653">
            <w:pPr>
              <w:pStyle w:val="ListBullet"/>
            </w:pPr>
            <w:r w:rsidRPr="007E1653">
              <w:t>safe work practices and procedures</w:t>
            </w:r>
          </w:p>
        </w:tc>
      </w:tr>
    </w:tbl>
    <w:p w:rsidR="009239DA" w:rsidP="007E1653">
      <w:pPr>
        <w:pStyle w:val="BodyText"/>
      </w:pPr>
    </w:p>
    <w:p w:rsidR="009239DA" w:rsidP="007E1653">
      <w:pPr>
        <w:pStyle w:val="BodyText"/>
      </w:pPr>
    </w:p>
    <w:p w:rsidR="00000000" w:rsidRPr="007E1653" w:rsidP="007E1653">
      <w:pPr>
        <w:pStyle w:val="AllowPageBreak"/>
      </w:pPr>
    </w:p>
    <w:p w:rsidR="00000000" w:rsidRPr="007E1653" w:rsidP="007E1653">
      <w:pPr>
        <w:pStyle w:val="Heading1"/>
      </w:pPr>
      <w:bookmarkStart w:id="10" w:name="O_245094"/>
      <w:bookmarkEnd w:id="10"/>
      <w:r w:rsidRPr="007E1653">
        <w:t>Evidence Guide</w:t>
      </w:r>
    </w:p>
    <w:tbl>
      <w:tblPr>
        <w:tblW w:w="9570" w:type="dxa"/>
        <w:tblLayout w:type="fixed"/>
        <w:tblCellMar>
          <w:left w:w="62" w:type="dxa"/>
          <w:right w:w="62" w:type="dxa"/>
        </w:tblCellMar>
        <w:tblLook w:val="0000"/>
      </w:tblPr>
      <w:tblGrid>
        <w:gridCol w:w="3908"/>
        <w:gridCol w:w="5662"/>
      </w:tblGrid>
      <w:tr w:rsidTr="009239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EVIDENCE GUIDE</w:t>
            </w:r>
          </w:p>
        </w:tc>
      </w:tr>
      <w:tr w:rsidTr="009239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The evide</w:t>
            </w:r>
            <w:r w:rsidRPr="007E1653">
              <w:t>nce guide provides advice on assessment and must be read in conjunction with the performance criteria, required skills and knowledge, range statement and the Assessment Guidelines for the Training Package.</w:t>
            </w:r>
          </w:p>
        </w:tc>
      </w:tr>
      <w:tr w:rsidTr="00923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A person who demonstrates</w:t>
            </w:r>
            <w:r w:rsidRPr="007E1653">
              <w:t xml:space="preserve"> competency in this unit must be able to perform ultrasonic thickness testing. Competency in this unit cannot be claimed until all prerequisites have been satisfied.</w:t>
            </w:r>
          </w:p>
        </w:tc>
      </w:tr>
      <w:tr w:rsidTr="00923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Critical aspects for assessment and evidence required to demonstrate competency in this u</w:t>
            </w:r>
            <w:r w:rsidRPr="007E1653">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Assessors must be satisfied that the candidate can competently and consistently perform all elements of the unit as specified by the criteria, including required knowledge, and be capable of applying the competency in new and different situations and c</w:t>
            </w:r>
            <w:r w:rsidRPr="007E1653">
              <w:t>ontexts.</w:t>
            </w:r>
          </w:p>
        </w:tc>
      </w:tr>
      <w:tr w:rsidTr="00923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This unit may be assessed on the job, off the job or a combination of both on and off the job. Where assessment occurs off the job, that is the candidate is not in productive work, then an appropri</w:t>
            </w:r>
            <w:r w:rsidRPr="007E1653">
              <w:t>ate simulation must be used where the range of conditions reflects realistic workplace situations. The competencies covered by this unit would be demonstrated by an individual working alone or as part of a team. The assessment environment should not disadv</w:t>
            </w:r>
            <w:r w:rsidRPr="007E1653">
              <w:t xml:space="preserve">antage the candidate. </w:t>
            </w:r>
          </w:p>
          <w:p w:rsidR="00000000" w:rsidP="007E1653">
            <w:pPr>
              <w:pStyle w:val="BodyText"/>
              <w:rPr>
                <w:lang w:val="en-NZ"/>
              </w:rPr>
            </w:pPr>
            <w:r w:rsidRPr="007E1653">
              <w:t>This unit could be assessed in conjunction with any other units addressing the safety, quality, communication, materials handling, recording and reporting associated with performing ultrasonic thickness testing in a range of industrial applications, or oth</w:t>
            </w:r>
            <w:r w:rsidRPr="007E1653">
              <w:t>er units requiring the exercise of the skills and knowledge covered by this unit.</w:t>
            </w:r>
          </w:p>
        </w:tc>
      </w:tr>
      <w:tr w:rsidTr="00923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Assessors should gather a range of evidence that is valid, sufficient, current and authentic. Evidence can be gathered through a variety of ways includi</w:t>
            </w:r>
            <w:r w:rsidRPr="007E1653">
              <w:t>ng direct observation, supervisor's reports, project work, samples and questioning. Questioning techniques should not require language, literacy and numeracy skills beyond those required in this unit of competency. The candidate must have access to all too</w:t>
            </w:r>
            <w:r w:rsidRPr="007E1653">
              <w:t>ls, equipment, materials and documentation required. The candidate must be permitted to refer to any relevant workplace procedures, product and manufacturing specifications, codes, standards, manuals and reference materials.</w:t>
            </w:r>
          </w:p>
        </w:tc>
      </w:tr>
      <w:tr w:rsidTr="00923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Guidance information for asses</w:t>
            </w:r>
            <w:r w:rsidRPr="007E1653">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p>
        </w:tc>
      </w:tr>
    </w:tbl>
    <w:p w:rsidR="009239DA" w:rsidP="007E1653">
      <w:pPr>
        <w:pStyle w:val="BodyText"/>
      </w:pPr>
    </w:p>
    <w:p w:rsidR="009239DA" w:rsidP="007E1653">
      <w:pPr>
        <w:pStyle w:val="BodyText"/>
      </w:pPr>
    </w:p>
    <w:p w:rsidR="00000000" w:rsidRPr="007E1653" w:rsidP="007E1653">
      <w:pPr>
        <w:pStyle w:val="Heading1"/>
      </w:pPr>
      <w:bookmarkStart w:id="11" w:name="O_253077"/>
      <w:bookmarkEnd w:id="11"/>
      <w:r w:rsidRPr="007E1653">
        <w:t>Range Statement</w:t>
      </w:r>
    </w:p>
    <w:tbl>
      <w:tblPr>
        <w:tblW w:w="0" w:type="auto"/>
        <w:tblLayout w:type="fixed"/>
        <w:tblCellMar>
          <w:left w:w="62" w:type="dxa"/>
          <w:right w:w="62" w:type="dxa"/>
        </w:tblCellMar>
        <w:tblLook w:val="0000"/>
      </w:tblPr>
      <w:tblGrid>
        <w:gridCol w:w="3547"/>
        <w:gridCol w:w="4975"/>
      </w:tblGrid>
      <w:tr w:rsidTr="009239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RANGE STATEMENT</w:t>
            </w:r>
          </w:p>
        </w:tc>
      </w:tr>
      <w:tr w:rsidTr="009239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 xml:space="preserve">The range statement relates to the unit of competency as a whole. It allows for different work environments and situations that may affect </w:t>
            </w:r>
            <w:r w:rsidRPr="007E1653">
              <w:t>performance. Bold italicised wording, if used in the performance criteria, is detailed below. Essential operating conditions that may be present with training and assessment (depending on the work situation, needs of the candidate, accessibility of the ite</w:t>
            </w:r>
            <w:r w:rsidRPr="007E1653">
              <w:t>m, and local industry and regional contexts) may also be included.</w:t>
            </w:r>
          </w:p>
        </w:tc>
      </w:tr>
      <w:tr w:rsidTr="009239DA">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Preparation processes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Surface cleaning and drying</w:t>
            </w:r>
          </w:p>
        </w:tc>
      </w:tr>
      <w:tr w:rsidTr="009239DA">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Obvious discontinuities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t>Observed changes in material homogeneity</w:t>
            </w:r>
          </w:p>
        </w:tc>
      </w:tr>
      <w:tr w:rsidTr="009239DA">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Reported</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Accurate identification of location and size of discontinuiti</w:t>
            </w:r>
            <w:r w:rsidRPr="007E1653">
              <w:t>es</w:t>
            </w:r>
          </w:p>
        </w:tc>
      </w:tr>
    </w:tbl>
    <w:p w:rsidR="009239DA" w:rsidP="007E1653">
      <w:pPr>
        <w:pStyle w:val="BodyText"/>
      </w:pPr>
    </w:p>
    <w:p w:rsidR="009239DA" w:rsidP="007E1653">
      <w:pPr>
        <w:pStyle w:val="BodyText"/>
      </w:pPr>
    </w:p>
    <w:p w:rsidR="00000000" w:rsidRPr="007E1653" w:rsidP="007E1653">
      <w:pPr>
        <w:pStyle w:val="Heading1"/>
      </w:pPr>
      <w:bookmarkStart w:id="12" w:name="O_213223"/>
      <w:bookmarkEnd w:id="12"/>
      <w:r w:rsidRPr="007E1653">
        <w:t>Unit Sector(s)</w:t>
      </w:r>
    </w:p>
    <w:tbl>
      <w:tblPr>
        <w:tblW w:w="0" w:type="auto"/>
        <w:tblLayout w:type="fixed"/>
        <w:tblCellMar>
          <w:left w:w="62" w:type="dxa"/>
          <w:right w:w="62" w:type="dxa"/>
        </w:tblCellMar>
        <w:tblLook w:val="0000"/>
      </w:tblPr>
      <w:tblGrid>
        <w:gridCol w:w="2654"/>
        <w:gridCol w:w="5868"/>
      </w:tblGrid>
      <w:tr w:rsidTr="009239D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p>
        </w:tc>
      </w:tr>
    </w:tbl>
    <w:p w:rsidR="009239DA" w:rsidP="007E1653">
      <w:pPr>
        <w:pStyle w:val="BodyText"/>
      </w:pPr>
    </w:p>
    <w:p w:rsidR="009239DA" w:rsidP="007E1653">
      <w:pPr>
        <w:pStyle w:val="BodyText"/>
      </w:pPr>
    </w:p>
    <w:p w:rsidR="00000000" w:rsidRPr="007E1653" w:rsidP="007E1653">
      <w:pPr>
        <w:pStyle w:val="Heading1"/>
      </w:pPr>
      <w:bookmarkStart w:id="13" w:name="O_213220"/>
      <w:bookmarkEnd w:id="13"/>
      <w:r w:rsidRPr="007E1653">
        <w:t>Co-requisite units</w:t>
      </w:r>
    </w:p>
    <w:tbl>
      <w:tblPr>
        <w:tblW w:w="0" w:type="auto"/>
        <w:tblLayout w:type="fixed"/>
        <w:tblCellMar>
          <w:left w:w="62" w:type="dxa"/>
          <w:right w:w="62" w:type="dxa"/>
        </w:tblCellMar>
        <w:tblLook w:val="0000"/>
      </w:tblPr>
      <w:tblGrid>
        <w:gridCol w:w="2641"/>
        <w:gridCol w:w="1322"/>
        <w:gridCol w:w="4559"/>
      </w:tblGrid>
      <w:tr w:rsidTr="009239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p>
        </w:tc>
      </w:tr>
      <w:tr w:rsidTr="009239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p>
        </w:tc>
      </w:tr>
      <w:tr w:rsidTr="009239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p>
        </w:tc>
      </w:tr>
    </w:tbl>
    <w:p w:rsidR="009239DA" w:rsidP="007E1653">
      <w:pPr>
        <w:pStyle w:val="BodyText"/>
      </w:pPr>
    </w:p>
    <w:p w:rsidR="009239DA" w:rsidP="007E1653">
      <w:pPr>
        <w:pStyle w:val="BodyText"/>
      </w:pPr>
    </w:p>
    <w:p w:rsidR="00000000" w:rsidRPr="007E1653" w:rsidP="007E1653">
      <w:pPr>
        <w:pStyle w:val="Heading1"/>
      </w:pPr>
      <w:bookmarkStart w:id="14" w:name="O_213222"/>
      <w:bookmarkEnd w:id="14"/>
      <w:r w:rsidRPr="007E1653">
        <w:t>Competency field</w:t>
      </w:r>
    </w:p>
    <w:tbl>
      <w:tblPr>
        <w:tblW w:w="0" w:type="auto"/>
        <w:tblLayout w:type="fixed"/>
        <w:tblCellMar>
          <w:left w:w="62" w:type="dxa"/>
          <w:right w:w="62" w:type="dxa"/>
        </w:tblCellMar>
        <w:tblLook w:val="0000"/>
      </w:tblPr>
      <w:tblGrid>
        <w:gridCol w:w="2779"/>
        <w:gridCol w:w="5743"/>
      </w:tblGrid>
      <w:tr w:rsidTr="009239D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653">
            <w:pPr>
              <w:pStyle w:val="BodyText"/>
              <w:rPr>
                <w:lang w:val="en-NZ"/>
              </w:rPr>
            </w:pPr>
            <w:r w:rsidRPr="007E165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653" w:rsidP="007E1653">
            <w:pPr>
              <w:pStyle w:val="BodyText"/>
            </w:pPr>
            <w:r w:rsidRPr="007E1653">
              <w:t>Non-destructive testing</w:t>
            </w:r>
          </w:p>
        </w:tc>
      </w:tr>
    </w:tbl>
    <w:p w:rsidR="009239DA" w:rsidP="007E1653">
      <w:pPr>
        <w:pStyle w:val="BodyText"/>
      </w:pPr>
    </w:p>
    <w:p w:rsidR="009239DA" w:rsidP="007E1653">
      <w:pPr>
        <w:pStyle w:val="BodyText"/>
      </w:pPr>
    </w:p>
    <w:p w:rsidR="00000000" w:rsidRPr="007E1653" w:rsidP="007E1653"/>
    <w:sectPr w:rsidSect="007E1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9DA" w:rsidP="00923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9DA" w:rsidP="007E1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39DA" w:rsidP="007E1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39DA" w:rsidP="007E1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9DA" w:rsidP="009239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9DA" w:rsidP="007E1653">
    <w:pPr>
      <w:pStyle w:val="Header"/>
      <w:framePr w:wrap="around"/>
    </w:pPr>
    <w:r>
      <w:fldChar w:fldCharType="begin"/>
    </w:r>
    <w:r>
      <w:instrText xml:space="preserve"> TITLE   \* MERGEFORMAT </w:instrText>
    </w:r>
    <w:r>
      <w:fldChar w:fldCharType="separate"/>
    </w:r>
    <w:r>
      <w:t>MEM24007B Perform ultrasonic thickness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39DA" w:rsidP="007E16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62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08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E2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653"/>
    <w:pPr>
      <w:spacing w:before="360" w:after="60"/>
      <w:outlineLvl w:val="0"/>
    </w:pPr>
    <w:rPr>
      <w:sz w:val="32"/>
    </w:rPr>
  </w:style>
  <w:style w:type="paragraph" w:styleId="Heading2">
    <w:name w:val="heading 2"/>
    <w:basedOn w:val="HeadingBase"/>
    <w:next w:val="BodyText"/>
    <w:link w:val="Heading2Char"/>
    <w:qFormat/>
    <w:rsid w:val="007E1653"/>
    <w:pPr>
      <w:keepLines/>
      <w:spacing w:before="240" w:after="120"/>
      <w:outlineLvl w:val="1"/>
    </w:pPr>
    <w:rPr>
      <w:sz w:val="28"/>
      <w:szCs w:val="40"/>
    </w:rPr>
  </w:style>
  <w:style w:type="paragraph" w:styleId="Heading3">
    <w:name w:val="heading 3"/>
    <w:basedOn w:val="HeadingBase"/>
    <w:next w:val="BodyText"/>
    <w:link w:val="Heading3Char"/>
    <w:qFormat/>
    <w:rsid w:val="007E1653"/>
    <w:pPr>
      <w:spacing w:before="180" w:after="120"/>
      <w:outlineLvl w:val="2"/>
    </w:pPr>
    <w:rPr>
      <w:spacing w:val="-10"/>
      <w:kern w:val="32"/>
    </w:rPr>
  </w:style>
  <w:style w:type="paragraph" w:styleId="Heading4">
    <w:name w:val="heading 4"/>
    <w:basedOn w:val="HeadingBase"/>
    <w:next w:val="BodyText"/>
    <w:link w:val="Heading4Char"/>
    <w:qFormat/>
    <w:rsid w:val="007E1653"/>
    <w:pPr>
      <w:spacing w:before="160" w:after="120"/>
      <w:outlineLvl w:val="3"/>
    </w:pPr>
    <w:rPr>
      <w:sz w:val="22"/>
    </w:rPr>
  </w:style>
  <w:style w:type="paragraph" w:styleId="Heading5">
    <w:name w:val="heading 5"/>
    <w:basedOn w:val="HeadingBase"/>
    <w:next w:val="Normal"/>
    <w:link w:val="Heading5Char"/>
    <w:qFormat/>
    <w:rsid w:val="007E1653"/>
    <w:pPr>
      <w:spacing w:before="80"/>
      <w:outlineLvl w:val="4"/>
    </w:pPr>
    <w:rPr>
      <w:color w:val="918585"/>
      <w:sz w:val="20"/>
    </w:rPr>
  </w:style>
  <w:style w:type="paragraph" w:styleId="Heading6">
    <w:name w:val="heading 6"/>
    <w:basedOn w:val="HeadingBase"/>
    <w:next w:val="Normal"/>
    <w:link w:val="Heading6Char"/>
    <w:qFormat/>
    <w:rsid w:val="007E1653"/>
    <w:pPr>
      <w:spacing w:before="60"/>
      <w:outlineLvl w:val="5"/>
    </w:pPr>
    <w:rPr>
      <w:color w:val="918585"/>
      <w:sz w:val="20"/>
    </w:rPr>
  </w:style>
  <w:style w:type="paragraph" w:styleId="Heading7">
    <w:name w:val="heading 7"/>
    <w:basedOn w:val="Normal"/>
    <w:next w:val="Normal"/>
    <w:link w:val="Heading7Char"/>
    <w:qFormat/>
    <w:rsid w:val="007E1653"/>
    <w:pPr>
      <w:ind w:left="720"/>
      <w:outlineLvl w:val="6"/>
    </w:pPr>
    <w:rPr>
      <w:i/>
    </w:rPr>
  </w:style>
  <w:style w:type="paragraph" w:styleId="Heading8">
    <w:name w:val="heading 8"/>
    <w:basedOn w:val="Normal"/>
    <w:next w:val="Normal"/>
    <w:link w:val="Heading8Char"/>
    <w:qFormat/>
    <w:rsid w:val="007E1653"/>
    <w:pPr>
      <w:ind w:left="720"/>
      <w:outlineLvl w:val="7"/>
    </w:pPr>
    <w:rPr>
      <w:i/>
    </w:rPr>
  </w:style>
  <w:style w:type="paragraph" w:styleId="Heading9">
    <w:name w:val="heading 9"/>
    <w:basedOn w:val="Normal"/>
    <w:next w:val="Normal"/>
    <w:link w:val="Heading9Char"/>
    <w:qFormat/>
    <w:rsid w:val="007E1653"/>
    <w:pPr>
      <w:ind w:left="720"/>
      <w:outlineLvl w:val="8"/>
    </w:pPr>
    <w:rPr>
      <w:i/>
    </w:rPr>
  </w:style>
  <w:style w:type="character" w:default="1" w:styleId="DefaultParagraphFont">
    <w:name w:val="Default Paragraph Font"/>
    <w:uiPriority w:val="1"/>
    <w:unhideWhenUsed/>
    <w:rsid w:val="007E1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653"/>
  </w:style>
  <w:style w:type="character" w:customStyle="1" w:styleId="Heading1Char">
    <w:name w:val="Heading 1 Char"/>
    <w:basedOn w:val="DefaultParagraphFont"/>
    <w:link w:val="Heading1"/>
    <w:rsid w:val="007E1653"/>
    <w:rPr>
      <w:rFonts w:ascii="Times New Roman" w:eastAsia="Times New Roman" w:hAnsi="Times New Roman" w:cs="Times New Roman"/>
      <w:b/>
      <w:sz w:val="32"/>
      <w:szCs w:val="20"/>
      <w:lang w:eastAsia="en-US"/>
    </w:rPr>
  </w:style>
  <w:style w:type="paragraph" w:styleId="BodyText">
    <w:name w:val="Body Text"/>
    <w:basedOn w:val="Normal"/>
    <w:link w:val="BodyTextChar"/>
    <w:rsid w:val="007E1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653"/>
    <w:rPr>
      <w:rFonts w:ascii="Times New Roman" w:eastAsia="Times New Roman" w:hAnsi="Times New Roman" w:cs="Times New Roman"/>
      <w:sz w:val="24"/>
      <w:lang w:val="en-US" w:eastAsia="en-US"/>
    </w:rPr>
  </w:style>
  <w:style w:type="paragraph" w:styleId="Footer">
    <w:name w:val="footer"/>
    <w:basedOn w:val="Normal"/>
    <w:link w:val="FooterChar"/>
    <w:rsid w:val="007E1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653"/>
    <w:rPr>
      <w:rFonts w:ascii="Times New Roman" w:eastAsia="Times New Roman" w:hAnsi="Times New Roman" w:cs="Times New Roman"/>
      <w:sz w:val="16"/>
      <w:lang w:val="en-US" w:eastAsia="en-US"/>
    </w:rPr>
  </w:style>
  <w:style w:type="paragraph" w:styleId="List">
    <w:name w:val="List"/>
    <w:basedOn w:val="BodyText"/>
    <w:next w:val="BodyText"/>
    <w:rsid w:val="007E1653"/>
    <w:pPr>
      <w:tabs>
        <w:tab w:val="left" w:pos="340"/>
      </w:tabs>
      <w:spacing w:before="60" w:after="60"/>
      <w:ind w:left="340" w:hanging="340"/>
    </w:pPr>
  </w:style>
  <w:style w:type="paragraph" w:styleId="ListBullet">
    <w:name w:val="List Bullet"/>
    <w:basedOn w:val="List"/>
    <w:rsid w:val="007E1653"/>
    <w:pPr>
      <w:numPr>
        <w:numId w:val="13"/>
      </w:numPr>
      <w:tabs>
        <w:tab w:val="clear" w:pos="340"/>
      </w:tabs>
      <w:spacing w:before="40" w:after="40"/>
    </w:pPr>
  </w:style>
  <w:style w:type="character" w:customStyle="1" w:styleId="SpecialBold">
    <w:name w:val="Special Bold"/>
    <w:basedOn w:val="DefaultParagraphFont"/>
    <w:rsid w:val="007E1653"/>
    <w:rPr>
      <w:b/>
      <w:spacing w:val="0"/>
    </w:rPr>
  </w:style>
  <w:style w:type="paragraph" w:styleId="ListBullet2">
    <w:name w:val="List Bullet 2"/>
    <w:basedOn w:val="List2"/>
    <w:rsid w:val="007E1653"/>
    <w:pPr>
      <w:numPr>
        <w:numId w:val="14"/>
      </w:numPr>
      <w:tabs>
        <w:tab w:val="clear" w:pos="680"/>
      </w:tabs>
    </w:pPr>
  </w:style>
  <w:style w:type="paragraph" w:styleId="Header">
    <w:name w:val="header"/>
    <w:basedOn w:val="Normal"/>
    <w:link w:val="HeaderChar"/>
    <w:rsid w:val="007E1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6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1653"/>
    <w:pPr>
      <w:spacing w:before="240" w:after="120"/>
      <w:outlineLvl w:val="0"/>
    </w:pPr>
    <w:rPr>
      <w:rFonts w:ascii="Times New Roman" w:hAnsi="Times New Roman"/>
      <w:b/>
      <w:sz w:val="28"/>
    </w:rPr>
  </w:style>
  <w:style w:type="paragraph" w:customStyle="1" w:styleId="AllowPageBreak">
    <w:name w:val="AllowPageBreak"/>
    <w:rsid w:val="007E16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653"/>
    <w:pPr>
      <w:tabs>
        <w:tab w:val="left" w:pos="680"/>
      </w:tabs>
      <w:spacing w:before="60" w:after="60"/>
      <w:ind w:left="680" w:hanging="340"/>
    </w:pPr>
  </w:style>
  <w:style w:type="character" w:customStyle="1" w:styleId="Heading2Char">
    <w:name w:val="Heading 2 Char"/>
    <w:basedOn w:val="DefaultParagraphFont"/>
    <w:link w:val="Heading2"/>
    <w:rsid w:val="007E1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6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6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653"/>
    <w:rPr>
      <w:rFonts w:ascii="Courier New" w:eastAsia="Times New Roman" w:hAnsi="Courier New" w:cs="Times New Roman"/>
      <w:i/>
      <w:szCs w:val="20"/>
      <w:lang w:val="en-US" w:eastAsia="en-US"/>
    </w:rPr>
  </w:style>
  <w:style w:type="paragraph" w:customStyle="1" w:styleId="HeadingBase">
    <w:name w:val="Heading Base"/>
    <w:rsid w:val="007E1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653"/>
    <w:pPr>
      <w:tabs>
        <w:tab w:val="right" w:leader="dot" w:pos="9072"/>
      </w:tabs>
      <w:ind w:left="567"/>
    </w:pPr>
    <w:rPr>
      <w:szCs w:val="22"/>
    </w:rPr>
  </w:style>
  <w:style w:type="paragraph" w:customStyle="1" w:styleId="TOCBase">
    <w:name w:val="TOC Base"/>
    <w:rsid w:val="007E1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653"/>
    <w:pPr>
      <w:tabs>
        <w:tab w:val="right" w:leader="dot" w:pos="9072"/>
      </w:tabs>
      <w:spacing w:before="40" w:after="40"/>
      <w:ind w:left="284"/>
    </w:pPr>
    <w:rPr>
      <w:rFonts w:ascii="Times New Roman" w:hAnsi="Times New Roman"/>
    </w:rPr>
  </w:style>
  <w:style w:type="paragraph" w:styleId="TOC1">
    <w:name w:val="toc 1"/>
    <w:basedOn w:val="TOCBase"/>
    <w:next w:val="Normal"/>
    <w:rsid w:val="007E1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653"/>
    <w:pPr>
      <w:spacing w:before="5040"/>
      <w:jc w:val="center"/>
    </w:pPr>
    <w:rPr>
      <w:sz w:val="48"/>
      <w:szCs w:val="72"/>
      <w:lang w:val="en-US"/>
    </w:rPr>
  </w:style>
  <w:style w:type="character" w:customStyle="1" w:styleId="TitleChar">
    <w:name w:val="Title Char"/>
    <w:basedOn w:val="DefaultParagraphFont"/>
    <w:link w:val="Title"/>
    <w:rsid w:val="007E1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653"/>
    <w:pPr>
      <w:tabs>
        <w:tab w:val="left" w:pos="3600"/>
        <w:tab w:val="left" w:pos="3958"/>
      </w:tabs>
    </w:pPr>
  </w:style>
  <w:style w:type="paragraph" w:customStyle="1" w:styleId="Note">
    <w:name w:val="Note"/>
    <w:basedOn w:val="BodyText"/>
    <w:rsid w:val="007E1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653"/>
    <w:pPr>
      <w:framePr w:wrap="auto" w:hAnchor="text" w:y="6049"/>
    </w:pPr>
    <w:rPr>
      <w:color w:val="000000"/>
      <w:sz w:val="40"/>
    </w:rPr>
  </w:style>
  <w:style w:type="paragraph" w:customStyle="1" w:styleId="TOCTitle">
    <w:name w:val="TOCTitle"/>
    <w:basedOn w:val="Heading1"/>
    <w:rsid w:val="007E1653"/>
    <w:pPr>
      <w:spacing w:after="240"/>
      <w:jc w:val="center"/>
      <w:outlineLvl w:val="9"/>
    </w:pPr>
    <w:rPr>
      <w:caps/>
    </w:rPr>
  </w:style>
  <w:style w:type="paragraph" w:customStyle="1" w:styleId="Version">
    <w:name w:val="Version"/>
    <w:rsid w:val="007E1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653"/>
    <w:pPr>
      <w:keepNext w:val="0"/>
      <w:tabs>
        <w:tab w:val="right" w:pos="4176"/>
      </w:tabs>
      <w:ind w:left="198" w:hanging="198"/>
    </w:pPr>
    <w:rPr>
      <w:rFonts w:ascii="Garamond" w:hAnsi="Garamond"/>
    </w:rPr>
  </w:style>
  <w:style w:type="paragraph" w:styleId="IndexHeading">
    <w:name w:val="index heading"/>
    <w:basedOn w:val="Normal"/>
    <w:next w:val="Index1"/>
    <w:semiHidden/>
    <w:rsid w:val="007E1653"/>
    <w:pPr>
      <w:spacing w:before="120" w:after="120"/>
    </w:pPr>
    <w:rPr>
      <w:rFonts w:ascii="Arial" w:hAnsi="Arial"/>
      <w:b/>
      <w:color w:val="918585"/>
      <w:sz w:val="24"/>
    </w:rPr>
  </w:style>
  <w:style w:type="paragraph" w:customStyle="1" w:styleId="Chapter">
    <w:name w:val="Chapter"/>
    <w:basedOn w:val="Normal"/>
    <w:rsid w:val="007E1653"/>
    <w:pPr>
      <w:spacing w:before="240"/>
    </w:pPr>
    <w:rPr>
      <w:rFonts w:ascii="Times New Roman" w:hAnsi="Times New Roman"/>
      <w:smallCaps/>
      <w:spacing w:val="80"/>
      <w:sz w:val="28"/>
    </w:rPr>
  </w:style>
  <w:style w:type="paragraph" w:customStyle="1" w:styleId="InChapter">
    <w:name w:val="InChapter"/>
    <w:basedOn w:val="Heading3"/>
    <w:rsid w:val="007E1653"/>
    <w:pPr>
      <w:spacing w:after="240"/>
      <w:outlineLvl w:val="9"/>
    </w:pPr>
    <w:rPr>
      <w:noProof/>
    </w:rPr>
  </w:style>
  <w:style w:type="paragraph" w:styleId="Index2">
    <w:name w:val="index 2"/>
    <w:basedOn w:val="Normal"/>
    <w:next w:val="Normal"/>
    <w:semiHidden/>
    <w:rsid w:val="007E1653"/>
    <w:pPr>
      <w:tabs>
        <w:tab w:val="right" w:pos="4176"/>
      </w:tabs>
      <w:ind w:left="568" w:hanging="284"/>
    </w:pPr>
    <w:rPr>
      <w:rFonts w:ascii="Garamond" w:hAnsi="Garamond"/>
    </w:rPr>
  </w:style>
  <w:style w:type="paragraph" w:customStyle="1" w:styleId="Byline">
    <w:name w:val="Byline"/>
    <w:rsid w:val="007E1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653"/>
    <w:pPr>
      <w:tabs>
        <w:tab w:val="clear" w:pos="3600"/>
        <w:tab w:val="clear" w:pos="3958"/>
      </w:tabs>
      <w:jc w:val="right"/>
    </w:pPr>
  </w:style>
  <w:style w:type="character" w:styleId="Emphasis">
    <w:name w:val="Emphasis"/>
    <w:basedOn w:val="DefaultParagraphFont"/>
    <w:qFormat/>
    <w:rsid w:val="007E1653"/>
    <w:rPr>
      <w:i/>
    </w:rPr>
  </w:style>
  <w:style w:type="paragraph" w:styleId="Caption">
    <w:name w:val="caption"/>
    <w:basedOn w:val="BodyText"/>
    <w:next w:val="Normal"/>
    <w:qFormat/>
    <w:rsid w:val="007E1653"/>
    <w:pPr>
      <w:framePr w:w="2268" w:hSpace="181" w:vSpace="181" w:wrap="around" w:vAnchor="text" w:hAnchor="page" w:x="1135" w:y="285" w:anchorLock="1"/>
    </w:pPr>
    <w:rPr>
      <w:i/>
    </w:rPr>
  </w:style>
  <w:style w:type="paragraph" w:customStyle="1" w:styleId="MiniTOCTitle">
    <w:name w:val="MiniTOCTitle"/>
    <w:basedOn w:val="Heading4"/>
    <w:rsid w:val="007E1653"/>
    <w:pPr>
      <w:spacing w:before="240"/>
      <w:outlineLvl w:val="9"/>
    </w:pPr>
    <w:rPr>
      <w:noProof/>
      <w:sz w:val="24"/>
    </w:rPr>
  </w:style>
  <w:style w:type="paragraph" w:customStyle="1" w:styleId="MiniTOCItem">
    <w:name w:val="MiniTOCItem"/>
    <w:basedOn w:val="ListBullet"/>
    <w:rsid w:val="007E1653"/>
    <w:pPr>
      <w:numPr>
        <w:numId w:val="0"/>
      </w:numPr>
      <w:tabs>
        <w:tab w:val="right" w:leader="dot" w:pos="6521"/>
      </w:tabs>
      <w:spacing w:before="0" w:after="0"/>
    </w:pPr>
  </w:style>
  <w:style w:type="paragraph" w:customStyle="1" w:styleId="TOFTitle">
    <w:name w:val="TOFTitle"/>
    <w:basedOn w:val="TOCTitle"/>
    <w:rsid w:val="007E1653"/>
  </w:style>
  <w:style w:type="paragraph" w:styleId="TableofFigures">
    <w:name w:val="table of figures"/>
    <w:basedOn w:val="Normal"/>
    <w:next w:val="Normal"/>
    <w:semiHidden/>
    <w:rsid w:val="007E1653"/>
    <w:pPr>
      <w:tabs>
        <w:tab w:val="right" w:leader="dot" w:pos="9072"/>
      </w:tabs>
      <w:ind w:left="970" w:hanging="403"/>
    </w:pPr>
    <w:rPr>
      <w:rFonts w:ascii="Times New Roman" w:hAnsi="Times New Roman"/>
      <w:b/>
    </w:rPr>
  </w:style>
  <w:style w:type="paragraph" w:styleId="ListNumber">
    <w:name w:val="List Number"/>
    <w:basedOn w:val="List"/>
    <w:rsid w:val="007E1653"/>
    <w:pPr>
      <w:numPr>
        <w:numId w:val="11"/>
      </w:numPr>
    </w:pPr>
  </w:style>
  <w:style w:type="character" w:customStyle="1" w:styleId="WingdingSymbols">
    <w:name w:val="Wingding Symbols"/>
    <w:rsid w:val="007E1653"/>
    <w:rPr>
      <w:rFonts w:ascii="Wingdings" w:hAnsi="Wingdings"/>
    </w:rPr>
  </w:style>
  <w:style w:type="paragraph" w:customStyle="1" w:styleId="TableHeading">
    <w:name w:val="Table Heading"/>
    <w:basedOn w:val="HeadingBase"/>
    <w:rsid w:val="007E1653"/>
    <w:pPr>
      <w:keepLines/>
      <w:pBdr>
        <w:bottom w:val="single" w:sz="6" w:space="1" w:color="918585"/>
      </w:pBdr>
      <w:spacing w:before="240"/>
    </w:pPr>
  </w:style>
  <w:style w:type="character" w:customStyle="1" w:styleId="HotSpot">
    <w:name w:val="HotSpot"/>
    <w:rsid w:val="007E1653"/>
    <w:rPr>
      <w:color w:val="0033CC"/>
      <w:u w:val="none"/>
    </w:rPr>
  </w:style>
  <w:style w:type="paragraph" w:customStyle="1" w:styleId="BodyTextRight">
    <w:name w:val="Body Text Right"/>
    <w:basedOn w:val="BodyText"/>
    <w:rsid w:val="007E1653"/>
    <w:pPr>
      <w:spacing w:before="0" w:after="0"/>
      <w:jc w:val="right"/>
    </w:pPr>
  </w:style>
  <w:style w:type="paragraph" w:styleId="Index3">
    <w:name w:val="index 3"/>
    <w:basedOn w:val="ListNumber2"/>
    <w:next w:val="Normal"/>
    <w:semiHidden/>
    <w:rsid w:val="007E1653"/>
    <w:pPr>
      <w:numPr>
        <w:numId w:val="0"/>
      </w:numPr>
      <w:tabs>
        <w:tab w:val="right" w:leader="dot" w:pos="4176"/>
      </w:tabs>
    </w:pPr>
  </w:style>
  <w:style w:type="paragraph" w:styleId="ListNumber2">
    <w:name w:val="List Number 2"/>
    <w:basedOn w:val="List2"/>
    <w:rsid w:val="007E1653"/>
    <w:pPr>
      <w:numPr>
        <w:numId w:val="10"/>
      </w:numPr>
      <w:tabs>
        <w:tab w:val="clear" w:pos="1060"/>
      </w:tabs>
    </w:pPr>
  </w:style>
  <w:style w:type="paragraph" w:customStyle="1" w:styleId="MarginNote">
    <w:name w:val="Margin Note"/>
    <w:basedOn w:val="BodyText"/>
    <w:rsid w:val="007E1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6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653"/>
    <w:rPr>
      <w:sz w:val="32"/>
    </w:rPr>
  </w:style>
  <w:style w:type="paragraph" w:customStyle="1" w:styleId="HeadingProcedure">
    <w:name w:val="Heading Procedure"/>
    <w:basedOn w:val="HeadingBase"/>
    <w:next w:val="Normal"/>
    <w:rsid w:val="007E1653"/>
    <w:pPr>
      <w:tabs>
        <w:tab w:val="left" w:pos="0"/>
      </w:tabs>
      <w:spacing w:before="120" w:after="60"/>
    </w:pPr>
    <w:rPr>
      <w:i/>
      <w:color w:val="918585"/>
      <w:sz w:val="22"/>
    </w:rPr>
  </w:style>
  <w:style w:type="paragraph" w:customStyle="1" w:styleId="TableBodyText">
    <w:name w:val="Table Body Text"/>
    <w:basedOn w:val="BodyText"/>
    <w:rsid w:val="007E1653"/>
    <w:pPr>
      <w:spacing w:before="60" w:after="60"/>
    </w:pPr>
  </w:style>
  <w:style w:type="paragraph" w:styleId="ListContinue">
    <w:name w:val="List Continue"/>
    <w:basedOn w:val="List"/>
    <w:rsid w:val="007E1653"/>
    <w:pPr>
      <w:ind w:firstLine="0"/>
    </w:pPr>
  </w:style>
  <w:style w:type="paragraph" w:customStyle="1" w:styleId="ListNote">
    <w:name w:val="List Note"/>
    <w:basedOn w:val="List"/>
    <w:rsid w:val="007E1653"/>
    <w:pPr>
      <w:pBdr>
        <w:top w:val="single" w:sz="6" w:space="2" w:color="918585"/>
        <w:bottom w:val="single" w:sz="6" w:space="2" w:color="918585"/>
      </w:pBdr>
      <w:tabs>
        <w:tab w:val="left" w:pos="1021"/>
      </w:tabs>
      <w:ind w:firstLine="0"/>
    </w:pPr>
  </w:style>
  <w:style w:type="paragraph" w:customStyle="1" w:styleId="Warning">
    <w:name w:val="Warning"/>
    <w:basedOn w:val="BodyText"/>
    <w:rsid w:val="007E1653"/>
    <w:pPr>
      <w:shd w:val="clear" w:color="auto" w:fill="D9D9D9"/>
      <w:tabs>
        <w:tab w:val="left" w:pos="992"/>
      </w:tabs>
      <w:ind w:left="119" w:right="119"/>
    </w:pPr>
    <w:rPr>
      <w:sz w:val="20"/>
    </w:rPr>
  </w:style>
  <w:style w:type="paragraph" w:customStyle="1" w:styleId="MarginIcons">
    <w:name w:val="Margin Icons"/>
    <w:basedOn w:val="BodyText"/>
    <w:rsid w:val="007E1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653"/>
    <w:rPr>
      <w:rFonts w:ascii="Courier New" w:hAnsi="Courier New"/>
    </w:rPr>
  </w:style>
  <w:style w:type="paragraph" w:customStyle="1" w:styleId="NoteBullet">
    <w:name w:val="Note Bullet"/>
    <w:basedOn w:val="Note"/>
    <w:rsid w:val="007E1653"/>
    <w:pPr>
      <w:tabs>
        <w:tab w:val="clear" w:pos="680"/>
      </w:tabs>
      <w:spacing w:before="60" w:after="60"/>
    </w:pPr>
  </w:style>
  <w:style w:type="paragraph" w:customStyle="1" w:styleId="SubHeading2">
    <w:name w:val="SubHeading2"/>
    <w:basedOn w:val="HeadingBase"/>
    <w:rsid w:val="007E1653"/>
    <w:pPr>
      <w:spacing w:before="240" w:after="60"/>
    </w:pPr>
    <w:rPr>
      <w:sz w:val="20"/>
    </w:rPr>
  </w:style>
  <w:style w:type="paragraph" w:customStyle="1" w:styleId="SubHeading1">
    <w:name w:val="SubHeading1"/>
    <w:basedOn w:val="HeadingBase"/>
    <w:rsid w:val="007E1653"/>
    <w:pPr>
      <w:spacing w:before="240" w:after="60"/>
    </w:pPr>
    <w:rPr>
      <w:color w:val="918585"/>
      <w:sz w:val="22"/>
    </w:rPr>
  </w:style>
  <w:style w:type="paragraph" w:customStyle="1" w:styleId="SideHeading">
    <w:name w:val="Side Heading"/>
    <w:basedOn w:val="HeadingBase"/>
    <w:rsid w:val="007E1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653"/>
    <w:pPr>
      <w:numPr>
        <w:numId w:val="12"/>
      </w:numPr>
    </w:pPr>
  </w:style>
  <w:style w:type="paragraph" w:styleId="PlainText">
    <w:name w:val="Plain Text"/>
    <w:basedOn w:val="Normal"/>
    <w:link w:val="PlainTextChar"/>
    <w:rsid w:val="007E1653"/>
    <w:rPr>
      <w:sz w:val="20"/>
    </w:rPr>
  </w:style>
  <w:style w:type="character" w:customStyle="1" w:styleId="PlainTextChar">
    <w:name w:val="Plain Text Char"/>
    <w:basedOn w:val="DefaultParagraphFont"/>
    <w:link w:val="PlainText"/>
    <w:rsid w:val="007E16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1653"/>
    <w:rPr>
      <w:b/>
      <w:smallCaps/>
    </w:rPr>
  </w:style>
  <w:style w:type="paragraph" w:customStyle="1" w:styleId="TableListNumber">
    <w:name w:val="Table List Number"/>
    <w:basedOn w:val="ListNumber"/>
    <w:rsid w:val="007E1653"/>
    <w:pPr>
      <w:numPr>
        <w:numId w:val="0"/>
      </w:numPr>
    </w:pPr>
  </w:style>
  <w:style w:type="paragraph" w:styleId="TOC4">
    <w:name w:val="toc 4"/>
    <w:basedOn w:val="TOCBase"/>
    <w:next w:val="Normal"/>
    <w:semiHidden/>
    <w:rsid w:val="007E1653"/>
    <w:pPr>
      <w:tabs>
        <w:tab w:val="right" w:leader="dot" w:pos="9071"/>
      </w:tabs>
      <w:ind w:left="1701"/>
    </w:pPr>
  </w:style>
  <w:style w:type="paragraph" w:customStyle="1" w:styleId="ListAlpha">
    <w:name w:val="List Alpha"/>
    <w:basedOn w:val="List"/>
    <w:rsid w:val="007E1653"/>
    <w:pPr>
      <w:numPr>
        <w:numId w:val="9"/>
      </w:numPr>
    </w:pPr>
  </w:style>
  <w:style w:type="paragraph" w:customStyle="1" w:styleId="ListAlpha2">
    <w:name w:val="List Alpha 2"/>
    <w:basedOn w:val="List2"/>
    <w:rsid w:val="007E1653"/>
    <w:pPr>
      <w:numPr>
        <w:numId w:val="8"/>
      </w:numPr>
    </w:pPr>
  </w:style>
  <w:style w:type="paragraph" w:styleId="List3">
    <w:name w:val="List 3"/>
    <w:basedOn w:val="BodyText"/>
    <w:rsid w:val="007E1653"/>
    <w:pPr>
      <w:tabs>
        <w:tab w:val="left" w:pos="1021"/>
      </w:tabs>
      <w:spacing w:before="60" w:after="60"/>
      <w:ind w:left="1020" w:hanging="340"/>
    </w:pPr>
  </w:style>
  <w:style w:type="paragraph" w:styleId="List4">
    <w:name w:val="List 4"/>
    <w:basedOn w:val="BodyText"/>
    <w:rsid w:val="007E1653"/>
    <w:pPr>
      <w:tabs>
        <w:tab w:val="left" w:pos="1361"/>
      </w:tabs>
      <w:spacing w:before="60" w:after="60"/>
      <w:ind w:left="1361" w:hanging="340"/>
    </w:pPr>
  </w:style>
  <w:style w:type="paragraph" w:styleId="List5">
    <w:name w:val="List 5"/>
    <w:basedOn w:val="BodyText"/>
    <w:rsid w:val="007E1653"/>
    <w:pPr>
      <w:tabs>
        <w:tab w:val="left" w:pos="1701"/>
      </w:tabs>
      <w:spacing w:before="60" w:after="60"/>
      <w:ind w:left="1701" w:hanging="340"/>
    </w:pPr>
  </w:style>
  <w:style w:type="paragraph" w:styleId="ListBullet3">
    <w:name w:val="List Bullet 3"/>
    <w:basedOn w:val="List3"/>
    <w:rsid w:val="007E1653"/>
    <w:pPr>
      <w:numPr>
        <w:numId w:val="15"/>
      </w:numPr>
      <w:tabs>
        <w:tab w:val="clear" w:pos="1021"/>
      </w:tabs>
      <w:ind w:left="1037" w:hanging="357"/>
    </w:pPr>
  </w:style>
  <w:style w:type="paragraph" w:styleId="ListBullet4">
    <w:name w:val="List Bullet 4"/>
    <w:basedOn w:val="List4"/>
    <w:rsid w:val="007E1653"/>
    <w:pPr>
      <w:numPr>
        <w:numId w:val="3"/>
      </w:numPr>
    </w:pPr>
  </w:style>
  <w:style w:type="paragraph" w:styleId="ListBullet5">
    <w:name w:val="List Bullet 5"/>
    <w:basedOn w:val="List5"/>
    <w:rsid w:val="007E1653"/>
    <w:pPr>
      <w:numPr>
        <w:numId w:val="4"/>
      </w:numPr>
    </w:pPr>
  </w:style>
  <w:style w:type="paragraph" w:styleId="ListContinue2">
    <w:name w:val="List Continue 2"/>
    <w:basedOn w:val="List2"/>
    <w:rsid w:val="007E1653"/>
    <w:pPr>
      <w:ind w:firstLine="0"/>
    </w:pPr>
  </w:style>
  <w:style w:type="paragraph" w:styleId="ListContinue3">
    <w:name w:val="List Continue 3"/>
    <w:basedOn w:val="List3"/>
    <w:rsid w:val="007E1653"/>
    <w:pPr>
      <w:ind w:left="1021" w:firstLine="0"/>
    </w:pPr>
  </w:style>
  <w:style w:type="paragraph" w:styleId="ListContinue4">
    <w:name w:val="List Continue 4"/>
    <w:basedOn w:val="List4"/>
    <w:rsid w:val="007E1653"/>
    <w:pPr>
      <w:ind w:firstLine="0"/>
    </w:pPr>
  </w:style>
  <w:style w:type="paragraph" w:styleId="ListContinue5">
    <w:name w:val="List Continue 5"/>
    <w:basedOn w:val="List5"/>
    <w:rsid w:val="007E1653"/>
    <w:pPr>
      <w:ind w:firstLine="0"/>
    </w:pPr>
  </w:style>
  <w:style w:type="paragraph" w:styleId="ListNumber3">
    <w:name w:val="List Number 3"/>
    <w:basedOn w:val="List3"/>
    <w:rsid w:val="007E1653"/>
    <w:pPr>
      <w:numPr>
        <w:numId w:val="5"/>
      </w:numPr>
    </w:pPr>
  </w:style>
  <w:style w:type="paragraph" w:styleId="ListNumber4">
    <w:name w:val="List Number 4"/>
    <w:basedOn w:val="List4"/>
    <w:rsid w:val="007E1653"/>
    <w:pPr>
      <w:numPr>
        <w:numId w:val="6"/>
      </w:numPr>
    </w:pPr>
  </w:style>
  <w:style w:type="paragraph" w:styleId="ListNumber5">
    <w:name w:val="List Number 5"/>
    <w:basedOn w:val="List5"/>
    <w:rsid w:val="007E1653"/>
    <w:pPr>
      <w:numPr>
        <w:numId w:val="7"/>
      </w:numPr>
    </w:pPr>
  </w:style>
  <w:style w:type="paragraph" w:styleId="BlockText">
    <w:name w:val="Block Text"/>
    <w:basedOn w:val="Normal"/>
    <w:rsid w:val="007E1653"/>
    <w:pPr>
      <w:spacing w:after="120"/>
      <w:ind w:left="1440" w:right="1440"/>
    </w:pPr>
  </w:style>
  <w:style w:type="character" w:customStyle="1" w:styleId="Subscript">
    <w:name w:val="Subscript"/>
    <w:basedOn w:val="DefaultParagraphFont"/>
    <w:rsid w:val="007E1653"/>
    <w:rPr>
      <w:sz w:val="16"/>
      <w:vertAlign w:val="subscript"/>
    </w:rPr>
  </w:style>
  <w:style w:type="character" w:customStyle="1" w:styleId="Superscript">
    <w:name w:val="Superscript"/>
    <w:basedOn w:val="DefaultParagraphFont"/>
    <w:rsid w:val="007E1653"/>
    <w:rPr>
      <w:sz w:val="16"/>
      <w:vertAlign w:val="superscript"/>
    </w:rPr>
  </w:style>
  <w:style w:type="character" w:customStyle="1" w:styleId="Symbols">
    <w:name w:val="Symbols"/>
    <w:basedOn w:val="DefaultParagraphFont"/>
    <w:rsid w:val="007E1653"/>
    <w:rPr>
      <w:rFonts w:ascii="Symbol" w:hAnsi="Symbol"/>
    </w:rPr>
  </w:style>
  <w:style w:type="character" w:customStyle="1" w:styleId="MenuOptions">
    <w:name w:val="Menu Options"/>
    <w:basedOn w:val="DefaultParagraphFont"/>
    <w:rsid w:val="007E1653"/>
    <w:rPr>
      <w:rFonts w:ascii="Arial Narrow" w:hAnsi="Arial Narrow"/>
      <w:smallCaps/>
    </w:rPr>
  </w:style>
  <w:style w:type="character" w:customStyle="1" w:styleId="Buttons">
    <w:name w:val="Buttons"/>
    <w:basedOn w:val="DefaultParagraphFont"/>
    <w:rsid w:val="007E1653"/>
    <w:rPr>
      <w:b/>
    </w:rPr>
  </w:style>
  <w:style w:type="character" w:customStyle="1" w:styleId="Underlined">
    <w:name w:val="Underlined"/>
    <w:basedOn w:val="DefaultParagraphFont"/>
    <w:rsid w:val="007E1653"/>
    <w:rPr>
      <w:u w:val="single"/>
    </w:rPr>
  </w:style>
  <w:style w:type="paragraph" w:customStyle="1" w:styleId="TableBodyTextRight">
    <w:name w:val="Table Body Text Right"/>
    <w:basedOn w:val="TableBodyText"/>
    <w:rsid w:val="007E1653"/>
    <w:pPr>
      <w:widowControl w:val="0"/>
      <w:autoSpaceDE w:val="0"/>
      <w:autoSpaceDN w:val="0"/>
      <w:adjustRightInd w:val="0"/>
      <w:jc w:val="right"/>
    </w:pPr>
    <w:rPr>
      <w:rFonts w:cs="Arial"/>
      <w:szCs w:val="18"/>
    </w:rPr>
  </w:style>
  <w:style w:type="paragraph" w:customStyle="1" w:styleId="CopyrightText">
    <w:name w:val="Copyright Text"/>
    <w:basedOn w:val="BodyText"/>
    <w:rsid w:val="007E1653"/>
    <w:rPr>
      <w:sz w:val="18"/>
    </w:rPr>
  </w:style>
  <w:style w:type="paragraph" w:customStyle="1" w:styleId="BodySmallRight">
    <w:name w:val="Body Small Right"/>
    <w:basedOn w:val="BodyTextRight"/>
    <w:rsid w:val="007E1653"/>
    <w:rPr>
      <w:sz w:val="18"/>
      <w:szCs w:val="18"/>
    </w:rPr>
  </w:style>
  <w:style w:type="paragraph" w:customStyle="1" w:styleId="MarginEdition">
    <w:name w:val="Margin Edition"/>
    <w:basedOn w:val="MarginNote"/>
    <w:rsid w:val="007E1653"/>
    <w:pPr>
      <w:spacing w:before="0" w:after="0"/>
    </w:pPr>
    <w:rPr>
      <w:rFonts w:ascii="Times New Roman" w:hAnsi="Times New Roman"/>
      <w:color w:val="999999"/>
    </w:rPr>
  </w:style>
  <w:style w:type="paragraph" w:customStyle="1" w:styleId="Spacer">
    <w:name w:val="Spacer"/>
    <w:basedOn w:val="Normal"/>
    <w:rsid w:val="007E1653"/>
    <w:rPr>
      <w:sz w:val="2"/>
      <w:szCs w:val="2"/>
    </w:rPr>
  </w:style>
  <w:style w:type="character" w:customStyle="1" w:styleId="Small">
    <w:name w:val="Small"/>
    <w:basedOn w:val="DefaultParagraphFont"/>
    <w:rsid w:val="007E1653"/>
    <w:rPr>
      <w:sz w:val="16"/>
    </w:rPr>
  </w:style>
  <w:style w:type="paragraph" w:customStyle="1" w:styleId="WideTable">
    <w:name w:val="Wide Table"/>
    <w:basedOn w:val="Normal"/>
    <w:rsid w:val="007E1653"/>
    <w:pPr>
      <w:ind w:left="-1418"/>
    </w:pPr>
    <w:rPr>
      <w:sz w:val="2"/>
      <w:szCs w:val="2"/>
    </w:rPr>
  </w:style>
  <w:style w:type="character" w:styleId="PageNumber">
    <w:name w:val="page number"/>
    <w:basedOn w:val="DefaultParagraphFont"/>
    <w:rsid w:val="007E1653"/>
  </w:style>
  <w:style w:type="paragraph" w:styleId="Quote">
    <w:name w:val="Quote"/>
    <w:basedOn w:val="Heading1"/>
    <w:link w:val="QuoteChar"/>
    <w:qFormat/>
    <w:rsid w:val="007E1653"/>
    <w:rPr>
      <w:b w:val="0"/>
      <w:sz w:val="72"/>
      <w:szCs w:val="72"/>
      <w:lang w:val="en-NZ"/>
    </w:rPr>
  </w:style>
  <w:style w:type="character" w:customStyle="1" w:styleId="QuoteChar">
    <w:name w:val="Quote Char"/>
    <w:basedOn w:val="DefaultParagraphFont"/>
    <w:link w:val="Quote"/>
    <w:rsid w:val="007E1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653"/>
    <w:pPr>
      <w:pageBreakBefore/>
    </w:pPr>
  </w:style>
  <w:style w:type="paragraph" w:customStyle="1" w:styleId="Border">
    <w:name w:val="Border"/>
    <w:basedOn w:val="Normal"/>
    <w:qFormat/>
    <w:rsid w:val="007E1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653"/>
    <w:rPr>
      <w:b/>
      <w:bCs/>
      <w:i/>
      <w:iCs/>
      <w:color w:val="auto"/>
    </w:rPr>
  </w:style>
  <w:style w:type="paragraph" w:styleId="IntenseQuote">
    <w:name w:val="Intense Quote"/>
    <w:basedOn w:val="Normal"/>
    <w:next w:val="Normal"/>
    <w:link w:val="IntenseQuoteChar"/>
    <w:uiPriority w:val="30"/>
    <w:qFormat/>
    <w:rsid w:val="007E1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6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1653"/>
    <w:rPr>
      <w:smallCaps/>
      <w:color w:val="auto"/>
      <w:u w:val="single"/>
    </w:rPr>
  </w:style>
  <w:style w:type="character" w:styleId="IntenseReference">
    <w:name w:val="Intense Reference"/>
    <w:basedOn w:val="DefaultParagraphFont"/>
    <w:uiPriority w:val="32"/>
    <w:qFormat/>
    <w:rsid w:val="007E1653"/>
    <w:rPr>
      <w:b/>
      <w:bCs/>
      <w:smallCaps/>
      <w:color w:val="auto"/>
      <w:spacing w:val="5"/>
      <w:u w:val="single"/>
    </w:rPr>
  </w:style>
  <w:style w:type="paragraph" w:customStyle="1" w:styleId="2ColumnHeading">
    <w:name w:val="2Column Heading"/>
    <w:basedOn w:val="BodyText"/>
    <w:qFormat/>
    <w:rsid w:val="007E1653"/>
    <w:pPr>
      <w:spacing w:after="60"/>
      <w:ind w:left="-2268"/>
    </w:pPr>
    <w:rPr>
      <w:b/>
    </w:rPr>
  </w:style>
  <w:style w:type="paragraph" w:customStyle="1" w:styleId="Heading1TOC">
    <w:name w:val="Heading1 TOC"/>
    <w:basedOn w:val="Normal"/>
    <w:qFormat/>
    <w:rsid w:val="007E1653"/>
    <w:pPr>
      <w:spacing w:before="240" w:after="120"/>
    </w:pPr>
    <w:rPr>
      <w:rFonts w:ascii="Times New Roman" w:hAnsi="Times New Roman"/>
      <w:b/>
      <w:sz w:val="32"/>
    </w:rPr>
  </w:style>
  <w:style w:type="paragraph" w:customStyle="1" w:styleId="Heading2TOC">
    <w:name w:val="Heading2 TOC"/>
    <w:basedOn w:val="Normal"/>
    <w:qFormat/>
    <w:rsid w:val="007E1653"/>
    <w:pPr>
      <w:spacing w:before="240" w:after="60"/>
    </w:pPr>
    <w:rPr>
      <w:rFonts w:ascii="Times New Roman" w:hAnsi="Times New Roman"/>
      <w:b/>
      <w:sz w:val="28"/>
    </w:rPr>
  </w:style>
  <w:style w:type="character" w:customStyle="1" w:styleId="Underline">
    <w:name w:val="Underline"/>
    <w:basedOn w:val="DefaultParagraphFont"/>
    <w:qFormat/>
    <w:rsid w:val="007E1653"/>
    <w:rPr>
      <w:u w:val="single"/>
    </w:rPr>
  </w:style>
  <w:style w:type="character" w:customStyle="1" w:styleId="BoldandItalics">
    <w:name w:val="Bold and Italics"/>
    <w:qFormat/>
    <w:rsid w:val="007E1653"/>
    <w:rPr>
      <w:b/>
      <w:i/>
      <w:u w:val="none"/>
    </w:rPr>
  </w:style>
  <w:style w:type="paragraph" w:styleId="BalloonText">
    <w:name w:val="Balloon Text"/>
    <w:basedOn w:val="Normal"/>
    <w:link w:val="BalloonTextChar"/>
    <w:rsid w:val="007E1653"/>
    <w:rPr>
      <w:rFonts w:ascii="Tahoma" w:hAnsi="Tahoma" w:cs="Tahoma"/>
      <w:sz w:val="16"/>
      <w:szCs w:val="16"/>
    </w:rPr>
  </w:style>
  <w:style w:type="character" w:customStyle="1" w:styleId="BalloonTextChar">
    <w:name w:val="Balloon Text Char"/>
    <w:basedOn w:val="DefaultParagraphFont"/>
    <w:link w:val="BalloonText"/>
    <w:rsid w:val="007E16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6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1293</Words>
  <Characters>8280</Characters>
  <Application>Microsoft Office Word</Application>
  <DocSecurity>0</DocSecurity>
  <Lines>278</Lines>
  <Paragraphs>132</Paragraphs>
  <ScaleCrop>false</ScaleCrop>
  <Company>Author-it Software Corporation Ltd.</Company>
  <LinksUpToDate>false</LinksUpToDate>
  <CharactersWithSpaces>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MEM24007B Perform ultrasonic thickness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