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CE5" w:rsidP="00883CE5">
      <w:pPr>
        <w:pStyle w:val="Title"/>
      </w:pPr>
      <w:r>
        <w:fldChar w:fldCharType="begin"/>
      </w:r>
      <w:r>
        <w:instrText xml:space="preserve"> TITLE   \* MERGEFORMAT </w:instrText>
      </w:r>
      <w:r>
        <w:fldChar w:fldCharType="separate"/>
      </w:r>
      <w:r>
        <w:t>MEM24002B Perform penetrant testing</w:t>
      </w:r>
      <w:r>
        <w:fldChar w:fldCharType="end"/>
      </w:r>
    </w:p>
    <w:p w:rsidR="00883CE5" w:rsidP="00883CE5">
      <w:pPr>
        <w:pStyle w:val="Version"/>
        <w:sectPr w:rsidSect="00BD4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4555" w:rsidP="00BD4555">
      <w:pPr>
        <w:pStyle w:val="SuperHeading"/>
      </w:pPr>
      <w:r w:rsidRPr="00BD4555">
        <w:t>MEM24002B Perform penetrant testing</w:t>
      </w:r>
    </w:p>
    <w:p w:rsidR="00000000" w:rsidRPr="00BD4555" w:rsidP="00BD4555">
      <w:pPr>
        <w:pStyle w:val="Heading1"/>
      </w:pPr>
      <w:bookmarkStart w:id="1" w:name="O_462006"/>
      <w:bookmarkEnd w:id="1"/>
      <w:r w:rsidRPr="00BD4555">
        <w:t>Modification History</w:t>
      </w:r>
    </w:p>
    <w:p w:rsidR="00000000" w:rsidRPr="00BD4555" w:rsidP="00BD4555">
      <w:pPr>
        <w:pStyle w:val="BodyText"/>
      </w:pPr>
      <w:r w:rsidRPr="00BD4555">
        <w:t>Single band identifier removed to clarify dual status</w:t>
      </w:r>
    </w:p>
    <w:p w:rsidR="00000000" w:rsidRPr="00BD4555" w:rsidP="00BD4555">
      <w:pPr>
        <w:pStyle w:val="AllowPageBreak"/>
      </w:pPr>
    </w:p>
    <w:p w:rsidR="00000000" w:rsidRPr="00BD4555" w:rsidP="00BD4555">
      <w:pPr>
        <w:pStyle w:val="Heading1"/>
      </w:pPr>
      <w:bookmarkStart w:id="2" w:name="O_462002"/>
      <w:bookmarkEnd w:id="2"/>
      <w:r w:rsidRPr="00BD4555">
        <w:t>Unit Descriptor</w:t>
      </w:r>
    </w:p>
    <w:tbl>
      <w:tblPr>
        <w:tblW w:w="0" w:type="auto"/>
        <w:tblLayout w:type="fixed"/>
        <w:tblCellMar>
          <w:left w:w="62" w:type="dxa"/>
          <w:right w:w="62" w:type="dxa"/>
        </w:tblCellMar>
        <w:tblLook w:val="0000"/>
      </w:tblPr>
      <w:tblGrid>
        <w:gridCol w:w="2670"/>
        <w:gridCol w:w="5852"/>
      </w:tblGrid>
      <w:tr w:rsidTr="00883CE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This unit covers performing penetrant testing in a range of industrial appli</w:t>
            </w:r>
            <w:r w:rsidRPr="00BD4555">
              <w:t>cations.</w:t>
            </w:r>
          </w:p>
        </w:tc>
      </w:tr>
    </w:tbl>
    <w:p w:rsidR="00883CE5" w:rsidP="00BD4555">
      <w:pPr>
        <w:pStyle w:val="BodyText"/>
      </w:pPr>
    </w:p>
    <w:p w:rsidR="00883CE5" w:rsidP="00BD4555">
      <w:pPr>
        <w:pStyle w:val="BodyText"/>
      </w:pPr>
    </w:p>
    <w:p w:rsidR="00000000" w:rsidRPr="00BD4555" w:rsidP="00BD4555">
      <w:pPr>
        <w:pStyle w:val="Heading1"/>
      </w:pPr>
      <w:bookmarkStart w:id="3" w:name="O_462015"/>
      <w:bookmarkEnd w:id="3"/>
      <w:r w:rsidRPr="00BD4555">
        <w:t>Application of the Unit</w:t>
      </w:r>
    </w:p>
    <w:tbl>
      <w:tblPr>
        <w:tblW w:w="0" w:type="auto"/>
        <w:tblLayout w:type="fixed"/>
        <w:tblCellMar>
          <w:left w:w="62" w:type="dxa"/>
          <w:right w:w="62" w:type="dxa"/>
        </w:tblCellMar>
        <w:tblLook w:val="0000"/>
      </w:tblPr>
      <w:tblGrid>
        <w:gridCol w:w="2745"/>
        <w:gridCol w:w="5777"/>
      </w:tblGrid>
      <w:tr w:rsidTr="00883C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 xml:space="preserve">This unit applies to penetrant testing techniques on fabrications, structures and components across a wide range of industries to Level 2 (AS </w:t>
            </w:r>
            <w:r w:rsidRPr="00BD4555">
              <w:t>3669 and AS 3998) or equivalent by portable penetrant testing, processing on a dedicated penetrant line, visible dye and fluorescent methods.</w:t>
            </w:r>
          </w:p>
          <w:p w:rsidR="00000000" w:rsidRPr="00BD4555" w:rsidP="00BD4555">
            <w:pPr>
              <w:pStyle w:val="BodyText"/>
            </w:pPr>
            <w:r w:rsidRPr="00BD4555">
              <w:t>The work can relate to scheduled and unscheduled maintenance activities using general tools and specific penetrant</w:t>
            </w:r>
            <w:r w:rsidRPr="00BD4555">
              <w:t xml:space="preserve"> testing equipment as specified in maintenance documentation, testing procedures or operator instructions. </w:t>
            </w:r>
          </w:p>
          <w:p w:rsidR="00000000" w:rsidRPr="00BD4555" w:rsidP="00BD4555">
            <w:pPr>
              <w:pStyle w:val="BodyText"/>
            </w:pPr>
            <w:r w:rsidRPr="00BD4555">
              <w:t>Actual and potential defects are to be considered, together with ongoing abnormalities in fabrications, components, structures and/or aircraft compo</w:t>
            </w:r>
            <w:r w:rsidRPr="00BD4555">
              <w:t>nents. Penetrant tests are performed on critical component or structural zones, and may require re-assessment of competency at regular intervals in accordance with Australian standards and/or other relevant standards. All testing must be completed with par</w:t>
            </w:r>
            <w:r w:rsidRPr="00BD4555">
              <w:t xml:space="preserve">ticular attention to personal safety and OH&amp;S regulations. Certification against Australian Standards may be achieved where assessment in this unit of competency is carried out in conjunction with an examining authority as described in ISO 9712. Materials </w:t>
            </w:r>
            <w:r w:rsidRPr="00BD4555">
              <w:t>and chemicals which are subject to codes and regulations - for example, chemicals, explosives, solvents, dangerous materials, acids, or noxious waste products - are subject to safe work habits and must be stored and used in accordance with safe work practi</w:t>
            </w:r>
            <w:r w:rsidRPr="00BD4555">
              <w:t>ces.</w:t>
            </w:r>
          </w:p>
          <w:p w:rsidR="00000000" w:rsidRPr="00BD4555" w:rsidP="00BD4555">
            <w:pPr>
              <w:pStyle w:val="BodyText"/>
            </w:pPr>
            <w:r w:rsidRPr="00BD4555">
              <w:t>Where power tools are required, Unit MEM18002B (Use power tools/hand held operations) should also be selected.</w:t>
            </w:r>
          </w:p>
          <w:p w:rsidR="00000000" w:rsidRPr="00BD4555" w:rsidP="00BD4555">
            <w:pPr>
              <w:pStyle w:val="BodyText"/>
            </w:pPr>
            <w:r w:rsidRPr="00BD4555">
              <w:t>Where tests require the interpretation of drawings, Unit MEM09002B (Interpret technical drawings) should also be selected.</w:t>
            </w:r>
          </w:p>
          <w:p w:rsidR="00000000" w:rsidRPr="00BD4555" w:rsidP="00BD4555">
            <w:pPr>
              <w:pStyle w:val="BodyText"/>
            </w:pPr>
            <w:r w:rsidRPr="00BD4555">
              <w:rPr>
                <w:rStyle w:val="SpecialBold"/>
              </w:rPr>
              <w:t>Band:</w:t>
            </w:r>
          </w:p>
          <w:p w:rsidR="00000000" w:rsidRPr="00BD4555" w:rsidP="00BD4555">
            <w:pPr>
              <w:pStyle w:val="BodyText"/>
            </w:pPr>
            <w:r w:rsidRPr="00BD4555">
              <w:t>This unit h</w:t>
            </w:r>
            <w:r w:rsidRPr="00BD4555">
              <w:t>as dual status and is to be regarded as both a Specialisation band A unit and Specialisation band B unit for progression to C5 (AQF level V).</w:t>
            </w:r>
          </w:p>
          <w:p w:rsidR="00000000" w:rsidRPr="00BD4555" w:rsidP="00BD4555">
            <w:pPr>
              <w:pStyle w:val="BodyText"/>
            </w:pPr>
          </w:p>
          <w:p w:rsidR="00000000" w:rsidRPr="00BD4555" w:rsidP="00BD4555">
            <w:pPr>
              <w:pStyle w:val="BodyText"/>
            </w:pPr>
            <w:r w:rsidRPr="00BD4555">
              <w:rPr>
                <w:rStyle w:val="SpecialBold"/>
              </w:rPr>
              <w:t>Unit Weight</w:t>
            </w:r>
            <w:r w:rsidRPr="00BD4555">
              <w:t>:</w:t>
            </w:r>
            <w:r w:rsidRPr="00BD4555">
              <w:tab/>
            </w:r>
            <w:r w:rsidRPr="00BD4555">
              <w:rPr>
                <w:rStyle w:val="SpecialBold"/>
              </w:rPr>
              <w:t>4</w:t>
            </w:r>
          </w:p>
        </w:tc>
      </w:tr>
    </w:tbl>
    <w:p w:rsidR="00883CE5" w:rsidP="00BD4555">
      <w:pPr>
        <w:pStyle w:val="BodyText"/>
      </w:pPr>
    </w:p>
    <w:p w:rsidR="00883CE5" w:rsidP="00BD4555">
      <w:pPr>
        <w:pStyle w:val="BodyText"/>
      </w:pPr>
    </w:p>
    <w:p w:rsidR="00000000" w:rsidRPr="00BD4555" w:rsidP="00BD4555">
      <w:pPr>
        <w:pStyle w:val="Heading1"/>
      </w:pPr>
      <w:bookmarkStart w:id="4" w:name="O_462007"/>
      <w:bookmarkEnd w:id="4"/>
      <w:r w:rsidRPr="00BD4555">
        <w:t>Licensing/Regulatory Information</w:t>
      </w:r>
    </w:p>
    <w:p w:rsidR="00000000" w:rsidRPr="00BD4555" w:rsidP="00BD4555">
      <w:pPr>
        <w:pStyle w:val="BodyText"/>
      </w:pPr>
      <w:r w:rsidRPr="00BD4555">
        <w:t>Not Applicable</w:t>
      </w:r>
    </w:p>
    <w:p w:rsidR="00000000" w:rsidRPr="00BD4555" w:rsidP="00BD4555">
      <w:pPr>
        <w:pStyle w:val="AllowPageBreak"/>
      </w:pPr>
    </w:p>
    <w:p w:rsidR="00000000" w:rsidRPr="00BD4555" w:rsidP="00BD4555">
      <w:pPr>
        <w:pStyle w:val="Heading1"/>
      </w:pPr>
      <w:bookmarkStart w:id="5" w:name="O_462005"/>
      <w:bookmarkEnd w:id="5"/>
      <w:r w:rsidRPr="00BD4555">
        <w:t>Pre-Requisites</w:t>
      </w:r>
    </w:p>
    <w:tbl>
      <w:tblPr>
        <w:tblW w:w="0" w:type="auto"/>
        <w:tblLayout w:type="fixed"/>
        <w:tblCellMar>
          <w:left w:w="62" w:type="dxa"/>
          <w:right w:w="62" w:type="dxa"/>
        </w:tblCellMar>
        <w:tblLook w:val="0000"/>
      </w:tblPr>
      <w:tblGrid>
        <w:gridCol w:w="2718"/>
        <w:gridCol w:w="2207"/>
        <w:gridCol w:w="3597"/>
      </w:tblGrid>
      <w:tr w:rsidTr="00883CE5">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p>
        </w:tc>
      </w:tr>
      <w:tr w:rsidTr="00883CE5">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MEM18001C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Use hand tools</w:t>
            </w:r>
          </w:p>
        </w:tc>
      </w:tr>
      <w:tr w:rsidTr="00883CE5">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MEM24012C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Apply metallurgy principles</w:t>
            </w:r>
          </w:p>
        </w:tc>
      </w:tr>
    </w:tbl>
    <w:p w:rsidR="00883CE5" w:rsidP="00BD4555">
      <w:pPr>
        <w:pStyle w:val="BodyText"/>
      </w:pPr>
    </w:p>
    <w:p w:rsidR="00883CE5" w:rsidP="00BD4555">
      <w:pPr>
        <w:pStyle w:val="BodyText"/>
      </w:pPr>
    </w:p>
    <w:p w:rsidR="00000000" w:rsidRPr="00BD4555" w:rsidP="00BD4555">
      <w:pPr>
        <w:pStyle w:val="Heading1"/>
      </w:pPr>
      <w:bookmarkStart w:id="6" w:name="O_462010"/>
      <w:bookmarkEnd w:id="6"/>
      <w:r w:rsidRPr="00BD4555">
        <w:t>Employability Skills Information</w:t>
      </w:r>
    </w:p>
    <w:tbl>
      <w:tblPr>
        <w:tblW w:w="0" w:type="auto"/>
        <w:tblLayout w:type="fixed"/>
        <w:tblCellMar>
          <w:left w:w="62" w:type="dxa"/>
          <w:right w:w="62" w:type="dxa"/>
        </w:tblCellMar>
        <w:tblLook w:val="0000"/>
      </w:tblPr>
      <w:tblGrid>
        <w:gridCol w:w="2802"/>
        <w:gridCol w:w="5720"/>
      </w:tblGrid>
      <w:tr w:rsidTr="00883C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This unit contains employability skills.</w:t>
            </w:r>
          </w:p>
        </w:tc>
      </w:tr>
    </w:tbl>
    <w:p w:rsidR="00883CE5" w:rsidP="00BD4555">
      <w:pPr>
        <w:pStyle w:val="BodyText"/>
      </w:pPr>
    </w:p>
    <w:p w:rsidR="00883CE5" w:rsidP="00BD4555">
      <w:pPr>
        <w:pStyle w:val="BodyText"/>
      </w:pPr>
    </w:p>
    <w:p w:rsidR="00000000" w:rsidRPr="00BD4555" w:rsidP="00BD4555">
      <w:pPr>
        <w:pStyle w:val="Heading1"/>
      </w:pPr>
      <w:bookmarkStart w:id="7" w:name="O_462011"/>
      <w:bookmarkEnd w:id="7"/>
      <w:r w:rsidRPr="00BD4555">
        <w:t>Elements and Performance Criteria Pre-Content</w:t>
      </w:r>
    </w:p>
    <w:tbl>
      <w:tblPr>
        <w:tblW w:w="0" w:type="auto"/>
        <w:tblLayout w:type="fixed"/>
        <w:tblCellMar>
          <w:left w:w="62" w:type="dxa"/>
          <w:right w:w="62" w:type="dxa"/>
        </w:tblCellMar>
        <w:tblLook w:val="0000"/>
      </w:tblPr>
      <w:tblGrid>
        <w:gridCol w:w="2547"/>
        <w:gridCol w:w="5975"/>
      </w:tblGrid>
      <w:tr w:rsidTr="00883CE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 xml:space="preserve">Performance criteria describe the performance needed to demonstrate achievement of the element. Where bold italicised text is used, further </w:t>
            </w:r>
            <w:r w:rsidRPr="00BD4555">
              <w:t>information is detailed in the required skills and knowledge section and the range statement. Assessment of performance is to be consistent with the evidence guide.</w:t>
            </w:r>
          </w:p>
        </w:tc>
      </w:tr>
    </w:tbl>
    <w:p w:rsidR="00000000" w:rsidRPr="00BD4555" w:rsidP="00BD4555">
      <w:pPr>
        <w:pStyle w:val="BodyText"/>
      </w:pPr>
    </w:p>
    <w:p w:rsidR="00000000" w:rsidRPr="00BD4555" w:rsidP="00BD4555">
      <w:pPr>
        <w:pStyle w:val="AllowPageBreak"/>
      </w:pPr>
    </w:p>
    <w:p w:rsidR="00000000" w:rsidRPr="00BD4555" w:rsidP="00BD4555">
      <w:pPr>
        <w:pStyle w:val="Heading1"/>
      </w:pPr>
      <w:bookmarkStart w:id="8" w:name="O_462012"/>
      <w:bookmarkEnd w:id="8"/>
      <w:r w:rsidRPr="00BD4555">
        <w:t>Elements and Performance Criteria</w:t>
      </w:r>
    </w:p>
    <w:tbl>
      <w:tblPr>
        <w:tblW w:w="0" w:type="auto"/>
        <w:tblLayout w:type="fixed"/>
        <w:tblCellMar>
          <w:left w:w="62" w:type="dxa"/>
          <w:right w:w="62" w:type="dxa"/>
        </w:tblCellMar>
        <w:tblLook w:val="0000"/>
      </w:tblPr>
      <w:tblGrid>
        <w:gridCol w:w="2547"/>
        <w:gridCol w:w="5975"/>
      </w:tblGrid>
      <w:tr w:rsidTr="00883CE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PERFORMANCE CRITERIA</w:t>
            </w:r>
          </w:p>
        </w:tc>
      </w:tr>
      <w:tr w:rsidTr="00883CE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List"/>
              <w:rPr>
                <w:lang w:val="en-NZ"/>
              </w:rPr>
            </w:pPr>
            <w:r w:rsidRPr="00BD4555">
              <w:t>1.</w:t>
            </w:r>
            <w:r w:rsidRPr="00BD4555">
              <w:tab/>
              <w:t>Prepa</w:t>
            </w:r>
            <w:r w:rsidRPr="00BD4555">
              <w:t xml:space="preserve">re inspection areas for penetrant testing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List2"/>
            </w:pPr>
            <w:r w:rsidRPr="00BD4555">
              <w:t>1.1.</w:t>
            </w:r>
            <w:r w:rsidRPr="00BD4555">
              <w:tab/>
              <w:t>Inspection areas are identified, cleaned and prepared for testing using appropriate procedures and materials.</w:t>
            </w:r>
          </w:p>
          <w:p w:rsidR="00000000" w:rsidRPr="00BD4555" w:rsidP="00BD4555">
            <w:pPr>
              <w:pStyle w:val="List2"/>
            </w:pPr>
            <w:r w:rsidRPr="00BD4555">
              <w:t>1.2.</w:t>
            </w:r>
            <w:r w:rsidRPr="00BD4555">
              <w:tab/>
            </w:r>
            <w:r w:rsidRPr="00BD4555">
              <w:t>Preparation processes are carried out in accordance with the relevant procedures, statutory and OH&amp;S requirements.</w:t>
            </w:r>
          </w:p>
          <w:p w:rsidR="00000000" w:rsidP="00BD4555">
            <w:pPr>
              <w:pStyle w:val="List2"/>
              <w:rPr>
                <w:lang w:val="en-NZ"/>
              </w:rPr>
            </w:pPr>
            <w:r w:rsidRPr="00BD4555">
              <w:t>1.3.</w:t>
            </w:r>
            <w:r w:rsidRPr="00BD4555">
              <w:tab/>
              <w:t>Inspection areas are visually assessed and obvious discontinuities are identified.</w:t>
            </w:r>
          </w:p>
        </w:tc>
      </w:tr>
      <w:tr w:rsidTr="00883CE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List"/>
              <w:rPr>
                <w:lang w:val="en-NZ"/>
              </w:rPr>
            </w:pPr>
            <w:r w:rsidRPr="00BD4555">
              <w:t>2.</w:t>
            </w:r>
            <w:r w:rsidRPr="00BD4555">
              <w:tab/>
              <w:t>Perform penetrant testing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List2"/>
            </w:pPr>
            <w:r w:rsidRPr="00BD4555">
              <w:t>2.1.</w:t>
            </w:r>
            <w:r w:rsidRPr="00BD4555">
              <w:tab/>
              <w:t>The most appropria</w:t>
            </w:r>
            <w:r w:rsidRPr="00BD4555">
              <w:t>te penetrant test for the material/application is selected.</w:t>
            </w:r>
          </w:p>
          <w:p w:rsidR="00000000" w:rsidRPr="00BD4555" w:rsidP="00BD4555">
            <w:pPr>
              <w:pStyle w:val="List2"/>
            </w:pPr>
            <w:r w:rsidRPr="00BD4555">
              <w:t>2.2.</w:t>
            </w:r>
            <w:r w:rsidRPr="00BD4555">
              <w:tab/>
              <w:t>Test equipment is selected and prepared in accordance with standards and/or procedures.</w:t>
            </w:r>
          </w:p>
          <w:p w:rsidR="00000000" w:rsidRPr="00BD4555" w:rsidP="00BD4555">
            <w:pPr>
              <w:pStyle w:val="List2"/>
            </w:pPr>
            <w:r w:rsidRPr="00BD4555">
              <w:t>2.3.</w:t>
            </w:r>
            <w:r w:rsidRPr="00BD4555">
              <w:tab/>
              <w:t>Appropriate test media is selected and applied in accordance with workplace/industry practices.</w:t>
            </w:r>
          </w:p>
          <w:p w:rsidR="00000000" w:rsidRPr="00BD4555" w:rsidP="00BD4555">
            <w:pPr>
              <w:pStyle w:val="List2"/>
            </w:pPr>
            <w:r w:rsidRPr="00BD4555">
              <w:t>2.</w:t>
            </w:r>
            <w:r w:rsidRPr="00BD4555">
              <w:t>4.</w:t>
            </w:r>
            <w:r w:rsidRPr="00BD4555">
              <w:tab/>
              <w:t>Penetrant test is carried out in accordance with relevant standards, specifications and OH&amp;S requirements.</w:t>
            </w:r>
          </w:p>
          <w:p w:rsidR="00000000" w:rsidP="00BD4555">
            <w:pPr>
              <w:pStyle w:val="List2"/>
              <w:rPr>
                <w:lang w:val="en-NZ"/>
              </w:rPr>
            </w:pPr>
            <w:r w:rsidRPr="00BD4555">
              <w:t>2.5.</w:t>
            </w:r>
            <w:r w:rsidRPr="00BD4555">
              <w:tab/>
              <w:t>Penetrant test equipment is checked for defects, maintained and stored in accordance with procedures, OH&amp;S requirements and manufacturer inst</w:t>
            </w:r>
            <w:r w:rsidRPr="00BD4555">
              <w:t>ructions.</w:t>
            </w:r>
          </w:p>
        </w:tc>
      </w:tr>
      <w:tr w:rsidTr="00883CE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List"/>
              <w:rPr>
                <w:lang w:val="en-NZ"/>
              </w:rPr>
            </w:pPr>
            <w:r w:rsidRPr="00BD4555">
              <w:t>3.</w:t>
            </w:r>
            <w:r w:rsidRPr="00BD4555">
              <w:tab/>
              <w:t>Interpret and report the results of penetrant test(s)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List2"/>
            </w:pPr>
            <w:r w:rsidRPr="00BD4555">
              <w:t>3.1.</w:t>
            </w:r>
            <w:r w:rsidRPr="00BD4555">
              <w:tab/>
              <w:t>Indications are assessed and defects are detected and classified in accordance with national and international codes and standards.</w:t>
            </w:r>
          </w:p>
          <w:p w:rsidR="00000000" w:rsidRPr="00BD4555" w:rsidP="00BD4555">
            <w:pPr>
              <w:pStyle w:val="List2"/>
            </w:pPr>
            <w:r w:rsidRPr="00BD4555">
              <w:t>3.2.</w:t>
            </w:r>
            <w:r w:rsidRPr="00BD4555">
              <w:tab/>
              <w:t>Defects are confirmed in accordance with enter</w:t>
            </w:r>
            <w:r w:rsidRPr="00BD4555">
              <w:t>prise procedures and industry practices.</w:t>
            </w:r>
          </w:p>
          <w:p w:rsidR="00000000" w:rsidRPr="00BD4555" w:rsidP="00BD4555">
            <w:pPr>
              <w:pStyle w:val="List2"/>
            </w:pPr>
            <w:r w:rsidRPr="00BD4555">
              <w:t>3.3.</w:t>
            </w:r>
            <w:r w:rsidRPr="00BD4555">
              <w:tab/>
              <w:t>Test results are reported in accordance with enterprise procedures, accepted industry practices and customer service requirements.</w:t>
            </w:r>
          </w:p>
        </w:tc>
      </w:tr>
    </w:tbl>
    <w:p w:rsidR="00883CE5" w:rsidP="00BD4555">
      <w:pPr>
        <w:pStyle w:val="BodyText"/>
      </w:pPr>
    </w:p>
    <w:p w:rsidR="00883CE5" w:rsidP="00BD4555">
      <w:pPr>
        <w:pStyle w:val="BodyText"/>
      </w:pPr>
    </w:p>
    <w:p w:rsidR="00000000" w:rsidRPr="00BD4555" w:rsidP="00BD4555">
      <w:pPr>
        <w:pStyle w:val="Heading1"/>
      </w:pPr>
      <w:bookmarkStart w:id="9" w:name="O_462003"/>
      <w:bookmarkEnd w:id="9"/>
      <w:r w:rsidRPr="00BD4555">
        <w:t>Required Skills and Knowledge</w:t>
      </w:r>
    </w:p>
    <w:tbl>
      <w:tblPr>
        <w:tblW w:w="0" w:type="auto"/>
        <w:tblLayout w:type="fixed"/>
        <w:tblCellMar>
          <w:left w:w="62" w:type="dxa"/>
          <w:right w:w="62" w:type="dxa"/>
        </w:tblCellMar>
        <w:tblLook w:val="0000"/>
      </w:tblPr>
      <w:tblGrid>
        <w:gridCol w:w="8522"/>
      </w:tblGrid>
      <w:tr w:rsidTr="00883C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REQUIRED SKILLS AND KNOWLEDGE</w:t>
            </w:r>
          </w:p>
        </w:tc>
      </w:tr>
      <w:tr w:rsidTr="00883C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This section describes the skills and knowledge required for this unit.</w:t>
            </w:r>
          </w:p>
        </w:tc>
      </w:tr>
      <w:tr w:rsidTr="00883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Required skills</w:t>
            </w:r>
          </w:p>
        </w:tc>
      </w:tr>
      <w:tr w:rsidTr="00883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Look for evidence that confirms skills in:</w:t>
            </w:r>
          </w:p>
          <w:p w:rsidR="00000000" w:rsidRPr="00BD4555" w:rsidP="00BD4555">
            <w:pPr>
              <w:pStyle w:val="ListBullet"/>
            </w:pPr>
            <w:r w:rsidRPr="00BD4555">
              <w:t>interpreting and following procedures</w:t>
            </w:r>
          </w:p>
          <w:p w:rsidR="00000000" w:rsidRPr="00BD4555" w:rsidP="00BD4555">
            <w:pPr>
              <w:pStyle w:val="ListBullet"/>
            </w:pPr>
            <w:r w:rsidRPr="00BD4555">
              <w:t>identifying inspection areas</w:t>
            </w:r>
          </w:p>
          <w:p w:rsidR="00000000" w:rsidRPr="00BD4555" w:rsidP="00BD4555">
            <w:pPr>
              <w:pStyle w:val="ListBullet"/>
            </w:pPr>
            <w:r w:rsidRPr="00BD4555">
              <w:t>conducting visual inspections</w:t>
            </w:r>
          </w:p>
          <w:p w:rsidR="00000000" w:rsidRPr="00BD4555" w:rsidP="00BD4555">
            <w:pPr>
              <w:pStyle w:val="ListBullet"/>
            </w:pPr>
            <w:r w:rsidRPr="00BD4555">
              <w:t>identifying discontinuities and defects</w:t>
            </w:r>
          </w:p>
          <w:p w:rsidR="00000000" w:rsidRPr="00BD4555" w:rsidP="00BD4555">
            <w:pPr>
              <w:pStyle w:val="ListBullet"/>
            </w:pPr>
            <w:r w:rsidRPr="00BD4555">
              <w:t>selecting appropriate testing techniques and procedures</w:t>
            </w:r>
          </w:p>
          <w:p w:rsidR="00000000" w:rsidRPr="00BD4555" w:rsidP="00BD4555">
            <w:pPr>
              <w:pStyle w:val="ListBullet"/>
            </w:pPr>
            <w:r w:rsidRPr="00BD4555">
              <w:t>using decision making skills</w:t>
            </w:r>
          </w:p>
          <w:p w:rsidR="00000000" w:rsidRPr="00BD4555" w:rsidP="00BD4555">
            <w:pPr>
              <w:pStyle w:val="ListBullet"/>
            </w:pPr>
            <w:r w:rsidRPr="00BD4555">
              <w:t>assessing risk</w:t>
            </w:r>
          </w:p>
          <w:p w:rsidR="00000000" w:rsidRPr="00BD4555" w:rsidP="00BD4555">
            <w:pPr>
              <w:pStyle w:val="ListBullet"/>
            </w:pPr>
            <w:r w:rsidRPr="00BD4555">
              <w:t>performing measurements needed to meet the requirements of this unit</w:t>
            </w:r>
          </w:p>
          <w:p w:rsidR="00000000" w:rsidRPr="00BD4555" w:rsidP="00BD4555">
            <w:pPr>
              <w:pStyle w:val="ListBullet"/>
            </w:pPr>
            <w:r w:rsidRPr="00BD4555">
              <w:t>entering routine and familiar information onto proformas and standard workplace forms</w:t>
            </w:r>
          </w:p>
          <w:p w:rsidR="00000000" w:rsidRPr="00BD4555" w:rsidP="00BD4555">
            <w:pPr>
              <w:pStyle w:val="ListBullet"/>
            </w:pPr>
            <w:r w:rsidRPr="00BD4555">
              <w:t>locating, reading and interpreting information on written job instructions, specifications, drawings, charts, lists and other reference documentation</w:t>
            </w:r>
          </w:p>
          <w:p w:rsidR="00000000" w:rsidP="00BD4555">
            <w:pPr>
              <w:pStyle w:val="ListBullet"/>
              <w:rPr>
                <w:lang w:val="en-NZ"/>
              </w:rPr>
            </w:pPr>
            <w:r w:rsidRPr="00BD4555">
              <w:t>planning, sequencing</w:t>
            </w:r>
            <w:r w:rsidRPr="00BD4555">
              <w:t xml:space="preserve"> operations</w:t>
            </w:r>
          </w:p>
        </w:tc>
      </w:tr>
      <w:tr w:rsidTr="00883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Required knowledge</w:t>
            </w:r>
          </w:p>
        </w:tc>
      </w:tr>
      <w:tr w:rsidTr="00883C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Look for evidence that confirms knowledge of:</w:t>
            </w:r>
          </w:p>
          <w:p w:rsidR="00000000" w:rsidRPr="00BD4555" w:rsidP="00BD4555">
            <w:pPr>
              <w:pStyle w:val="ListBullet"/>
            </w:pPr>
            <w:r w:rsidRPr="00BD4555">
              <w:t>cleaning and preparation processes for a range of test surfaces</w:t>
            </w:r>
          </w:p>
          <w:p w:rsidR="00000000" w:rsidRPr="00BD4555" w:rsidP="00BD4555">
            <w:pPr>
              <w:pStyle w:val="ListBullet"/>
            </w:pPr>
            <w:r w:rsidRPr="00BD4555">
              <w:t>procedure, statutory and OH&amp;S requirements in relation to the preparation process</w:t>
            </w:r>
          </w:p>
          <w:p w:rsidR="00000000" w:rsidRPr="00BD4555" w:rsidP="00BD4555">
            <w:pPr>
              <w:pStyle w:val="ListBullet"/>
            </w:pPr>
            <w:r w:rsidRPr="00BD4555">
              <w:t>established assessment procedu</w:t>
            </w:r>
            <w:r w:rsidRPr="00BD4555">
              <w:t>res and techniques</w:t>
            </w:r>
          </w:p>
          <w:p w:rsidR="00000000" w:rsidRPr="00BD4555" w:rsidP="00BD4555">
            <w:pPr>
              <w:pStyle w:val="ListBullet"/>
            </w:pPr>
            <w:r w:rsidRPr="00BD4555">
              <w:t>types of discontinuities and their consequences/effect on the material</w:t>
            </w:r>
          </w:p>
          <w:p w:rsidR="00000000" w:rsidRPr="00BD4555" w:rsidP="00BD4555">
            <w:pPr>
              <w:pStyle w:val="ListBullet"/>
            </w:pPr>
            <w:r w:rsidRPr="00BD4555">
              <w:t>penetrant testing techniques and procedures for a range of situations</w:t>
            </w:r>
          </w:p>
          <w:p w:rsidR="00000000" w:rsidRPr="00BD4555" w:rsidP="00BD4555">
            <w:pPr>
              <w:pStyle w:val="ListBullet"/>
            </w:pPr>
            <w:r w:rsidRPr="00BD4555">
              <w:t xml:space="preserve">tools, equipment, techniques </w:t>
            </w:r>
          </w:p>
          <w:p w:rsidR="00000000" w:rsidRPr="00BD4555" w:rsidP="00BD4555">
            <w:pPr>
              <w:pStyle w:val="ListBullet"/>
            </w:pPr>
            <w:r w:rsidRPr="00BD4555">
              <w:t>principles and applications of penetrant testing techniques</w:t>
            </w:r>
          </w:p>
          <w:p w:rsidR="00000000" w:rsidRPr="00BD4555" w:rsidP="00BD4555">
            <w:pPr>
              <w:pStyle w:val="ListBullet"/>
            </w:pPr>
            <w:r w:rsidRPr="00BD4555">
              <w:t>hazards and safety requirements associated with penetrant testing</w:t>
            </w:r>
          </w:p>
          <w:p w:rsidR="00000000" w:rsidRPr="00BD4555" w:rsidP="00BD4555">
            <w:pPr>
              <w:pStyle w:val="ListBullet"/>
            </w:pPr>
            <w:r w:rsidRPr="00BD4555">
              <w:t>maintenance and storage procedures for test equipment</w:t>
            </w:r>
          </w:p>
          <w:p w:rsidR="00000000" w:rsidRPr="00BD4555" w:rsidP="00BD4555">
            <w:pPr>
              <w:pStyle w:val="ListBullet"/>
            </w:pPr>
            <w:r w:rsidRPr="00BD4555">
              <w:t>common faults and damage</w:t>
            </w:r>
          </w:p>
          <w:p w:rsidR="00000000" w:rsidRPr="00BD4555" w:rsidP="00BD4555">
            <w:pPr>
              <w:pStyle w:val="ListBullet"/>
            </w:pPr>
            <w:r w:rsidRPr="00BD4555">
              <w:t>range of defects</w:t>
            </w:r>
          </w:p>
          <w:p w:rsidR="00000000" w:rsidRPr="00BD4555" w:rsidP="00BD4555">
            <w:pPr>
              <w:pStyle w:val="ListBullet"/>
            </w:pPr>
            <w:r w:rsidRPr="00BD4555">
              <w:t>meaning and application of national and international codes and standards</w:t>
            </w:r>
          </w:p>
          <w:p w:rsidR="00000000" w:rsidRPr="00BD4555" w:rsidP="00BD4555">
            <w:pPr>
              <w:pStyle w:val="ListBullet"/>
            </w:pPr>
            <w:r w:rsidRPr="00BD4555">
              <w:t>methods/procedures f</w:t>
            </w:r>
            <w:r w:rsidRPr="00BD4555">
              <w:t>or reporting test results</w:t>
            </w:r>
          </w:p>
          <w:p w:rsidR="00000000" w:rsidRPr="00BD4555" w:rsidP="00BD4555">
            <w:pPr>
              <w:pStyle w:val="ListBullet"/>
            </w:pPr>
            <w:r w:rsidRPr="00BD4555">
              <w:t>implications of test results for the particular  material/application</w:t>
            </w:r>
          </w:p>
          <w:p w:rsidR="00000000" w:rsidRPr="00BD4555" w:rsidP="00BD4555">
            <w:pPr>
              <w:pStyle w:val="ListBullet"/>
            </w:pPr>
            <w:r w:rsidRPr="00BD4555">
              <w:t>any applicable industry standards, national/Australian standards, NOHSC guides, State/Territory regulatory codes of practice/standards</w:t>
            </w:r>
          </w:p>
          <w:p w:rsidR="00000000" w:rsidRPr="00BD4555" w:rsidP="00BD4555">
            <w:pPr>
              <w:pStyle w:val="ListBullet"/>
            </w:pPr>
            <w:r w:rsidRPr="00BD4555">
              <w:t>use and application of pe</w:t>
            </w:r>
            <w:r w:rsidRPr="00BD4555">
              <w:t>rsonal protective equipment</w:t>
            </w:r>
          </w:p>
          <w:p w:rsidR="00000000" w:rsidRPr="00BD4555" w:rsidP="00BD4555">
            <w:pPr>
              <w:pStyle w:val="ListBullet"/>
            </w:pPr>
            <w:r w:rsidRPr="00BD4555">
              <w:t>safe work practices and procedures</w:t>
            </w:r>
          </w:p>
          <w:p w:rsidR="00000000" w:rsidRPr="00BD4555" w:rsidP="00BD4555">
            <w:pPr>
              <w:pStyle w:val="ListBullet"/>
            </w:pPr>
            <w:r w:rsidRPr="00BD4555">
              <w:t>relevant hazards and control measures related to the competency</w:t>
            </w:r>
          </w:p>
        </w:tc>
      </w:tr>
    </w:tbl>
    <w:p w:rsidR="00883CE5" w:rsidP="00BD4555">
      <w:pPr>
        <w:pStyle w:val="BodyText"/>
      </w:pPr>
    </w:p>
    <w:p w:rsidR="00883CE5" w:rsidP="00BD4555">
      <w:pPr>
        <w:pStyle w:val="BodyText"/>
      </w:pPr>
    </w:p>
    <w:p w:rsidR="00000000" w:rsidRPr="00BD4555" w:rsidP="00BD4555">
      <w:pPr>
        <w:pStyle w:val="AllowPageBreak"/>
      </w:pPr>
    </w:p>
    <w:p w:rsidR="00000000" w:rsidRPr="00BD4555" w:rsidP="00BD4555">
      <w:pPr>
        <w:pStyle w:val="Heading1"/>
      </w:pPr>
      <w:bookmarkStart w:id="10" w:name="O_462009"/>
      <w:bookmarkEnd w:id="10"/>
      <w:r w:rsidRPr="00BD4555">
        <w:t>Evidence Guide</w:t>
      </w:r>
    </w:p>
    <w:tbl>
      <w:tblPr>
        <w:tblW w:w="9570" w:type="dxa"/>
        <w:tblLayout w:type="fixed"/>
        <w:tblCellMar>
          <w:left w:w="62" w:type="dxa"/>
          <w:right w:w="62" w:type="dxa"/>
        </w:tblCellMar>
        <w:tblLook w:val="0000"/>
      </w:tblPr>
      <w:tblGrid>
        <w:gridCol w:w="3908"/>
        <w:gridCol w:w="5662"/>
      </w:tblGrid>
      <w:tr w:rsidTr="00883C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EVIDENCE GUIDE</w:t>
            </w:r>
          </w:p>
        </w:tc>
      </w:tr>
      <w:tr w:rsidTr="00883C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The evidence guide provides advice on assessment and must be read in conjunction with the performance criteria, required skills and knowledge, range statement and the Assessment Guidelines for the Training Package.</w:t>
            </w:r>
          </w:p>
        </w:tc>
      </w:tr>
      <w:tr w:rsidTr="00883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A person who dem</w:t>
            </w:r>
            <w:r w:rsidRPr="00BD4555">
              <w:t>onstrates competency in this unit must be able to perform penetrant testing. Competency in this unit cannot be claimed until all prerequisites have been satisfied.</w:t>
            </w:r>
          </w:p>
        </w:tc>
      </w:tr>
      <w:tr w:rsidTr="00883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Critical aspects for assessment and evidence required to demonstrate competency in this uni</w:t>
            </w:r>
            <w:r w:rsidRPr="00BD4555">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Assessors must be satisfied that the candidate can competently and consistently perform all elements of the unit as specified by the criteria, including required knowledge, and be capable of applying the competency in new and different situations and con</w:t>
            </w:r>
            <w:r w:rsidRPr="00BD4555">
              <w:t>texts.</w:t>
            </w:r>
          </w:p>
        </w:tc>
      </w:tr>
      <w:tr w:rsidTr="00883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This unit may be assessed on the job, off the job or a combination of both on and off the job. Where assessment occurs off the job, that is the candidate is not in productive work, then an appropriat</w:t>
            </w:r>
            <w:r w:rsidRPr="00BD4555">
              <w:t>e simulation must be used where the range of conditions reflects realistic workplace situations. The competencies covered by this unit would be demonstrated by an individual working alone or as part of a team. The assessment environment should not disadvan</w:t>
            </w:r>
            <w:r w:rsidRPr="00BD4555">
              <w:t xml:space="preserve">tage the candidate. </w:t>
            </w:r>
          </w:p>
          <w:p w:rsidR="00000000" w:rsidP="00BD4555">
            <w:pPr>
              <w:pStyle w:val="BodyText"/>
              <w:rPr>
                <w:lang w:val="en-NZ"/>
              </w:rPr>
            </w:pPr>
            <w:r w:rsidRPr="00BD4555">
              <w:t>This unit could be assessed in conjunction with any other units addressing the safety, quality, communication, materials handling, recording and reporting associated with performing penet</w:t>
            </w:r>
            <w:r w:rsidRPr="00BD4555">
              <w:t>rant testing in a range of industrial applications or other units requiring the exercise of the skills and knowledge covered by this unit.</w:t>
            </w:r>
          </w:p>
        </w:tc>
      </w:tr>
      <w:tr w:rsidTr="00883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Assessors should gather a range of evidence that is valid, sufficient, current and authentic. E</w:t>
            </w:r>
            <w:r w:rsidRPr="00BD4555">
              <w:t>vidence can be gathered through a variety of ways including direct observation, supervisor's reports, project work, samples and questioning. Questioning should not require language, literacy and numeracy skills beyond those required in this unit. The candi</w:t>
            </w:r>
            <w:r w:rsidRPr="00BD4555">
              <w:t>date must have access to all tools, equipment, materials and documentation required. The candidate must be permitted to refer to any relevant workplace procedures, product and manufacturing specifications, codes, standards, manuals and reference materials.</w:t>
            </w:r>
          </w:p>
        </w:tc>
      </w:tr>
      <w:tr w:rsidTr="00883C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p>
        </w:tc>
      </w:tr>
    </w:tbl>
    <w:p w:rsidR="00883CE5" w:rsidP="00BD4555">
      <w:pPr>
        <w:pStyle w:val="BodyText"/>
      </w:pPr>
    </w:p>
    <w:p w:rsidR="00883CE5" w:rsidP="00BD4555">
      <w:pPr>
        <w:pStyle w:val="BodyText"/>
      </w:pPr>
    </w:p>
    <w:p w:rsidR="00000000" w:rsidRPr="00BD4555" w:rsidP="00BD4555">
      <w:pPr>
        <w:pStyle w:val="Heading1"/>
      </w:pPr>
      <w:bookmarkStart w:id="11" w:name="O_462004"/>
      <w:bookmarkEnd w:id="11"/>
      <w:r w:rsidRPr="00BD4555">
        <w:t>Range Statement</w:t>
      </w:r>
    </w:p>
    <w:tbl>
      <w:tblPr>
        <w:tblW w:w="0" w:type="auto"/>
        <w:tblLayout w:type="fixed"/>
        <w:tblCellMar>
          <w:left w:w="62" w:type="dxa"/>
          <w:right w:w="62" w:type="dxa"/>
        </w:tblCellMar>
        <w:tblLook w:val="0000"/>
      </w:tblPr>
      <w:tblGrid>
        <w:gridCol w:w="3547"/>
        <w:gridCol w:w="4975"/>
      </w:tblGrid>
      <w:tr w:rsidTr="00883C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RANGE STATEMENT</w:t>
            </w:r>
          </w:p>
        </w:tc>
      </w:tr>
      <w:tr w:rsidTr="00883C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 xml:space="preserve">The range statement relates to the unit of competency as a whole. It allows for different work environments and situations that may affect </w:t>
            </w:r>
            <w:r w:rsidRPr="00BD4555">
              <w:t>performance. Bold italicised wording, if used in the performance criteria, is detailed below. Essential operating conditions that may be present with training and assessment (depending on the work situation, needs of the candidate, accessibility of the ite</w:t>
            </w:r>
            <w:r w:rsidRPr="00BD4555">
              <w:t>m, and local industry and regional contexts) may also be included.</w:t>
            </w:r>
          </w:p>
        </w:tc>
      </w:tr>
      <w:tr w:rsidTr="00883CE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Preparation processes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Surface cleaning and drying</w:t>
            </w:r>
          </w:p>
        </w:tc>
      </w:tr>
      <w:tr w:rsidTr="00883CE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Obvious discontinuities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t>Observed changes in material homogeneity</w:t>
            </w:r>
          </w:p>
        </w:tc>
      </w:tr>
      <w:tr w:rsidTr="00883CE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Reported</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Accurate identification of location and size of discontinuiti</w:t>
            </w:r>
            <w:r w:rsidRPr="00BD4555">
              <w:t>es</w:t>
            </w:r>
          </w:p>
        </w:tc>
      </w:tr>
    </w:tbl>
    <w:p w:rsidR="00883CE5" w:rsidP="00BD4555">
      <w:pPr>
        <w:pStyle w:val="BodyText"/>
      </w:pPr>
    </w:p>
    <w:p w:rsidR="00883CE5" w:rsidP="00BD4555">
      <w:pPr>
        <w:pStyle w:val="BodyText"/>
      </w:pPr>
    </w:p>
    <w:p w:rsidR="00000000" w:rsidRPr="00BD4555" w:rsidP="00BD4555">
      <w:pPr>
        <w:pStyle w:val="Heading1"/>
      </w:pPr>
      <w:bookmarkStart w:id="12" w:name="O_462001"/>
      <w:bookmarkEnd w:id="12"/>
      <w:r w:rsidRPr="00BD4555">
        <w:t>Unit Sector(s)</w:t>
      </w:r>
    </w:p>
    <w:tbl>
      <w:tblPr>
        <w:tblW w:w="0" w:type="auto"/>
        <w:tblLayout w:type="fixed"/>
        <w:tblCellMar>
          <w:left w:w="62" w:type="dxa"/>
          <w:right w:w="62" w:type="dxa"/>
        </w:tblCellMar>
        <w:tblLook w:val="0000"/>
      </w:tblPr>
      <w:tblGrid>
        <w:gridCol w:w="2654"/>
        <w:gridCol w:w="5868"/>
      </w:tblGrid>
      <w:tr w:rsidTr="00883C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p>
        </w:tc>
      </w:tr>
    </w:tbl>
    <w:p w:rsidR="00883CE5" w:rsidP="00BD4555">
      <w:pPr>
        <w:pStyle w:val="BodyText"/>
      </w:pPr>
    </w:p>
    <w:p w:rsidR="00883CE5" w:rsidP="00BD4555">
      <w:pPr>
        <w:pStyle w:val="BodyText"/>
      </w:pPr>
    </w:p>
    <w:p w:rsidR="00000000" w:rsidRPr="00BD4555" w:rsidP="00BD4555">
      <w:pPr>
        <w:pStyle w:val="Heading1"/>
      </w:pPr>
      <w:bookmarkStart w:id="13" w:name="O_462013"/>
      <w:bookmarkEnd w:id="13"/>
      <w:r w:rsidRPr="00BD4555">
        <w:t>Co-requisite units</w:t>
      </w:r>
    </w:p>
    <w:tbl>
      <w:tblPr>
        <w:tblW w:w="0" w:type="auto"/>
        <w:tblLayout w:type="fixed"/>
        <w:tblCellMar>
          <w:left w:w="62" w:type="dxa"/>
          <w:right w:w="62" w:type="dxa"/>
        </w:tblCellMar>
        <w:tblLook w:val="0000"/>
      </w:tblPr>
      <w:tblGrid>
        <w:gridCol w:w="2641"/>
        <w:gridCol w:w="1322"/>
        <w:gridCol w:w="4559"/>
      </w:tblGrid>
      <w:tr w:rsidTr="00883C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p>
        </w:tc>
      </w:tr>
      <w:tr w:rsidTr="00883C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p>
        </w:tc>
      </w:tr>
      <w:tr w:rsidTr="00883C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p>
        </w:tc>
      </w:tr>
    </w:tbl>
    <w:p w:rsidR="00883CE5" w:rsidP="00BD4555">
      <w:pPr>
        <w:pStyle w:val="BodyText"/>
      </w:pPr>
    </w:p>
    <w:p w:rsidR="00883CE5" w:rsidP="00BD4555">
      <w:pPr>
        <w:pStyle w:val="BodyText"/>
      </w:pPr>
    </w:p>
    <w:p w:rsidR="00000000" w:rsidRPr="00BD4555" w:rsidP="00BD4555">
      <w:pPr>
        <w:pStyle w:val="Heading1"/>
      </w:pPr>
      <w:bookmarkStart w:id="14" w:name="O_462014"/>
      <w:bookmarkEnd w:id="14"/>
      <w:r w:rsidRPr="00BD4555">
        <w:t>Competency field</w:t>
      </w:r>
    </w:p>
    <w:tbl>
      <w:tblPr>
        <w:tblW w:w="0" w:type="auto"/>
        <w:tblLayout w:type="fixed"/>
        <w:tblCellMar>
          <w:left w:w="62" w:type="dxa"/>
          <w:right w:w="62" w:type="dxa"/>
        </w:tblCellMar>
        <w:tblLook w:val="0000"/>
      </w:tblPr>
      <w:tblGrid>
        <w:gridCol w:w="2779"/>
        <w:gridCol w:w="5743"/>
      </w:tblGrid>
      <w:tr w:rsidTr="00883CE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555">
            <w:pPr>
              <w:pStyle w:val="BodyText"/>
              <w:rPr>
                <w:lang w:val="en-NZ"/>
              </w:rPr>
            </w:pPr>
            <w:r w:rsidRPr="00BD455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555" w:rsidP="00BD4555">
            <w:pPr>
              <w:pStyle w:val="BodyText"/>
            </w:pPr>
            <w:r w:rsidRPr="00BD4555">
              <w:t>Non-destructive testing</w:t>
            </w:r>
          </w:p>
        </w:tc>
      </w:tr>
    </w:tbl>
    <w:p w:rsidR="00883CE5" w:rsidP="00BD4555">
      <w:pPr>
        <w:pStyle w:val="BodyText"/>
      </w:pPr>
    </w:p>
    <w:p w:rsidR="00883CE5" w:rsidP="00BD4555">
      <w:pPr>
        <w:pStyle w:val="BodyText"/>
      </w:pPr>
    </w:p>
    <w:p w:rsidR="00000000" w:rsidRPr="00BD4555" w:rsidP="00BD4555"/>
    <w:sectPr w:rsidSect="00BD4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CE5" w:rsidP="00883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E5" w:rsidP="00BD4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3CE5" w:rsidP="00BD4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3CE5" w:rsidP="00BD4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CE5" w:rsidP="00883C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E5" w:rsidP="00BD4555">
    <w:pPr>
      <w:pStyle w:val="Header"/>
      <w:framePr w:wrap="around"/>
    </w:pPr>
    <w:r>
      <w:fldChar w:fldCharType="begin"/>
    </w:r>
    <w:r>
      <w:instrText xml:space="preserve"> TITLE   \* MERGEFORMAT </w:instrText>
    </w:r>
    <w:r>
      <w:fldChar w:fldCharType="separate"/>
    </w:r>
    <w:r>
      <w:t>MEM24002B Perform penetrant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3CE5" w:rsidP="00BD45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322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3EE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5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4555"/>
    <w:pPr>
      <w:spacing w:before="360" w:after="60"/>
      <w:outlineLvl w:val="0"/>
    </w:pPr>
    <w:rPr>
      <w:sz w:val="32"/>
    </w:rPr>
  </w:style>
  <w:style w:type="paragraph" w:styleId="Heading2">
    <w:name w:val="heading 2"/>
    <w:basedOn w:val="HeadingBase"/>
    <w:next w:val="BodyText"/>
    <w:link w:val="Heading2Char"/>
    <w:qFormat/>
    <w:rsid w:val="00BD4555"/>
    <w:pPr>
      <w:keepLines/>
      <w:spacing w:before="240" w:after="120"/>
      <w:outlineLvl w:val="1"/>
    </w:pPr>
    <w:rPr>
      <w:sz w:val="28"/>
      <w:szCs w:val="40"/>
    </w:rPr>
  </w:style>
  <w:style w:type="paragraph" w:styleId="Heading3">
    <w:name w:val="heading 3"/>
    <w:basedOn w:val="HeadingBase"/>
    <w:next w:val="BodyText"/>
    <w:link w:val="Heading3Char"/>
    <w:qFormat/>
    <w:rsid w:val="00BD4555"/>
    <w:pPr>
      <w:spacing w:before="180" w:after="120"/>
      <w:outlineLvl w:val="2"/>
    </w:pPr>
    <w:rPr>
      <w:spacing w:val="-10"/>
      <w:kern w:val="32"/>
    </w:rPr>
  </w:style>
  <w:style w:type="paragraph" w:styleId="Heading4">
    <w:name w:val="heading 4"/>
    <w:basedOn w:val="HeadingBase"/>
    <w:next w:val="BodyText"/>
    <w:link w:val="Heading4Char"/>
    <w:qFormat/>
    <w:rsid w:val="00BD4555"/>
    <w:pPr>
      <w:spacing w:before="160" w:after="120"/>
      <w:outlineLvl w:val="3"/>
    </w:pPr>
    <w:rPr>
      <w:sz w:val="22"/>
    </w:rPr>
  </w:style>
  <w:style w:type="paragraph" w:styleId="Heading5">
    <w:name w:val="heading 5"/>
    <w:basedOn w:val="HeadingBase"/>
    <w:next w:val="Normal"/>
    <w:link w:val="Heading5Char"/>
    <w:qFormat/>
    <w:rsid w:val="00BD4555"/>
    <w:pPr>
      <w:spacing w:before="80"/>
      <w:outlineLvl w:val="4"/>
    </w:pPr>
    <w:rPr>
      <w:color w:val="918585"/>
      <w:sz w:val="20"/>
    </w:rPr>
  </w:style>
  <w:style w:type="paragraph" w:styleId="Heading6">
    <w:name w:val="heading 6"/>
    <w:basedOn w:val="HeadingBase"/>
    <w:next w:val="Normal"/>
    <w:link w:val="Heading6Char"/>
    <w:qFormat/>
    <w:rsid w:val="00BD4555"/>
    <w:pPr>
      <w:spacing w:before="60"/>
      <w:outlineLvl w:val="5"/>
    </w:pPr>
    <w:rPr>
      <w:color w:val="918585"/>
      <w:sz w:val="20"/>
    </w:rPr>
  </w:style>
  <w:style w:type="paragraph" w:styleId="Heading7">
    <w:name w:val="heading 7"/>
    <w:basedOn w:val="Normal"/>
    <w:next w:val="Normal"/>
    <w:link w:val="Heading7Char"/>
    <w:qFormat/>
    <w:rsid w:val="00BD4555"/>
    <w:pPr>
      <w:ind w:left="720"/>
      <w:outlineLvl w:val="6"/>
    </w:pPr>
    <w:rPr>
      <w:i/>
    </w:rPr>
  </w:style>
  <w:style w:type="paragraph" w:styleId="Heading8">
    <w:name w:val="heading 8"/>
    <w:basedOn w:val="Normal"/>
    <w:next w:val="Normal"/>
    <w:link w:val="Heading8Char"/>
    <w:qFormat/>
    <w:rsid w:val="00BD4555"/>
    <w:pPr>
      <w:ind w:left="720"/>
      <w:outlineLvl w:val="7"/>
    </w:pPr>
    <w:rPr>
      <w:i/>
    </w:rPr>
  </w:style>
  <w:style w:type="paragraph" w:styleId="Heading9">
    <w:name w:val="heading 9"/>
    <w:basedOn w:val="Normal"/>
    <w:next w:val="Normal"/>
    <w:link w:val="Heading9Char"/>
    <w:qFormat/>
    <w:rsid w:val="00BD4555"/>
    <w:pPr>
      <w:ind w:left="720"/>
      <w:outlineLvl w:val="8"/>
    </w:pPr>
    <w:rPr>
      <w:i/>
    </w:rPr>
  </w:style>
  <w:style w:type="character" w:default="1" w:styleId="DefaultParagraphFont">
    <w:name w:val="Default Paragraph Font"/>
    <w:uiPriority w:val="1"/>
    <w:unhideWhenUsed/>
    <w:rsid w:val="00BD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555"/>
  </w:style>
  <w:style w:type="character" w:customStyle="1" w:styleId="Heading1Char">
    <w:name w:val="Heading 1 Char"/>
    <w:basedOn w:val="DefaultParagraphFont"/>
    <w:link w:val="Heading1"/>
    <w:rsid w:val="00BD4555"/>
    <w:rPr>
      <w:rFonts w:ascii="Times New Roman" w:eastAsia="Times New Roman" w:hAnsi="Times New Roman" w:cs="Times New Roman"/>
      <w:b/>
      <w:sz w:val="32"/>
      <w:szCs w:val="20"/>
      <w:lang w:eastAsia="en-US"/>
    </w:rPr>
  </w:style>
  <w:style w:type="paragraph" w:styleId="BodyText">
    <w:name w:val="Body Text"/>
    <w:basedOn w:val="Normal"/>
    <w:link w:val="BodyTextChar"/>
    <w:rsid w:val="00BD4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555"/>
    <w:rPr>
      <w:rFonts w:ascii="Times New Roman" w:eastAsia="Times New Roman" w:hAnsi="Times New Roman" w:cs="Times New Roman"/>
      <w:sz w:val="24"/>
      <w:lang w:val="en-US" w:eastAsia="en-US"/>
    </w:rPr>
  </w:style>
  <w:style w:type="paragraph" w:styleId="Footer">
    <w:name w:val="footer"/>
    <w:basedOn w:val="Normal"/>
    <w:link w:val="FooterChar"/>
    <w:rsid w:val="00BD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555"/>
    <w:rPr>
      <w:rFonts w:ascii="Times New Roman" w:eastAsia="Times New Roman" w:hAnsi="Times New Roman" w:cs="Times New Roman"/>
      <w:sz w:val="16"/>
      <w:lang w:val="en-US" w:eastAsia="en-US"/>
    </w:rPr>
  </w:style>
  <w:style w:type="paragraph" w:styleId="List">
    <w:name w:val="List"/>
    <w:basedOn w:val="BodyText"/>
    <w:next w:val="BodyText"/>
    <w:rsid w:val="00BD4555"/>
    <w:pPr>
      <w:tabs>
        <w:tab w:val="left" w:pos="340"/>
      </w:tabs>
      <w:spacing w:before="60" w:after="60"/>
      <w:ind w:left="340" w:hanging="340"/>
    </w:pPr>
  </w:style>
  <w:style w:type="paragraph" w:styleId="ListBullet">
    <w:name w:val="List Bullet"/>
    <w:basedOn w:val="List"/>
    <w:rsid w:val="00BD4555"/>
    <w:pPr>
      <w:numPr>
        <w:numId w:val="12"/>
      </w:numPr>
      <w:tabs>
        <w:tab w:val="clear" w:pos="340"/>
      </w:tabs>
      <w:spacing w:before="40" w:after="40"/>
    </w:pPr>
  </w:style>
  <w:style w:type="character" w:customStyle="1" w:styleId="SpecialBold">
    <w:name w:val="Special Bold"/>
    <w:basedOn w:val="DefaultParagraphFont"/>
    <w:rsid w:val="00BD4555"/>
    <w:rPr>
      <w:b/>
      <w:spacing w:val="0"/>
    </w:rPr>
  </w:style>
  <w:style w:type="paragraph" w:styleId="Header">
    <w:name w:val="header"/>
    <w:basedOn w:val="Normal"/>
    <w:link w:val="HeaderChar"/>
    <w:rsid w:val="00BD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5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4555"/>
    <w:pPr>
      <w:spacing w:before="240" w:after="120"/>
      <w:outlineLvl w:val="0"/>
    </w:pPr>
    <w:rPr>
      <w:rFonts w:ascii="Times New Roman" w:hAnsi="Times New Roman"/>
      <w:b/>
      <w:sz w:val="28"/>
    </w:rPr>
  </w:style>
  <w:style w:type="paragraph" w:customStyle="1" w:styleId="AllowPageBreak">
    <w:name w:val="AllowPageBreak"/>
    <w:rsid w:val="00BD45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555"/>
    <w:pPr>
      <w:tabs>
        <w:tab w:val="left" w:pos="680"/>
      </w:tabs>
      <w:spacing w:before="60" w:after="60"/>
      <w:ind w:left="680" w:hanging="340"/>
    </w:pPr>
  </w:style>
  <w:style w:type="character" w:customStyle="1" w:styleId="Heading2Char">
    <w:name w:val="Heading 2 Char"/>
    <w:basedOn w:val="DefaultParagraphFont"/>
    <w:link w:val="Heading2"/>
    <w:rsid w:val="00BD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5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45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4555"/>
    <w:rPr>
      <w:rFonts w:ascii="Courier New" w:eastAsia="Times New Roman" w:hAnsi="Courier New" w:cs="Times New Roman"/>
      <w:i/>
      <w:szCs w:val="20"/>
      <w:lang w:val="en-US" w:eastAsia="en-US"/>
    </w:rPr>
  </w:style>
  <w:style w:type="paragraph" w:customStyle="1" w:styleId="HeadingBase">
    <w:name w:val="Heading Base"/>
    <w:rsid w:val="00BD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555"/>
    <w:pPr>
      <w:tabs>
        <w:tab w:val="right" w:leader="dot" w:pos="9072"/>
      </w:tabs>
      <w:ind w:left="567"/>
    </w:pPr>
    <w:rPr>
      <w:szCs w:val="22"/>
    </w:rPr>
  </w:style>
  <w:style w:type="paragraph" w:customStyle="1" w:styleId="TOCBase">
    <w:name w:val="TOC Base"/>
    <w:rsid w:val="00BD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555"/>
    <w:pPr>
      <w:tabs>
        <w:tab w:val="right" w:leader="dot" w:pos="9072"/>
      </w:tabs>
      <w:spacing w:before="40" w:after="40"/>
      <w:ind w:left="284"/>
    </w:pPr>
    <w:rPr>
      <w:rFonts w:ascii="Times New Roman" w:hAnsi="Times New Roman"/>
    </w:rPr>
  </w:style>
  <w:style w:type="paragraph" w:styleId="TOC1">
    <w:name w:val="toc 1"/>
    <w:basedOn w:val="TOCBase"/>
    <w:next w:val="Normal"/>
    <w:rsid w:val="00BD4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4555"/>
    <w:pPr>
      <w:spacing w:before="5040"/>
      <w:jc w:val="center"/>
    </w:pPr>
    <w:rPr>
      <w:sz w:val="48"/>
      <w:szCs w:val="72"/>
      <w:lang w:val="en-US"/>
    </w:rPr>
  </w:style>
  <w:style w:type="character" w:customStyle="1" w:styleId="TitleChar">
    <w:name w:val="Title Char"/>
    <w:basedOn w:val="DefaultParagraphFont"/>
    <w:link w:val="Title"/>
    <w:rsid w:val="00BD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555"/>
    <w:pPr>
      <w:tabs>
        <w:tab w:val="left" w:pos="3600"/>
        <w:tab w:val="left" w:pos="3958"/>
      </w:tabs>
    </w:pPr>
  </w:style>
  <w:style w:type="paragraph" w:customStyle="1" w:styleId="Note">
    <w:name w:val="Note"/>
    <w:basedOn w:val="BodyText"/>
    <w:rsid w:val="00BD4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555"/>
    <w:pPr>
      <w:framePr w:wrap="auto" w:hAnchor="text" w:y="6049"/>
    </w:pPr>
    <w:rPr>
      <w:color w:val="000000"/>
      <w:sz w:val="40"/>
    </w:rPr>
  </w:style>
  <w:style w:type="paragraph" w:customStyle="1" w:styleId="TOCTitle">
    <w:name w:val="TOCTitle"/>
    <w:basedOn w:val="Heading1"/>
    <w:rsid w:val="00BD4555"/>
    <w:pPr>
      <w:spacing w:after="240"/>
      <w:jc w:val="center"/>
      <w:outlineLvl w:val="9"/>
    </w:pPr>
    <w:rPr>
      <w:caps/>
    </w:rPr>
  </w:style>
  <w:style w:type="paragraph" w:customStyle="1" w:styleId="Version">
    <w:name w:val="Version"/>
    <w:rsid w:val="00BD4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555"/>
    <w:pPr>
      <w:numPr>
        <w:numId w:val="13"/>
      </w:numPr>
      <w:tabs>
        <w:tab w:val="clear" w:pos="680"/>
      </w:tabs>
    </w:pPr>
  </w:style>
  <w:style w:type="paragraph" w:styleId="Index1">
    <w:name w:val="index 1"/>
    <w:basedOn w:val="Normal"/>
    <w:next w:val="Normal"/>
    <w:semiHidden/>
    <w:rsid w:val="00BD4555"/>
    <w:pPr>
      <w:keepNext w:val="0"/>
      <w:tabs>
        <w:tab w:val="right" w:pos="4176"/>
      </w:tabs>
      <w:ind w:left="198" w:hanging="198"/>
    </w:pPr>
    <w:rPr>
      <w:rFonts w:ascii="Garamond" w:hAnsi="Garamond"/>
    </w:rPr>
  </w:style>
  <w:style w:type="paragraph" w:styleId="IndexHeading">
    <w:name w:val="index heading"/>
    <w:basedOn w:val="Normal"/>
    <w:next w:val="Index1"/>
    <w:semiHidden/>
    <w:rsid w:val="00BD4555"/>
    <w:pPr>
      <w:spacing w:before="120" w:after="120"/>
    </w:pPr>
    <w:rPr>
      <w:rFonts w:ascii="Arial" w:hAnsi="Arial"/>
      <w:b/>
      <w:color w:val="918585"/>
      <w:sz w:val="24"/>
    </w:rPr>
  </w:style>
  <w:style w:type="paragraph" w:customStyle="1" w:styleId="Chapter">
    <w:name w:val="Chapter"/>
    <w:basedOn w:val="Normal"/>
    <w:rsid w:val="00BD4555"/>
    <w:pPr>
      <w:spacing w:before="240"/>
    </w:pPr>
    <w:rPr>
      <w:rFonts w:ascii="Times New Roman" w:hAnsi="Times New Roman"/>
      <w:smallCaps/>
      <w:spacing w:val="80"/>
      <w:sz w:val="28"/>
    </w:rPr>
  </w:style>
  <w:style w:type="paragraph" w:customStyle="1" w:styleId="InChapter">
    <w:name w:val="InChapter"/>
    <w:basedOn w:val="Heading3"/>
    <w:rsid w:val="00BD4555"/>
    <w:pPr>
      <w:spacing w:after="240"/>
      <w:outlineLvl w:val="9"/>
    </w:pPr>
    <w:rPr>
      <w:noProof/>
    </w:rPr>
  </w:style>
  <w:style w:type="paragraph" w:styleId="Index2">
    <w:name w:val="index 2"/>
    <w:basedOn w:val="Normal"/>
    <w:next w:val="Normal"/>
    <w:semiHidden/>
    <w:rsid w:val="00BD4555"/>
    <w:pPr>
      <w:tabs>
        <w:tab w:val="right" w:pos="4176"/>
      </w:tabs>
      <w:ind w:left="568" w:hanging="284"/>
    </w:pPr>
    <w:rPr>
      <w:rFonts w:ascii="Garamond" w:hAnsi="Garamond"/>
    </w:rPr>
  </w:style>
  <w:style w:type="paragraph" w:customStyle="1" w:styleId="Byline">
    <w:name w:val="Byline"/>
    <w:rsid w:val="00BD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555"/>
    <w:pPr>
      <w:tabs>
        <w:tab w:val="clear" w:pos="3600"/>
        <w:tab w:val="clear" w:pos="3958"/>
      </w:tabs>
      <w:jc w:val="right"/>
    </w:pPr>
  </w:style>
  <w:style w:type="character" w:styleId="Emphasis">
    <w:name w:val="Emphasis"/>
    <w:basedOn w:val="DefaultParagraphFont"/>
    <w:qFormat/>
    <w:rsid w:val="00BD4555"/>
    <w:rPr>
      <w:i/>
    </w:rPr>
  </w:style>
  <w:style w:type="paragraph" w:styleId="Caption">
    <w:name w:val="caption"/>
    <w:basedOn w:val="BodyText"/>
    <w:next w:val="Normal"/>
    <w:qFormat/>
    <w:rsid w:val="00BD4555"/>
    <w:pPr>
      <w:framePr w:w="2268" w:hSpace="181" w:vSpace="181" w:wrap="around" w:vAnchor="text" w:hAnchor="page" w:x="1135" w:y="285" w:anchorLock="1"/>
    </w:pPr>
    <w:rPr>
      <w:i/>
    </w:rPr>
  </w:style>
  <w:style w:type="paragraph" w:customStyle="1" w:styleId="MiniTOCTitle">
    <w:name w:val="MiniTOCTitle"/>
    <w:basedOn w:val="Heading4"/>
    <w:rsid w:val="00BD4555"/>
    <w:pPr>
      <w:spacing w:before="240"/>
      <w:outlineLvl w:val="9"/>
    </w:pPr>
    <w:rPr>
      <w:noProof/>
      <w:sz w:val="24"/>
    </w:rPr>
  </w:style>
  <w:style w:type="paragraph" w:customStyle="1" w:styleId="MiniTOCItem">
    <w:name w:val="MiniTOCItem"/>
    <w:basedOn w:val="ListBullet"/>
    <w:rsid w:val="00BD4555"/>
    <w:pPr>
      <w:numPr>
        <w:numId w:val="0"/>
      </w:numPr>
      <w:tabs>
        <w:tab w:val="right" w:leader="dot" w:pos="6521"/>
      </w:tabs>
      <w:spacing w:before="0" w:after="0"/>
    </w:pPr>
  </w:style>
  <w:style w:type="paragraph" w:customStyle="1" w:styleId="TOFTitle">
    <w:name w:val="TOFTitle"/>
    <w:basedOn w:val="TOCTitle"/>
    <w:rsid w:val="00BD4555"/>
  </w:style>
  <w:style w:type="paragraph" w:styleId="TableofFigures">
    <w:name w:val="table of figures"/>
    <w:basedOn w:val="Normal"/>
    <w:next w:val="Normal"/>
    <w:semiHidden/>
    <w:rsid w:val="00BD4555"/>
    <w:pPr>
      <w:tabs>
        <w:tab w:val="right" w:leader="dot" w:pos="9072"/>
      </w:tabs>
      <w:ind w:left="970" w:hanging="403"/>
    </w:pPr>
    <w:rPr>
      <w:rFonts w:ascii="Times New Roman" w:hAnsi="Times New Roman"/>
      <w:b/>
    </w:rPr>
  </w:style>
  <w:style w:type="paragraph" w:styleId="ListNumber">
    <w:name w:val="List Number"/>
    <w:basedOn w:val="List"/>
    <w:rsid w:val="00BD4555"/>
    <w:pPr>
      <w:numPr>
        <w:numId w:val="10"/>
      </w:numPr>
    </w:pPr>
  </w:style>
  <w:style w:type="character" w:customStyle="1" w:styleId="WingdingSymbols">
    <w:name w:val="Wingding Symbols"/>
    <w:rsid w:val="00BD4555"/>
    <w:rPr>
      <w:rFonts w:ascii="Wingdings" w:hAnsi="Wingdings"/>
    </w:rPr>
  </w:style>
  <w:style w:type="paragraph" w:customStyle="1" w:styleId="TableHeading">
    <w:name w:val="Table Heading"/>
    <w:basedOn w:val="HeadingBase"/>
    <w:rsid w:val="00BD4555"/>
    <w:pPr>
      <w:keepLines/>
      <w:pBdr>
        <w:bottom w:val="single" w:sz="6" w:space="1" w:color="918585"/>
      </w:pBdr>
      <w:spacing w:before="240"/>
    </w:pPr>
  </w:style>
  <w:style w:type="character" w:customStyle="1" w:styleId="HotSpot">
    <w:name w:val="HotSpot"/>
    <w:rsid w:val="00BD4555"/>
    <w:rPr>
      <w:color w:val="0033CC"/>
      <w:u w:val="none"/>
    </w:rPr>
  </w:style>
  <w:style w:type="paragraph" w:customStyle="1" w:styleId="BodyTextRight">
    <w:name w:val="Body Text Right"/>
    <w:basedOn w:val="BodyText"/>
    <w:rsid w:val="00BD4555"/>
    <w:pPr>
      <w:spacing w:before="0" w:after="0"/>
      <w:jc w:val="right"/>
    </w:pPr>
  </w:style>
  <w:style w:type="paragraph" w:styleId="Index3">
    <w:name w:val="index 3"/>
    <w:basedOn w:val="ListNumber2"/>
    <w:next w:val="Normal"/>
    <w:semiHidden/>
    <w:rsid w:val="00BD4555"/>
    <w:pPr>
      <w:numPr>
        <w:numId w:val="0"/>
      </w:numPr>
      <w:tabs>
        <w:tab w:val="right" w:leader="dot" w:pos="4176"/>
      </w:tabs>
    </w:pPr>
  </w:style>
  <w:style w:type="paragraph" w:styleId="ListNumber2">
    <w:name w:val="List Number 2"/>
    <w:basedOn w:val="List2"/>
    <w:rsid w:val="00BD4555"/>
    <w:pPr>
      <w:numPr>
        <w:numId w:val="9"/>
      </w:numPr>
      <w:tabs>
        <w:tab w:val="clear" w:pos="1060"/>
      </w:tabs>
    </w:pPr>
  </w:style>
  <w:style w:type="paragraph" w:customStyle="1" w:styleId="MarginNote">
    <w:name w:val="Margin Note"/>
    <w:basedOn w:val="BodyText"/>
    <w:rsid w:val="00BD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5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4555"/>
    <w:rPr>
      <w:sz w:val="32"/>
    </w:rPr>
  </w:style>
  <w:style w:type="paragraph" w:customStyle="1" w:styleId="HeadingProcedure">
    <w:name w:val="Heading Procedure"/>
    <w:basedOn w:val="HeadingBase"/>
    <w:next w:val="Normal"/>
    <w:rsid w:val="00BD4555"/>
    <w:pPr>
      <w:tabs>
        <w:tab w:val="left" w:pos="0"/>
      </w:tabs>
      <w:spacing w:before="120" w:after="60"/>
    </w:pPr>
    <w:rPr>
      <w:i/>
      <w:color w:val="918585"/>
      <w:sz w:val="22"/>
    </w:rPr>
  </w:style>
  <w:style w:type="paragraph" w:customStyle="1" w:styleId="TableBodyText">
    <w:name w:val="Table Body Text"/>
    <w:basedOn w:val="BodyText"/>
    <w:rsid w:val="00BD4555"/>
    <w:pPr>
      <w:spacing w:before="60" w:after="60"/>
    </w:pPr>
  </w:style>
  <w:style w:type="paragraph" w:styleId="ListContinue">
    <w:name w:val="List Continue"/>
    <w:basedOn w:val="List"/>
    <w:rsid w:val="00BD4555"/>
    <w:pPr>
      <w:ind w:firstLine="0"/>
    </w:pPr>
  </w:style>
  <w:style w:type="paragraph" w:customStyle="1" w:styleId="ListNote">
    <w:name w:val="List Note"/>
    <w:basedOn w:val="List"/>
    <w:rsid w:val="00BD4555"/>
    <w:pPr>
      <w:pBdr>
        <w:top w:val="single" w:sz="6" w:space="2" w:color="918585"/>
        <w:bottom w:val="single" w:sz="6" w:space="2" w:color="918585"/>
      </w:pBdr>
      <w:tabs>
        <w:tab w:val="left" w:pos="1021"/>
      </w:tabs>
      <w:ind w:firstLine="0"/>
    </w:pPr>
  </w:style>
  <w:style w:type="paragraph" w:customStyle="1" w:styleId="Warning">
    <w:name w:val="Warning"/>
    <w:basedOn w:val="BodyText"/>
    <w:rsid w:val="00BD4555"/>
    <w:pPr>
      <w:shd w:val="clear" w:color="auto" w:fill="D9D9D9"/>
      <w:tabs>
        <w:tab w:val="left" w:pos="992"/>
      </w:tabs>
      <w:ind w:left="119" w:right="119"/>
    </w:pPr>
    <w:rPr>
      <w:sz w:val="20"/>
    </w:rPr>
  </w:style>
  <w:style w:type="paragraph" w:customStyle="1" w:styleId="MarginIcons">
    <w:name w:val="Margin Icons"/>
    <w:basedOn w:val="BodyText"/>
    <w:rsid w:val="00BD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555"/>
    <w:rPr>
      <w:rFonts w:ascii="Courier New" w:hAnsi="Courier New"/>
    </w:rPr>
  </w:style>
  <w:style w:type="paragraph" w:customStyle="1" w:styleId="NoteBullet">
    <w:name w:val="Note Bullet"/>
    <w:basedOn w:val="Note"/>
    <w:rsid w:val="00BD4555"/>
    <w:pPr>
      <w:tabs>
        <w:tab w:val="clear" w:pos="680"/>
      </w:tabs>
      <w:spacing w:before="60" w:after="60"/>
    </w:pPr>
  </w:style>
  <w:style w:type="paragraph" w:customStyle="1" w:styleId="SubHeading2">
    <w:name w:val="SubHeading2"/>
    <w:basedOn w:val="HeadingBase"/>
    <w:rsid w:val="00BD4555"/>
    <w:pPr>
      <w:spacing w:before="240" w:after="60"/>
    </w:pPr>
    <w:rPr>
      <w:sz w:val="20"/>
    </w:rPr>
  </w:style>
  <w:style w:type="paragraph" w:customStyle="1" w:styleId="SubHeading1">
    <w:name w:val="SubHeading1"/>
    <w:basedOn w:val="HeadingBase"/>
    <w:rsid w:val="00BD4555"/>
    <w:pPr>
      <w:spacing w:before="240" w:after="60"/>
    </w:pPr>
    <w:rPr>
      <w:color w:val="918585"/>
      <w:sz w:val="22"/>
    </w:rPr>
  </w:style>
  <w:style w:type="paragraph" w:customStyle="1" w:styleId="SideHeading">
    <w:name w:val="Side Heading"/>
    <w:basedOn w:val="HeadingBase"/>
    <w:rsid w:val="00BD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555"/>
    <w:pPr>
      <w:tabs>
        <w:tab w:val="num" w:pos="360"/>
      </w:tabs>
    </w:pPr>
  </w:style>
  <w:style w:type="paragraph" w:styleId="PlainText">
    <w:name w:val="Plain Text"/>
    <w:basedOn w:val="Normal"/>
    <w:link w:val="PlainTextChar"/>
    <w:rsid w:val="00BD4555"/>
    <w:rPr>
      <w:sz w:val="20"/>
    </w:rPr>
  </w:style>
  <w:style w:type="character" w:customStyle="1" w:styleId="PlainTextChar">
    <w:name w:val="Plain Text Char"/>
    <w:basedOn w:val="DefaultParagraphFont"/>
    <w:link w:val="PlainText"/>
    <w:rsid w:val="00BD45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4555"/>
    <w:rPr>
      <w:b/>
      <w:smallCaps/>
    </w:rPr>
  </w:style>
  <w:style w:type="paragraph" w:customStyle="1" w:styleId="TableListNumber">
    <w:name w:val="Table List Number"/>
    <w:basedOn w:val="ListNumber"/>
    <w:rsid w:val="00BD4555"/>
    <w:pPr>
      <w:numPr>
        <w:numId w:val="0"/>
      </w:numPr>
    </w:pPr>
  </w:style>
  <w:style w:type="paragraph" w:styleId="TOC4">
    <w:name w:val="toc 4"/>
    <w:basedOn w:val="TOCBase"/>
    <w:next w:val="Normal"/>
    <w:semiHidden/>
    <w:rsid w:val="00BD4555"/>
    <w:pPr>
      <w:tabs>
        <w:tab w:val="right" w:leader="dot" w:pos="9071"/>
      </w:tabs>
      <w:ind w:left="1701"/>
    </w:pPr>
  </w:style>
  <w:style w:type="paragraph" w:customStyle="1" w:styleId="ListAlpha">
    <w:name w:val="List Alpha"/>
    <w:basedOn w:val="List"/>
    <w:rsid w:val="00BD4555"/>
    <w:pPr>
      <w:numPr>
        <w:numId w:val="8"/>
      </w:numPr>
    </w:pPr>
  </w:style>
  <w:style w:type="paragraph" w:customStyle="1" w:styleId="ListAlpha2">
    <w:name w:val="List Alpha 2"/>
    <w:basedOn w:val="List2"/>
    <w:rsid w:val="00BD4555"/>
    <w:pPr>
      <w:numPr>
        <w:numId w:val="7"/>
      </w:numPr>
    </w:pPr>
  </w:style>
  <w:style w:type="paragraph" w:styleId="List3">
    <w:name w:val="List 3"/>
    <w:basedOn w:val="BodyText"/>
    <w:rsid w:val="00BD4555"/>
    <w:pPr>
      <w:tabs>
        <w:tab w:val="left" w:pos="1021"/>
      </w:tabs>
      <w:spacing w:before="60" w:after="60"/>
      <w:ind w:left="1020" w:hanging="340"/>
    </w:pPr>
  </w:style>
  <w:style w:type="paragraph" w:styleId="List4">
    <w:name w:val="List 4"/>
    <w:basedOn w:val="BodyText"/>
    <w:rsid w:val="00BD4555"/>
    <w:pPr>
      <w:tabs>
        <w:tab w:val="left" w:pos="1361"/>
      </w:tabs>
      <w:spacing w:before="60" w:after="60"/>
      <w:ind w:left="1361" w:hanging="340"/>
    </w:pPr>
  </w:style>
  <w:style w:type="paragraph" w:styleId="List5">
    <w:name w:val="List 5"/>
    <w:basedOn w:val="BodyText"/>
    <w:rsid w:val="00BD4555"/>
    <w:pPr>
      <w:tabs>
        <w:tab w:val="left" w:pos="1701"/>
      </w:tabs>
      <w:spacing w:before="60" w:after="60"/>
      <w:ind w:left="1701" w:hanging="340"/>
    </w:pPr>
  </w:style>
  <w:style w:type="paragraph" w:styleId="ListBullet3">
    <w:name w:val="List Bullet 3"/>
    <w:basedOn w:val="List3"/>
    <w:rsid w:val="00BD4555"/>
    <w:pPr>
      <w:numPr>
        <w:numId w:val="14"/>
      </w:numPr>
      <w:tabs>
        <w:tab w:val="clear" w:pos="1021"/>
      </w:tabs>
      <w:ind w:left="1037" w:hanging="357"/>
    </w:pPr>
  </w:style>
  <w:style w:type="paragraph" w:styleId="ListBullet4">
    <w:name w:val="List Bullet 4"/>
    <w:basedOn w:val="List4"/>
    <w:rsid w:val="00BD4555"/>
    <w:pPr>
      <w:numPr>
        <w:numId w:val="2"/>
      </w:numPr>
    </w:pPr>
  </w:style>
  <w:style w:type="paragraph" w:styleId="ListBullet5">
    <w:name w:val="List Bullet 5"/>
    <w:basedOn w:val="List5"/>
    <w:rsid w:val="00BD4555"/>
    <w:pPr>
      <w:numPr>
        <w:numId w:val="3"/>
      </w:numPr>
    </w:pPr>
  </w:style>
  <w:style w:type="paragraph" w:styleId="ListContinue2">
    <w:name w:val="List Continue 2"/>
    <w:basedOn w:val="List2"/>
    <w:rsid w:val="00BD4555"/>
    <w:pPr>
      <w:ind w:firstLine="0"/>
    </w:pPr>
  </w:style>
  <w:style w:type="paragraph" w:styleId="ListContinue3">
    <w:name w:val="List Continue 3"/>
    <w:basedOn w:val="List3"/>
    <w:rsid w:val="00BD4555"/>
    <w:pPr>
      <w:ind w:left="1021" w:firstLine="0"/>
    </w:pPr>
  </w:style>
  <w:style w:type="paragraph" w:styleId="ListContinue4">
    <w:name w:val="List Continue 4"/>
    <w:basedOn w:val="List4"/>
    <w:rsid w:val="00BD4555"/>
    <w:pPr>
      <w:ind w:firstLine="0"/>
    </w:pPr>
  </w:style>
  <w:style w:type="paragraph" w:styleId="ListContinue5">
    <w:name w:val="List Continue 5"/>
    <w:basedOn w:val="List5"/>
    <w:rsid w:val="00BD4555"/>
    <w:pPr>
      <w:ind w:firstLine="0"/>
    </w:pPr>
  </w:style>
  <w:style w:type="paragraph" w:styleId="ListNumber3">
    <w:name w:val="List Number 3"/>
    <w:basedOn w:val="List3"/>
    <w:rsid w:val="00BD4555"/>
    <w:pPr>
      <w:numPr>
        <w:numId w:val="4"/>
      </w:numPr>
    </w:pPr>
  </w:style>
  <w:style w:type="paragraph" w:styleId="ListNumber4">
    <w:name w:val="List Number 4"/>
    <w:basedOn w:val="List4"/>
    <w:rsid w:val="00BD4555"/>
    <w:pPr>
      <w:numPr>
        <w:numId w:val="5"/>
      </w:numPr>
    </w:pPr>
  </w:style>
  <w:style w:type="paragraph" w:styleId="ListNumber5">
    <w:name w:val="List Number 5"/>
    <w:basedOn w:val="List5"/>
    <w:rsid w:val="00BD4555"/>
    <w:pPr>
      <w:numPr>
        <w:numId w:val="6"/>
      </w:numPr>
    </w:pPr>
  </w:style>
  <w:style w:type="paragraph" w:styleId="BlockText">
    <w:name w:val="Block Text"/>
    <w:basedOn w:val="Normal"/>
    <w:rsid w:val="00BD4555"/>
    <w:pPr>
      <w:spacing w:after="120"/>
      <w:ind w:left="1440" w:right="1440"/>
    </w:pPr>
  </w:style>
  <w:style w:type="character" w:customStyle="1" w:styleId="Subscript">
    <w:name w:val="Subscript"/>
    <w:basedOn w:val="DefaultParagraphFont"/>
    <w:rsid w:val="00BD4555"/>
    <w:rPr>
      <w:sz w:val="16"/>
      <w:vertAlign w:val="subscript"/>
    </w:rPr>
  </w:style>
  <w:style w:type="character" w:customStyle="1" w:styleId="Superscript">
    <w:name w:val="Superscript"/>
    <w:basedOn w:val="DefaultParagraphFont"/>
    <w:rsid w:val="00BD4555"/>
    <w:rPr>
      <w:sz w:val="16"/>
      <w:vertAlign w:val="superscript"/>
    </w:rPr>
  </w:style>
  <w:style w:type="character" w:customStyle="1" w:styleId="Symbols">
    <w:name w:val="Symbols"/>
    <w:basedOn w:val="DefaultParagraphFont"/>
    <w:rsid w:val="00BD4555"/>
    <w:rPr>
      <w:rFonts w:ascii="Symbol" w:hAnsi="Symbol"/>
    </w:rPr>
  </w:style>
  <w:style w:type="character" w:customStyle="1" w:styleId="MenuOptions">
    <w:name w:val="Menu Options"/>
    <w:basedOn w:val="DefaultParagraphFont"/>
    <w:rsid w:val="00BD4555"/>
    <w:rPr>
      <w:rFonts w:ascii="Arial Narrow" w:hAnsi="Arial Narrow"/>
      <w:smallCaps/>
    </w:rPr>
  </w:style>
  <w:style w:type="character" w:customStyle="1" w:styleId="Buttons">
    <w:name w:val="Buttons"/>
    <w:basedOn w:val="DefaultParagraphFont"/>
    <w:rsid w:val="00BD4555"/>
    <w:rPr>
      <w:b/>
    </w:rPr>
  </w:style>
  <w:style w:type="character" w:customStyle="1" w:styleId="Underlined">
    <w:name w:val="Underlined"/>
    <w:basedOn w:val="DefaultParagraphFont"/>
    <w:rsid w:val="00BD4555"/>
    <w:rPr>
      <w:u w:val="single"/>
    </w:rPr>
  </w:style>
  <w:style w:type="paragraph" w:customStyle="1" w:styleId="TableBodyTextRight">
    <w:name w:val="Table Body Text Right"/>
    <w:basedOn w:val="TableBodyText"/>
    <w:rsid w:val="00BD4555"/>
    <w:pPr>
      <w:widowControl w:val="0"/>
      <w:autoSpaceDE w:val="0"/>
      <w:autoSpaceDN w:val="0"/>
      <w:adjustRightInd w:val="0"/>
      <w:jc w:val="right"/>
    </w:pPr>
    <w:rPr>
      <w:rFonts w:cs="Arial"/>
      <w:szCs w:val="18"/>
    </w:rPr>
  </w:style>
  <w:style w:type="paragraph" w:customStyle="1" w:styleId="CopyrightText">
    <w:name w:val="Copyright Text"/>
    <w:basedOn w:val="BodyText"/>
    <w:rsid w:val="00BD4555"/>
    <w:rPr>
      <w:sz w:val="18"/>
    </w:rPr>
  </w:style>
  <w:style w:type="paragraph" w:customStyle="1" w:styleId="BodySmallRight">
    <w:name w:val="Body Small Right"/>
    <w:basedOn w:val="BodyTextRight"/>
    <w:rsid w:val="00BD4555"/>
    <w:rPr>
      <w:sz w:val="18"/>
      <w:szCs w:val="18"/>
    </w:rPr>
  </w:style>
  <w:style w:type="paragraph" w:customStyle="1" w:styleId="MarginEdition">
    <w:name w:val="Margin Edition"/>
    <w:basedOn w:val="MarginNote"/>
    <w:rsid w:val="00BD4555"/>
    <w:pPr>
      <w:spacing w:before="0" w:after="0"/>
    </w:pPr>
    <w:rPr>
      <w:rFonts w:ascii="Times New Roman" w:hAnsi="Times New Roman"/>
      <w:color w:val="999999"/>
    </w:rPr>
  </w:style>
  <w:style w:type="paragraph" w:customStyle="1" w:styleId="Spacer">
    <w:name w:val="Spacer"/>
    <w:basedOn w:val="Normal"/>
    <w:rsid w:val="00BD4555"/>
    <w:rPr>
      <w:sz w:val="2"/>
      <w:szCs w:val="2"/>
    </w:rPr>
  </w:style>
  <w:style w:type="character" w:customStyle="1" w:styleId="Small">
    <w:name w:val="Small"/>
    <w:basedOn w:val="DefaultParagraphFont"/>
    <w:rsid w:val="00BD4555"/>
    <w:rPr>
      <w:sz w:val="16"/>
    </w:rPr>
  </w:style>
  <w:style w:type="paragraph" w:customStyle="1" w:styleId="WideTable">
    <w:name w:val="Wide Table"/>
    <w:basedOn w:val="Normal"/>
    <w:rsid w:val="00BD4555"/>
    <w:pPr>
      <w:ind w:left="-1418"/>
    </w:pPr>
    <w:rPr>
      <w:sz w:val="2"/>
      <w:szCs w:val="2"/>
    </w:rPr>
  </w:style>
  <w:style w:type="character" w:styleId="PageNumber">
    <w:name w:val="page number"/>
    <w:basedOn w:val="DefaultParagraphFont"/>
    <w:rsid w:val="00BD4555"/>
  </w:style>
  <w:style w:type="paragraph" w:styleId="Quote">
    <w:name w:val="Quote"/>
    <w:basedOn w:val="Heading1"/>
    <w:link w:val="QuoteChar"/>
    <w:qFormat/>
    <w:rsid w:val="00BD4555"/>
    <w:rPr>
      <w:b w:val="0"/>
      <w:sz w:val="72"/>
      <w:szCs w:val="72"/>
      <w:lang w:val="en-NZ"/>
    </w:rPr>
  </w:style>
  <w:style w:type="character" w:customStyle="1" w:styleId="QuoteChar">
    <w:name w:val="Quote Char"/>
    <w:basedOn w:val="DefaultParagraphFont"/>
    <w:link w:val="Quote"/>
    <w:rsid w:val="00BD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555"/>
    <w:pPr>
      <w:pageBreakBefore/>
    </w:pPr>
  </w:style>
  <w:style w:type="paragraph" w:customStyle="1" w:styleId="Border">
    <w:name w:val="Border"/>
    <w:basedOn w:val="Normal"/>
    <w:qFormat/>
    <w:rsid w:val="00BD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555"/>
    <w:rPr>
      <w:b/>
      <w:bCs/>
      <w:i/>
      <w:iCs/>
      <w:color w:val="auto"/>
    </w:rPr>
  </w:style>
  <w:style w:type="paragraph" w:styleId="IntenseQuote">
    <w:name w:val="Intense Quote"/>
    <w:basedOn w:val="Normal"/>
    <w:next w:val="Normal"/>
    <w:link w:val="IntenseQuoteChar"/>
    <w:uiPriority w:val="30"/>
    <w:qFormat/>
    <w:rsid w:val="00BD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5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4555"/>
    <w:rPr>
      <w:smallCaps/>
      <w:color w:val="auto"/>
      <w:u w:val="single"/>
    </w:rPr>
  </w:style>
  <w:style w:type="character" w:styleId="IntenseReference">
    <w:name w:val="Intense Reference"/>
    <w:basedOn w:val="DefaultParagraphFont"/>
    <w:uiPriority w:val="32"/>
    <w:qFormat/>
    <w:rsid w:val="00BD4555"/>
    <w:rPr>
      <w:b/>
      <w:bCs/>
      <w:smallCaps/>
      <w:color w:val="auto"/>
      <w:spacing w:val="5"/>
      <w:u w:val="single"/>
    </w:rPr>
  </w:style>
  <w:style w:type="paragraph" w:customStyle="1" w:styleId="2ColumnHeading">
    <w:name w:val="2Column Heading"/>
    <w:basedOn w:val="BodyText"/>
    <w:qFormat/>
    <w:rsid w:val="00BD4555"/>
    <w:pPr>
      <w:spacing w:after="60"/>
      <w:ind w:left="-2268"/>
    </w:pPr>
    <w:rPr>
      <w:b/>
    </w:rPr>
  </w:style>
  <w:style w:type="paragraph" w:customStyle="1" w:styleId="Heading1TOC">
    <w:name w:val="Heading1 TOC"/>
    <w:basedOn w:val="Normal"/>
    <w:qFormat/>
    <w:rsid w:val="00BD4555"/>
    <w:pPr>
      <w:spacing w:before="240" w:after="120"/>
    </w:pPr>
    <w:rPr>
      <w:rFonts w:ascii="Times New Roman" w:hAnsi="Times New Roman"/>
      <w:b/>
      <w:sz w:val="32"/>
    </w:rPr>
  </w:style>
  <w:style w:type="paragraph" w:customStyle="1" w:styleId="Heading2TOC">
    <w:name w:val="Heading2 TOC"/>
    <w:basedOn w:val="Normal"/>
    <w:qFormat/>
    <w:rsid w:val="00BD4555"/>
    <w:pPr>
      <w:spacing w:before="240" w:after="60"/>
    </w:pPr>
    <w:rPr>
      <w:rFonts w:ascii="Times New Roman" w:hAnsi="Times New Roman"/>
      <w:b/>
      <w:sz w:val="28"/>
    </w:rPr>
  </w:style>
  <w:style w:type="character" w:customStyle="1" w:styleId="Underline">
    <w:name w:val="Underline"/>
    <w:basedOn w:val="DefaultParagraphFont"/>
    <w:qFormat/>
    <w:rsid w:val="00BD4555"/>
    <w:rPr>
      <w:u w:val="single"/>
    </w:rPr>
  </w:style>
  <w:style w:type="character" w:customStyle="1" w:styleId="BoldandItalics">
    <w:name w:val="Bold and Italics"/>
    <w:qFormat/>
    <w:rsid w:val="00BD4555"/>
    <w:rPr>
      <w:b/>
      <w:i/>
      <w:u w:val="none"/>
    </w:rPr>
  </w:style>
  <w:style w:type="paragraph" w:styleId="BalloonText">
    <w:name w:val="Balloon Text"/>
    <w:basedOn w:val="Normal"/>
    <w:link w:val="BalloonTextChar"/>
    <w:rsid w:val="00BD4555"/>
    <w:rPr>
      <w:rFonts w:ascii="Tahoma" w:hAnsi="Tahoma" w:cs="Tahoma"/>
      <w:sz w:val="16"/>
      <w:szCs w:val="16"/>
    </w:rPr>
  </w:style>
  <w:style w:type="character" w:customStyle="1" w:styleId="BalloonTextChar">
    <w:name w:val="Balloon Text Char"/>
    <w:basedOn w:val="DefaultParagraphFont"/>
    <w:link w:val="BalloonText"/>
    <w:rsid w:val="00BD45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4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5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1276</Words>
  <Characters>8021</Characters>
  <Application>Microsoft Office Word</Application>
  <DocSecurity>0</DocSecurity>
  <Lines>261</Lines>
  <Paragraphs>115</Paragraphs>
  <ScaleCrop>false</ScaleCrop>
  <Company>Author-it Software Corporation Ltd.</Company>
  <LinksUpToDate>false</LinksUpToDate>
  <CharactersWithSpaces>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MEM24002B Perform penetrant testing</dc:title>
  <dc:subject>Approved</dc:subject>
  <dc:creator>Manufacturing Skills Australia</dc:creator>
  <cp:keywords>Release: 2</cp:keywords>
  <dc:description>Copyright © 1996-2007 Author-it Software Corporation Ltd., all rights reserved.</dc:description>
  <cp:lastModifiedBy>Dennis Urbans</cp:lastModifiedBy>
  <cp:revision>3</cp:revision>
  <dcterms:created xsi:type="dcterms:W3CDTF">2012-05-27T02:10:00Z</dcterms:created>
  <dcterms:modified xsi:type="dcterms:W3CDTF">2012-05-27T02:10:00Z</dcterms:modified>
</cp:coreProperties>
</file>