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1D82" w:rsidP="00B01D82">
      <w:pPr>
        <w:pStyle w:val="Title"/>
      </w:pPr>
      <w:bookmarkStart w:id="0" w:name="_GoBack"/>
      <w:bookmarkEnd w:id="0"/>
      <w:r>
        <w:fldChar w:fldCharType="begin"/>
      </w:r>
      <w:r>
        <w:instrText xml:space="preserve"> TITLE   \* MERGEFORMAT </w:instrText>
      </w:r>
      <w:r>
        <w:fldChar w:fldCharType="separate"/>
      </w:r>
      <w:r>
        <w:t xml:space="preserve">MEM234031A Manage installation, commissioning or modification of machines and equipment </w:t>
      </w:r>
      <w:r>
        <w:fldChar w:fldCharType="end"/>
      </w:r>
    </w:p>
    <w:p w:rsidR="00B01D82" w:rsidP="00B01D82">
      <w:pPr>
        <w:pStyle w:val="Version"/>
        <w:sectPr w:rsidSect="00A402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02EE" w:rsidP="00A402EE">
      <w:pPr>
        <w:pStyle w:val="SuperHeading"/>
      </w:pPr>
      <w:r w:rsidRPr="00A402EE">
        <w:t xml:space="preserve">MEM234031A Manage installation, commissioning or modification of machines and equipment </w:t>
      </w:r>
    </w:p>
    <w:p w:rsidR="00000000" w:rsidRPr="00A402EE" w:rsidP="00A402EE">
      <w:pPr>
        <w:pStyle w:val="Heading1"/>
      </w:pPr>
      <w:bookmarkStart w:id="1" w:name="O_397403"/>
      <w:bookmarkEnd w:id="1"/>
      <w:r w:rsidRPr="00A402EE">
        <w:t>Modification History</w:t>
      </w:r>
    </w:p>
    <w:p w:rsidR="00000000" w:rsidRPr="00A402EE" w:rsidP="00A402EE">
      <w:pPr>
        <w:pStyle w:val="BodyText"/>
      </w:pPr>
      <w:r w:rsidRPr="00A402EE">
        <w:t>New unit</w:t>
      </w:r>
    </w:p>
    <w:p w:rsidR="00000000" w:rsidRPr="00A402EE" w:rsidP="00A402EE">
      <w:pPr>
        <w:pStyle w:val="AllowPageBreak"/>
      </w:pPr>
    </w:p>
    <w:p w:rsidR="00000000" w:rsidRPr="00A402EE" w:rsidP="00A402EE">
      <w:pPr>
        <w:pStyle w:val="Heading1"/>
      </w:pPr>
      <w:bookmarkStart w:id="2" w:name="O_397404"/>
      <w:bookmarkEnd w:id="2"/>
      <w:r w:rsidRPr="00A402EE">
        <w:t>Unit Descripto</w:t>
      </w:r>
      <w:r w:rsidRPr="00A402EE">
        <w:t>r</w:t>
      </w:r>
    </w:p>
    <w:p w:rsidR="00000000" w:rsidRPr="00A402EE" w:rsidP="00A402EE">
      <w:pPr>
        <w:pStyle w:val="BodyText"/>
      </w:pPr>
      <w:r w:rsidRPr="00A402EE">
        <w:t xml:space="preserve">This unit of competency covers the skills and knowledge required to provide the technical leadership role in the installation, commissioning or modification of machines and equipment. It includes interpreting manufacturer specifications, implications of </w:t>
      </w:r>
      <w:r w:rsidRPr="00A402EE">
        <w:t xml:space="preserve">relevant regulations, internal or external client brief, liaison with designers, and ensuring that team members are aware of technical and performance requirements. </w:t>
      </w:r>
    </w:p>
    <w:p w:rsidR="00000000" w:rsidRPr="00A402EE" w:rsidP="00A402EE">
      <w:pPr>
        <w:pStyle w:val="AllowPageBreak"/>
      </w:pPr>
    </w:p>
    <w:p w:rsidR="00000000" w:rsidRPr="00A402EE" w:rsidP="00A402EE">
      <w:pPr>
        <w:pStyle w:val="Heading1"/>
      </w:pPr>
      <w:bookmarkStart w:id="3" w:name="O_397405"/>
      <w:bookmarkEnd w:id="3"/>
      <w:r w:rsidRPr="00A402EE">
        <w:t>Application of the Unit</w:t>
      </w:r>
    </w:p>
    <w:p w:rsidR="00000000" w:rsidRPr="00A402EE" w:rsidP="00A402EE">
      <w:pPr>
        <w:pStyle w:val="BodyText"/>
      </w:pPr>
      <w:r w:rsidRPr="00A402EE">
        <w:t>This unit applies to the installation, commission</w:t>
      </w:r>
      <w:r w:rsidRPr="00A402EE">
        <w:t xml:space="preserve">ing or modification of significant machines and equipment across all forms of manufacturing and engineering. The unit applies to individuals who are required to provide high level technical leadership to other members in the installation, commissioning or </w:t>
      </w:r>
      <w:r w:rsidRPr="00A402EE">
        <w:t xml:space="preserve">modification team. The other members of the team will normally include engineering tradespersons and may also include technicians and production personnel. </w:t>
      </w:r>
    </w:p>
    <w:p w:rsidR="00000000" w:rsidRPr="00A402EE" w:rsidP="00A402EE">
      <w:pPr>
        <w:pStyle w:val="BodyText"/>
      </w:pPr>
    </w:p>
    <w:p w:rsidR="00000000" w:rsidRPr="00A402EE" w:rsidP="00A402EE">
      <w:pPr>
        <w:pStyle w:val="BodyText"/>
      </w:pPr>
      <w:r w:rsidRPr="00A402EE">
        <w:t>The unit complements the more general technical leadership and management skills found in MEM23400</w:t>
      </w:r>
      <w:r w:rsidRPr="00A402EE">
        <w:t>1A Plan and manage engineering-related projects or operations. Informal technical or engineering advice situations are covered by the unit MEM234030A Provide specialised technical and engineering guidance to other technical employees.</w:t>
      </w:r>
    </w:p>
    <w:p w:rsidR="00000000" w:rsidRPr="00A402EE" w:rsidP="00A402EE">
      <w:pPr>
        <w:pStyle w:val="BodyText"/>
      </w:pPr>
    </w:p>
    <w:p w:rsidR="00000000" w:rsidRPr="00A402EE" w:rsidP="00A402EE">
      <w:pPr>
        <w:pStyle w:val="BodyText"/>
      </w:pPr>
      <w:r w:rsidRPr="00A402EE">
        <w:t>This unit does not s</w:t>
      </w:r>
      <w:r w:rsidRPr="00A402EE">
        <w:t>upply all technical skills and knowledge required for machine and equipment installation, commissioning or modification tasks. The required technical skills will depend on the particular task and will normally be covered through selection of relevant techn</w:t>
      </w:r>
      <w:r w:rsidRPr="00A402EE">
        <w:t xml:space="preserve">ical units as well as the combined skills and knowledge of the team. However, the unit presumes engineering skills and knowledge to at least Advanced Diploma level. </w:t>
      </w:r>
    </w:p>
    <w:p w:rsidR="00000000" w:rsidRPr="00A402EE" w:rsidP="00A402EE">
      <w:pPr>
        <w:pStyle w:val="AllowPageBreak"/>
      </w:pPr>
    </w:p>
    <w:p w:rsidR="00000000" w:rsidRPr="00A402EE" w:rsidP="00A402EE">
      <w:pPr>
        <w:pStyle w:val="Heading1"/>
      </w:pPr>
      <w:bookmarkStart w:id="4" w:name="O_397406"/>
      <w:bookmarkEnd w:id="4"/>
      <w:r w:rsidRPr="00A402EE">
        <w:t>Licensing/Regulatory Information</w:t>
      </w:r>
    </w:p>
    <w:p w:rsidR="00000000" w:rsidRPr="00A402EE" w:rsidP="00A402EE">
      <w:pPr>
        <w:pStyle w:val="BodyText"/>
      </w:pPr>
      <w:r w:rsidRPr="00A402EE">
        <w:t>Not applicable.</w:t>
      </w:r>
    </w:p>
    <w:p w:rsidR="00000000" w:rsidRPr="00A402EE" w:rsidP="00A402EE">
      <w:pPr>
        <w:pStyle w:val="AllowPageBreak"/>
      </w:pPr>
    </w:p>
    <w:p w:rsidR="00000000" w:rsidRPr="00A402EE" w:rsidP="00A402EE">
      <w:pPr>
        <w:pStyle w:val="Heading1"/>
      </w:pPr>
      <w:bookmarkStart w:id="5" w:name="O_397407"/>
      <w:bookmarkEnd w:id="5"/>
      <w:r w:rsidRPr="00A402EE">
        <w:t>Pre-Requisites</w:t>
      </w:r>
    </w:p>
    <w:p w:rsidR="00000000" w:rsidRPr="00A402EE" w:rsidP="00A402EE">
      <w:pPr>
        <w:pStyle w:val="BodyText"/>
      </w:pPr>
      <w:r w:rsidRPr="00A402EE">
        <w:t>Not applicable.</w:t>
      </w:r>
    </w:p>
    <w:p w:rsidR="00000000" w:rsidRPr="00A402EE" w:rsidP="00A402EE">
      <w:pPr>
        <w:pStyle w:val="AllowPageBreak"/>
      </w:pPr>
    </w:p>
    <w:p w:rsidR="00000000" w:rsidRPr="00A402EE" w:rsidP="00A402EE">
      <w:pPr>
        <w:pStyle w:val="Heading1"/>
      </w:pPr>
      <w:bookmarkStart w:id="6" w:name="O_397408"/>
      <w:bookmarkEnd w:id="6"/>
      <w:r w:rsidRPr="00A402EE">
        <w:t>Employability Skills Information</w:t>
      </w:r>
    </w:p>
    <w:p w:rsidR="00000000" w:rsidRPr="00A402EE" w:rsidP="00A402EE">
      <w:pPr>
        <w:pStyle w:val="BodyText"/>
      </w:pPr>
      <w:r w:rsidRPr="00A402EE">
        <w:t>This unit contains employability skills.</w:t>
      </w:r>
    </w:p>
    <w:p w:rsidR="00000000" w:rsidRPr="00A402EE" w:rsidP="00A402EE">
      <w:pPr>
        <w:pStyle w:val="AllowPageBreak"/>
      </w:pPr>
    </w:p>
    <w:p w:rsidR="00000000" w:rsidRPr="00A402EE" w:rsidP="00A402EE">
      <w:pPr>
        <w:pStyle w:val="Heading1"/>
      </w:pPr>
      <w:bookmarkStart w:id="7" w:name="O_397409"/>
      <w:bookmarkEnd w:id="7"/>
      <w:r w:rsidRPr="00A402EE">
        <w:t>Elements and Performance Criteria Pre-Content</w:t>
      </w:r>
    </w:p>
    <w:tbl>
      <w:tblPr>
        <w:tblW w:w="0" w:type="auto"/>
        <w:tblLayout w:type="fixed"/>
        <w:tblCellMar>
          <w:left w:w="62" w:type="dxa"/>
          <w:right w:w="62" w:type="dxa"/>
        </w:tblCellMar>
        <w:tblLook w:val="0000"/>
      </w:tblPr>
      <w:tblGrid>
        <w:gridCol w:w="2640"/>
        <w:gridCol w:w="6380"/>
      </w:tblGrid>
      <w:tr w:rsidTr="00A402E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Perfo</w:t>
            </w:r>
            <w:r w:rsidRPr="00A402EE">
              <w:t>rmance criteria describe the performance needed to demonstrate achievement of the element. Where bold italicised text is used, further information is detailed in the required skills and knowledge section and the range statement. Assessment of performance i</w:t>
            </w:r>
            <w:r w:rsidRPr="00A402EE">
              <w:t>s to be consistent with the evidence guide.</w:t>
            </w:r>
          </w:p>
        </w:tc>
      </w:tr>
    </w:tbl>
    <w:p w:rsidR="00000000" w:rsidRPr="00A402EE" w:rsidP="00A402EE">
      <w:pPr>
        <w:pStyle w:val="BodyText"/>
      </w:pPr>
    </w:p>
    <w:p w:rsidR="00000000" w:rsidRPr="00A402EE" w:rsidP="00A402EE">
      <w:pPr>
        <w:pStyle w:val="AllowPageBreak"/>
      </w:pPr>
    </w:p>
    <w:p w:rsidR="00000000" w:rsidRPr="00A402EE" w:rsidP="00A402EE">
      <w:pPr>
        <w:pStyle w:val="Heading1"/>
      </w:pPr>
      <w:bookmarkStart w:id="8" w:name="O_397410"/>
      <w:bookmarkEnd w:id="8"/>
      <w:r w:rsidRPr="00A402E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1</w:t>
            </w:r>
          </w:p>
        </w:tc>
        <w:tc>
          <w:tcPr>
            <w:tcW w:w="1962" w:type="dxa"/>
            <w:vMerge w:val="restart"/>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Identify scope of machine installation, commissioning or modification task</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1.1</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Examine machine and equipment drawings, manufacturer’s manuals and other tech</w:t>
            </w:r>
            <w:r w:rsidRPr="00A402EE">
              <w:t>nical data on machines and equipment</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1.2</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Determine performance and production requirements expected from machines and equipment after installation, commissioning or modification</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1.3</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Determine relevant regulatory requirements</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1.4</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Inspect site and determine appropriateness of structural supports, ventilation, services, security and other critical requirements</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1.5</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 xml:space="preserve">Determine mechanical, electrical, fabrication and machine control skills and task requirements </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1.6</w:t>
            </w:r>
          </w:p>
        </w:tc>
        <w:tc>
          <w:tcPr>
            <w:tcW w:w="5610" w:type="dxa"/>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 xml:space="preserve">Produce or review installation, commissioning or modification schedule </w:t>
            </w:r>
          </w:p>
        </w:tc>
      </w:tr>
    </w:tbl>
    <w:p w:rsidR="00000000" w:rsidRPr="00A402EE" w:rsidP="00A402EE">
      <w:pPr>
        <w:pStyle w:val="BodyText"/>
      </w:pPr>
    </w:p>
    <w:tbl>
      <w:tblPr>
        <w:tblW w:w="0" w:type="auto"/>
        <w:tblLayout w:type="fixed"/>
        <w:tblCellMar>
          <w:left w:w="62" w:type="dxa"/>
          <w:right w:w="62" w:type="dxa"/>
        </w:tblCellMar>
        <w:tblLook w:val="0000"/>
      </w:tblPr>
      <w:tblGrid>
        <w:gridCol w:w="678"/>
        <w:gridCol w:w="1962"/>
        <w:gridCol w:w="770"/>
        <w:gridCol w:w="5610"/>
      </w:tblGrid>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2</w:t>
            </w:r>
          </w:p>
        </w:tc>
        <w:tc>
          <w:tcPr>
            <w:tcW w:w="1962" w:type="dxa"/>
            <w:vMerge w:val="restart"/>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Brief team on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2.1</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Distribute and discuss drawings, schedules, and major materials and equipment with team</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2.2</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Arrange for request for further information (RFIs) with designers, where required</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2.3</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Brief team on key compliance and risk factors, including regulatory, occupational health and safety (OHS) and environmental requirements</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2.4</w:t>
            </w:r>
          </w:p>
        </w:tc>
        <w:tc>
          <w:tcPr>
            <w:tcW w:w="5610" w:type="dxa"/>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Agree with team on crit</w:t>
            </w:r>
            <w:r w:rsidRPr="00A402EE">
              <w:t>ical control points and reporting requirements</w:t>
            </w:r>
          </w:p>
        </w:tc>
      </w:tr>
    </w:tbl>
    <w:p w:rsidR="00000000" w:rsidRPr="00A402EE" w:rsidP="00A402EE">
      <w:pPr>
        <w:pStyle w:val="BodyText"/>
      </w:pPr>
    </w:p>
    <w:tbl>
      <w:tblPr>
        <w:tblW w:w="0" w:type="auto"/>
        <w:tblLayout w:type="fixed"/>
        <w:tblCellMar>
          <w:left w:w="62" w:type="dxa"/>
          <w:right w:w="62" w:type="dxa"/>
        </w:tblCellMar>
        <w:tblLook w:val="0000"/>
      </w:tblPr>
      <w:tblGrid>
        <w:gridCol w:w="678"/>
        <w:gridCol w:w="1962"/>
        <w:gridCol w:w="770"/>
        <w:gridCol w:w="5610"/>
      </w:tblGrid>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3</w:t>
            </w:r>
          </w:p>
        </w:tc>
        <w:tc>
          <w:tcPr>
            <w:tcW w:w="1962" w:type="dxa"/>
            <w:vMerge w:val="restart"/>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Commence installation, commissioning or modification task</w:t>
            </w: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3.1</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Supervise machine and equipment shutdowns required for task</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3.2</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Supervise unloading of any new machines, equipment and materials required for task</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3.3</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Check and determine that supply of services to work are adequate for task commencement</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3.4</w:t>
            </w:r>
          </w:p>
        </w:tc>
        <w:tc>
          <w:tcPr>
            <w:tcW w:w="5610" w:type="dxa"/>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Ensure all tradespersons have correct drawings</w:t>
            </w:r>
          </w:p>
        </w:tc>
      </w:tr>
    </w:tbl>
    <w:p w:rsidR="00000000" w:rsidRPr="00A402EE" w:rsidP="00A402EE">
      <w:pPr>
        <w:pStyle w:val="BodyText"/>
      </w:pPr>
    </w:p>
    <w:tbl>
      <w:tblPr>
        <w:tblW w:w="0" w:type="auto"/>
        <w:tblLayout w:type="fixed"/>
        <w:tblCellMar>
          <w:left w:w="62" w:type="dxa"/>
          <w:right w:w="62" w:type="dxa"/>
        </w:tblCellMar>
        <w:tblLook w:val="0000"/>
      </w:tblPr>
      <w:tblGrid>
        <w:gridCol w:w="678"/>
        <w:gridCol w:w="1962"/>
        <w:gridCol w:w="770"/>
        <w:gridCol w:w="5610"/>
      </w:tblGrid>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4</w:t>
            </w:r>
          </w:p>
        </w:tc>
        <w:tc>
          <w:tcPr>
            <w:tcW w:w="1962" w:type="dxa"/>
            <w:vMerge w:val="restart"/>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Monitor progress and deal with contingencies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4.1</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Establish procedures to ensure assembly and connections are against drawing specifications</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4.2</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Ensure electrical, fluid power, and control systems and circuits are consistent with specifications and regulations</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4.3</w:t>
            </w:r>
          </w:p>
        </w:tc>
        <w:tc>
          <w:tcPr>
            <w:tcW w:w="5610" w:type="dxa"/>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 xml:space="preserve">Identify problems and contingencies and establish and rectify root cause </w:t>
            </w:r>
          </w:p>
        </w:tc>
      </w:tr>
    </w:tbl>
    <w:p w:rsidR="00000000" w:rsidRPr="00A402EE" w:rsidP="00A402EE">
      <w:pPr>
        <w:pStyle w:val="BodyText"/>
      </w:pPr>
    </w:p>
    <w:tbl>
      <w:tblPr>
        <w:tblW w:w="0" w:type="auto"/>
        <w:tblLayout w:type="fixed"/>
        <w:tblCellMar>
          <w:left w:w="62" w:type="dxa"/>
          <w:right w:w="62" w:type="dxa"/>
        </w:tblCellMar>
        <w:tblLook w:val="0000"/>
      </w:tblPr>
      <w:tblGrid>
        <w:gridCol w:w="678"/>
        <w:gridCol w:w="1962"/>
        <w:gridCol w:w="770"/>
        <w:gridCol w:w="5610"/>
      </w:tblGrid>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5</w:t>
            </w:r>
          </w:p>
        </w:tc>
        <w:tc>
          <w:tcPr>
            <w:tcW w:w="1962" w:type="dxa"/>
            <w:vMerge w:val="restart"/>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Finalise installation, commissioning or modification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5</w:t>
            </w:r>
            <w:r w:rsidRPr="00A402EE">
              <w:t>.1</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Conduct final check to ensure installation, commissioning or modification is consistent with drawings, manufacturer manuals and any regulatory requirements</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5.2</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 xml:space="preserve">Conduct test run of equipment </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5.3</w:t>
            </w:r>
          </w:p>
        </w:tc>
        <w:tc>
          <w:tcPr>
            <w:tcW w:w="5610" w:type="dxa"/>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Identify and correct any malfunctions or errors in required output</w:t>
            </w:r>
          </w:p>
        </w:tc>
      </w:tr>
    </w:tbl>
    <w:p w:rsidR="00000000" w:rsidRPr="00A402EE" w:rsidP="00A402EE">
      <w:pPr>
        <w:pStyle w:val="BodyText"/>
      </w:pPr>
    </w:p>
    <w:tbl>
      <w:tblPr>
        <w:tblW w:w="0" w:type="auto"/>
        <w:tblLayout w:type="fixed"/>
        <w:tblCellMar>
          <w:left w:w="62" w:type="dxa"/>
          <w:right w:w="62" w:type="dxa"/>
        </w:tblCellMar>
        <w:tblLook w:val="0000"/>
      </w:tblPr>
      <w:tblGrid>
        <w:gridCol w:w="678"/>
        <w:gridCol w:w="1962"/>
        <w:gridCol w:w="770"/>
        <w:gridCol w:w="5610"/>
      </w:tblGrid>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6</w:t>
            </w:r>
          </w:p>
        </w:tc>
        <w:tc>
          <w:tcPr>
            <w:tcW w:w="1962" w:type="dxa"/>
            <w:vMerge w:val="restart"/>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Conduct handover and finalise documentation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6.1</w:t>
            </w:r>
          </w:p>
        </w:tc>
        <w:tc>
          <w:tcPr>
            <w:tcW w:w="561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Brief client and operators on machine or equipment operation after installation</w:t>
            </w:r>
          </w:p>
        </w:tc>
      </w:tr>
      <w:tr w:rsidTr="00A402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6.2</w:t>
            </w:r>
          </w:p>
        </w:tc>
        <w:tc>
          <w:tcPr>
            <w:tcW w:w="5610" w:type="dxa"/>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Prepare and submit any required reports on installation, commissioning or modification</w:t>
            </w:r>
          </w:p>
        </w:tc>
      </w:tr>
    </w:tbl>
    <w:p w:rsidR="00B01D82" w:rsidP="00A402EE">
      <w:pPr>
        <w:pStyle w:val="BodyText"/>
      </w:pPr>
    </w:p>
    <w:p w:rsidR="00B01D82" w:rsidP="00A402EE">
      <w:pPr>
        <w:pStyle w:val="BodyText"/>
      </w:pPr>
    </w:p>
    <w:p w:rsidR="00000000" w:rsidRPr="00A402EE" w:rsidP="00A402EE">
      <w:pPr>
        <w:pStyle w:val="Heading1"/>
      </w:pPr>
      <w:bookmarkStart w:id="9" w:name="O_397411"/>
      <w:bookmarkEnd w:id="9"/>
      <w:r w:rsidRPr="00A402EE">
        <w:t>Required Skills and Knowledge</w:t>
      </w:r>
    </w:p>
    <w:tbl>
      <w:tblPr>
        <w:tblW w:w="9462" w:type="dxa"/>
        <w:tblLayout w:type="fixed"/>
        <w:tblCellMar>
          <w:left w:w="62" w:type="dxa"/>
          <w:right w:w="62" w:type="dxa"/>
        </w:tblCellMar>
        <w:tblLook w:val="0000"/>
      </w:tblPr>
      <w:tblGrid>
        <w:gridCol w:w="9462"/>
      </w:tblGrid>
      <w:tr w:rsidTr="00A402E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t>This section describes the skills and knowledge required for this unit.</w:t>
            </w:r>
          </w:p>
        </w:tc>
      </w:tr>
      <w:tr w:rsidTr="00A402E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rPr>
                <w:rStyle w:val="SpecialBold"/>
              </w:rPr>
              <w:t>Required skills</w:t>
            </w:r>
          </w:p>
        </w:tc>
      </w:tr>
      <w:tr w:rsidTr="00A402E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Required skills include:</w:t>
            </w:r>
          </w:p>
          <w:p w:rsidR="00000000" w:rsidRPr="00A402EE" w:rsidP="00A402EE">
            <w:pPr>
              <w:pStyle w:val="ListBullet"/>
            </w:pPr>
            <w:r w:rsidRPr="00A402EE">
              <w:t>performing responsibilities in priority order in accordance with implementation schedules</w:t>
            </w:r>
          </w:p>
          <w:p w:rsidR="00000000" w:rsidRPr="00A402EE" w:rsidP="00A402EE">
            <w:pPr>
              <w:pStyle w:val="ListBullet"/>
            </w:pPr>
            <w:r w:rsidRPr="00A402EE">
              <w:t>investigating and validating performance analysis, modelling and simulation software</w:t>
            </w:r>
          </w:p>
          <w:p w:rsidR="00000000" w:rsidRPr="00A402EE" w:rsidP="00A402EE">
            <w:pPr>
              <w:pStyle w:val="ListBullet"/>
            </w:pPr>
            <w:r w:rsidRPr="00A402EE">
              <w:t>interpreting machine and equipment design and detailed drawings, including the ab</w:t>
            </w:r>
            <w:r w:rsidRPr="00A402EE">
              <w:t>ility to:</w:t>
            </w:r>
          </w:p>
          <w:p w:rsidR="00000000" w:rsidRPr="00A402EE" w:rsidP="00A402EE">
            <w:pPr>
              <w:pStyle w:val="ListBullet2"/>
            </w:pPr>
            <w:r w:rsidRPr="00A402EE">
              <w:t>identify materials and surface finishes used or required</w:t>
            </w:r>
          </w:p>
          <w:p w:rsidR="00000000" w:rsidRPr="00A402EE" w:rsidP="00A402EE">
            <w:pPr>
              <w:pStyle w:val="ListBullet2"/>
            </w:pPr>
            <w:r w:rsidRPr="00A402EE">
              <w:t>apply assembly, fabrication and construction techniques used in the existing machinery or equipment and required for the installation, commissioning or modification task</w:t>
            </w:r>
          </w:p>
          <w:p w:rsidR="00000000" w:rsidRPr="00A402EE" w:rsidP="00A402EE">
            <w:pPr>
              <w:pStyle w:val="ListBullet2"/>
            </w:pPr>
            <w:r w:rsidRPr="00A402EE">
              <w:t>identify systems a</w:t>
            </w:r>
            <w:r w:rsidRPr="00A402EE">
              <w:t>nd features of the machinery and equipment</w:t>
            </w:r>
          </w:p>
          <w:p w:rsidR="00000000" w:rsidRPr="00A402EE" w:rsidP="00A402EE">
            <w:pPr>
              <w:pStyle w:val="ListBullet"/>
            </w:pPr>
            <w:r w:rsidRPr="00A402EE">
              <w:t xml:space="preserve">identifying sustainability and environmental issues and implications for the installation, commissioning or modification task </w:t>
            </w:r>
          </w:p>
          <w:p w:rsidR="00000000" w:rsidRPr="00A402EE" w:rsidP="00A402EE">
            <w:pPr>
              <w:pStyle w:val="ListBullet"/>
            </w:pPr>
            <w:r w:rsidRPr="00A402EE">
              <w:t>selecting and using software and validation techniques, including 2-D and 3-D modellin</w:t>
            </w:r>
            <w:r w:rsidRPr="00A402EE">
              <w:t>g</w:t>
            </w:r>
          </w:p>
          <w:p w:rsidR="00000000" w:rsidRPr="00A402EE" w:rsidP="00A402EE">
            <w:pPr>
              <w:pStyle w:val="ListBullet"/>
            </w:pPr>
            <w:r w:rsidRPr="00A402EE">
              <w:t>identifying problems that require solutions involving computations, such as rate of change, moments of inertia and friction forces, and arranging for, or undertaking, the required computations</w:t>
            </w:r>
          </w:p>
          <w:p w:rsidR="00000000" w:rsidRPr="00A402EE" w:rsidP="00A402EE">
            <w:pPr>
              <w:pStyle w:val="ListBullet"/>
            </w:pPr>
            <w:r w:rsidRPr="00A402EE">
              <w:t>identifying situations and issues that require additional technical or professional assistance</w:t>
            </w:r>
          </w:p>
          <w:p w:rsidR="00000000" w:rsidRPr="00A402EE" w:rsidP="00A402EE">
            <w:pPr>
              <w:pStyle w:val="ListBullet"/>
            </w:pPr>
            <w:r w:rsidRPr="00A402EE">
              <w:t>evaluating solutions for feasibility against the installation, commissioning or modification criteria, including relevant engineering, and financial calculations</w:t>
            </w:r>
            <w:r w:rsidRPr="00A402EE">
              <w:t xml:space="preserve"> and analysis</w:t>
            </w:r>
          </w:p>
          <w:p w:rsidR="00000000" w:rsidRPr="00A402EE" w:rsidP="00A402EE">
            <w:pPr>
              <w:pStyle w:val="ListBullet"/>
            </w:pPr>
            <w:r w:rsidRPr="00A402EE">
              <w:t xml:space="preserve">selecting materials, equipment and sub-assemblies based on availability, price and performance characteristics </w:t>
            </w:r>
          </w:p>
          <w:p w:rsidR="00000000" w:rsidRPr="00A402EE" w:rsidP="00A402EE">
            <w:pPr>
              <w:pStyle w:val="ListBullet"/>
            </w:pPr>
            <w:r w:rsidRPr="00A402EE">
              <w:t>establishing budget and control measures for team, and incorporating within installation, commissioning or modification project co</w:t>
            </w:r>
            <w:r w:rsidRPr="00A402EE">
              <w:t>ntrol plan</w:t>
            </w:r>
          </w:p>
          <w:p w:rsidR="00000000" w:rsidRPr="00A402EE" w:rsidP="00A402EE">
            <w:pPr>
              <w:pStyle w:val="ListBullet"/>
            </w:pPr>
            <w:r w:rsidRPr="00A402EE">
              <w:t>delegating roles, responsibilities and levels of authority, as appropriate, to team members</w:t>
            </w:r>
          </w:p>
          <w:p w:rsidR="00000000" w:rsidP="00A402EE">
            <w:pPr>
              <w:pStyle w:val="ListBullet"/>
              <w:rPr>
                <w:lang w:val="en-NZ"/>
              </w:rPr>
            </w:pPr>
            <w:r w:rsidRPr="00A402EE">
              <w:t>communicating, negotiating and reviewing with stakeholders and team members throughout duration of installation, commissioning or modification project</w:t>
            </w:r>
          </w:p>
        </w:tc>
      </w:tr>
      <w:tr w:rsidTr="00A402E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p>
        </w:tc>
      </w:tr>
      <w:tr w:rsidTr="00A402E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A402EE">
            <w:pPr>
              <w:pStyle w:val="BodyText"/>
              <w:rPr>
                <w:lang w:val="en-NZ"/>
              </w:rPr>
            </w:pPr>
            <w:r w:rsidRPr="00A402EE">
              <w:rPr>
                <w:rStyle w:val="SpecialBold"/>
              </w:rPr>
              <w:t>Required knowledge</w:t>
            </w:r>
          </w:p>
        </w:tc>
      </w:tr>
      <w:tr w:rsidTr="00A402E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A402EE" w:rsidP="00A402EE">
            <w:pPr>
              <w:pStyle w:val="BodyText"/>
            </w:pPr>
            <w:r w:rsidRPr="00A402EE">
              <w:t>Required knowledge includes:</w:t>
            </w:r>
          </w:p>
          <w:p w:rsidR="00000000" w:rsidRPr="00A402EE" w:rsidP="00A402EE">
            <w:pPr>
              <w:pStyle w:val="ListBullet"/>
            </w:pPr>
            <w:r w:rsidRPr="00A402EE">
              <w:t>purpose of and range of systems typically found in modern machinery and equipment including:</w:t>
            </w:r>
          </w:p>
          <w:p w:rsidR="00000000" w:rsidRPr="00A402EE" w:rsidP="00A402EE">
            <w:pPr>
              <w:pStyle w:val="ListBullet2"/>
            </w:pPr>
            <w:r w:rsidRPr="00A402EE">
              <w:t>hydraulics</w:t>
            </w:r>
          </w:p>
          <w:p w:rsidR="00000000" w:rsidRPr="00A402EE" w:rsidP="00A402EE">
            <w:pPr>
              <w:pStyle w:val="ListBullet2"/>
            </w:pPr>
            <w:r w:rsidRPr="00A402EE">
              <w:t>pneumatics</w:t>
            </w:r>
          </w:p>
          <w:p w:rsidR="00000000" w:rsidRPr="00A402EE" w:rsidP="00A402EE">
            <w:pPr>
              <w:pStyle w:val="ListBullet2"/>
            </w:pPr>
            <w:r w:rsidRPr="00A402EE">
              <w:t>electrical motors, electrical supply and associated equipment</w:t>
            </w:r>
          </w:p>
          <w:p w:rsidR="00000000" w:rsidRPr="00A402EE" w:rsidP="00A402EE">
            <w:pPr>
              <w:pStyle w:val="ListBullet2"/>
            </w:pPr>
            <w:r w:rsidRPr="00A402EE">
              <w:t>electronics, mechatronics and other control systems</w:t>
            </w:r>
          </w:p>
          <w:p w:rsidR="00000000" w:rsidRPr="00A402EE" w:rsidP="00A402EE">
            <w:pPr>
              <w:pStyle w:val="ListBullet2"/>
            </w:pPr>
            <w:r w:rsidRPr="00A402EE">
              <w:t>mechanical transmissions, including gears, shafts and clutches</w:t>
            </w:r>
          </w:p>
          <w:p w:rsidR="00000000" w:rsidRPr="00A402EE" w:rsidP="00A402EE">
            <w:pPr>
              <w:pStyle w:val="ListBullet"/>
            </w:pPr>
            <w:r w:rsidRPr="00A402EE">
              <w:t>force and stress analysis techniques</w:t>
            </w:r>
          </w:p>
          <w:p w:rsidR="00000000" w:rsidRPr="00A402EE" w:rsidP="00A402EE">
            <w:pPr>
              <w:pStyle w:val="ListBullet"/>
            </w:pPr>
            <w:r w:rsidRPr="00A402EE">
              <w:t xml:space="preserve">requirements for, and functions of, technical documentation, graphics and specifications and records of </w:t>
            </w:r>
            <w:r w:rsidRPr="00A402EE">
              <w:t>meetings, communications, negotiations, decisions and agreements with stakeholders</w:t>
            </w:r>
          </w:p>
          <w:p w:rsidR="00000000" w:rsidRPr="00A402EE" w:rsidP="00A402EE">
            <w:pPr>
              <w:pStyle w:val="ListBullet"/>
            </w:pPr>
            <w:r w:rsidRPr="00A402EE">
              <w:t>OHS requirements, codes of practice, regulations, standards, and regulatory requirements for project or operations</w:t>
            </w:r>
          </w:p>
          <w:p w:rsidR="00000000" w:rsidRPr="00A402EE" w:rsidP="00A402EE">
            <w:pPr>
              <w:pStyle w:val="ListBullet"/>
            </w:pPr>
            <w:r w:rsidRPr="00A402EE">
              <w:t>risk management and reduction, current safe work methods s</w:t>
            </w:r>
            <w:r w:rsidRPr="00A402EE">
              <w:t>tatements, material safety data sheets (MSDS) and work permits</w:t>
            </w:r>
          </w:p>
          <w:p w:rsidR="00000000" w:rsidRPr="00A402EE" w:rsidP="00A402EE">
            <w:pPr>
              <w:pStyle w:val="ListBullet"/>
            </w:pPr>
            <w:r w:rsidRPr="00A402EE">
              <w:t>professional and ethical practice</w:t>
            </w:r>
          </w:p>
          <w:p w:rsidR="00000000" w:rsidRPr="00A402EE" w:rsidP="00A402EE">
            <w:pPr>
              <w:pStyle w:val="ListBullet"/>
            </w:pPr>
            <w:r w:rsidRPr="00A402EE">
              <w:t>conflict resolution, problem solving and decision making</w:t>
            </w:r>
          </w:p>
        </w:tc>
      </w:tr>
    </w:tbl>
    <w:p w:rsidR="00B01D82" w:rsidP="00A402EE">
      <w:pPr>
        <w:pStyle w:val="BodyText"/>
      </w:pPr>
    </w:p>
    <w:p w:rsidR="00B01D82" w:rsidP="00A402EE">
      <w:pPr>
        <w:pStyle w:val="BodyText"/>
      </w:pPr>
    </w:p>
    <w:p w:rsidR="00000000" w:rsidRPr="00A402EE" w:rsidP="00A402EE">
      <w:pPr>
        <w:pStyle w:val="Heading1"/>
      </w:pPr>
      <w:bookmarkStart w:id="10" w:name="O_397412"/>
      <w:bookmarkEnd w:id="10"/>
      <w:r w:rsidRPr="00A402EE">
        <w:t>Evidence Guide</w:t>
      </w:r>
    </w:p>
    <w:tbl>
      <w:tblPr>
        <w:tblW w:w="9462" w:type="dxa"/>
        <w:tblLayout w:type="fixed"/>
        <w:tblCellMar>
          <w:left w:w="62" w:type="dxa"/>
          <w:right w:w="62" w:type="dxa"/>
        </w:tblCellMar>
        <w:tblLook w:val="0000"/>
      </w:tblPr>
      <w:tblGrid>
        <w:gridCol w:w="3800"/>
        <w:gridCol w:w="5662"/>
      </w:tblGrid>
      <w:tr w:rsidTr="00A402E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402EE">
            <w:pPr>
              <w:pStyle w:val="BodyText"/>
              <w:rPr>
                <w:lang w:val="en-NZ"/>
              </w:rPr>
            </w:pPr>
            <w:r w:rsidRPr="00A402EE">
              <w:t xml:space="preserve">The evidence guide provides advice on </w:t>
            </w:r>
            <w:r w:rsidRPr="00A402EE">
              <w:t>assessment and must be read in conjunction with the performance criteria, required skills and knowledge, range statement and the Assessment Guidelines for the Training Package.</w:t>
            </w:r>
          </w:p>
        </w:tc>
      </w:tr>
      <w:tr w:rsidTr="00A402E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2EE">
            <w:pPr>
              <w:pStyle w:val="BodyText"/>
              <w:rPr>
                <w:lang w:val="en-NZ"/>
              </w:rPr>
            </w:pPr>
            <w:r w:rsidRPr="00A402EE">
              <w:t>Critical aspects for assessment and evidence required to demonstrate competen</w:t>
            </w:r>
            <w:r w:rsidRPr="00A402EE">
              <w:t>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2EE" w:rsidP="00A402EE">
            <w:pPr>
              <w:pStyle w:val="BodyText"/>
            </w:pPr>
            <w:r w:rsidRPr="00A402EE">
              <w:t>Assessors must be satisfied that the candidate can competently and consistently:</w:t>
            </w:r>
          </w:p>
          <w:p w:rsidR="00000000" w:rsidRPr="00A402EE" w:rsidP="00A402EE">
            <w:pPr>
              <w:pStyle w:val="ListBullet"/>
            </w:pPr>
            <w:r w:rsidRPr="00A402EE">
              <w:t>determine features of machines or equipment, OHS, regulatory and risk management requirements both before and after installation, commissioning or modification</w:t>
            </w:r>
            <w:r w:rsidRPr="00A402EE">
              <w:t xml:space="preserve"> </w:t>
            </w:r>
          </w:p>
          <w:p w:rsidR="00000000" w:rsidRPr="00A402EE" w:rsidP="00A402EE">
            <w:pPr>
              <w:pStyle w:val="ListBullet"/>
            </w:pPr>
            <w:r w:rsidRPr="00A402EE">
              <w:t>lead a multi-disciplinary team</w:t>
            </w:r>
          </w:p>
          <w:p w:rsidR="00000000" w:rsidRPr="00A402EE" w:rsidP="00A402EE">
            <w:pPr>
              <w:pStyle w:val="ListBullet"/>
            </w:pPr>
            <w:r w:rsidRPr="00A402EE">
              <w:t>measure, model, calculate and analyse using software and validation techniques</w:t>
            </w:r>
          </w:p>
          <w:p w:rsidR="00000000" w:rsidRPr="00A402EE" w:rsidP="00A402EE">
            <w:pPr>
              <w:pStyle w:val="ListBullet"/>
            </w:pPr>
            <w:r w:rsidRPr="00A402EE">
              <w:t xml:space="preserve">analyse drawings and manufacturer specifications to determine machine and equipment systems and components </w:t>
            </w:r>
          </w:p>
          <w:p w:rsidR="00000000" w:rsidRPr="00A402EE" w:rsidP="00A402EE">
            <w:pPr>
              <w:pStyle w:val="ListBullet"/>
            </w:pPr>
            <w:r w:rsidRPr="00A402EE">
              <w:t>determine steps and processes needed</w:t>
            </w:r>
            <w:r w:rsidRPr="00A402EE">
              <w:t xml:space="preserve"> for machine and equipment installation</w:t>
            </w:r>
          </w:p>
          <w:p w:rsidR="00000000" w:rsidRPr="00A402EE" w:rsidP="00A402EE">
            <w:pPr>
              <w:pStyle w:val="ListBullet"/>
            </w:pPr>
            <w:r w:rsidRPr="00A402EE">
              <w:t>determine steps and processes needed for machine and equipment commissioning</w:t>
            </w:r>
          </w:p>
          <w:p w:rsidR="00000000" w:rsidRPr="00A402EE" w:rsidP="00A402EE">
            <w:pPr>
              <w:pStyle w:val="ListBullet"/>
            </w:pPr>
            <w:r w:rsidRPr="00A402EE">
              <w:t>determine steps and processes needed for machine and equipment modification</w:t>
            </w:r>
          </w:p>
          <w:p w:rsidR="00000000" w:rsidRPr="00A402EE" w:rsidP="00A402EE">
            <w:pPr>
              <w:pStyle w:val="ListBullet"/>
            </w:pPr>
            <w:r w:rsidRPr="00A402EE">
              <w:t>innovate and create solutions to engineering-related contingenc</w:t>
            </w:r>
            <w:r w:rsidRPr="00A402EE">
              <w:t>ies</w:t>
            </w:r>
          </w:p>
          <w:p w:rsidR="00000000" w:rsidRPr="00A402EE" w:rsidP="00A402EE">
            <w:pPr>
              <w:pStyle w:val="ListBullet"/>
            </w:pPr>
            <w:r w:rsidRPr="00A402EE">
              <w:t>verify machine and equipment performance to specifications after installation, commissioning or modification</w:t>
            </w:r>
          </w:p>
          <w:p w:rsidR="00000000" w:rsidP="00A402EE">
            <w:pPr>
              <w:pStyle w:val="ListBullet"/>
              <w:rPr>
                <w:lang w:val="en-NZ"/>
              </w:rPr>
            </w:pPr>
            <w:r w:rsidRPr="00A402EE">
              <w:t>communicate, negotiate and review with stakeholders and client throughout installation, commissioning or modification process.</w:t>
            </w:r>
          </w:p>
        </w:tc>
      </w:tr>
      <w:tr w:rsidTr="00A402E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2EE">
            <w:pPr>
              <w:pStyle w:val="BodyText"/>
              <w:rPr>
                <w:lang w:val="en-NZ"/>
              </w:rPr>
            </w:pPr>
            <w:r w:rsidRPr="00A402EE">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2EE" w:rsidP="00A402EE">
            <w:pPr>
              <w:pStyle w:val="ListBullet"/>
            </w:pPr>
            <w:r w:rsidRPr="00A402EE">
              <w:t xml:space="preserve">This unit may be assessed on the job, off the job or a combination of both on and off the job. Where assessment occurs off the job, that is, the candidate is not in productive work, then a simulated working </w:t>
            </w:r>
            <w:r w:rsidRPr="00A402EE">
              <w:t xml:space="preserve">environment must be used where the range of conditions reflects realistic workplace situations. The competencies covered by this unit would be demonstrated by an individual working alone or as part of a team. </w:t>
            </w:r>
          </w:p>
          <w:p w:rsidR="00000000" w:rsidRPr="00A402EE" w:rsidP="00A402EE">
            <w:pPr>
              <w:pStyle w:val="ListBullet"/>
            </w:pPr>
            <w:r w:rsidRPr="00A402EE">
              <w:t>Where applicable, reasonable adjustment must b</w:t>
            </w:r>
            <w:r w:rsidRPr="00A402EE">
              <w:t>e made to work environments and training situations to accommodate ethnicity, age, gender, demographics and disability.</w:t>
            </w:r>
          </w:p>
          <w:p w:rsidR="00000000" w:rsidP="00A402EE">
            <w:pPr>
              <w:pStyle w:val="ListBullet"/>
              <w:rPr>
                <w:lang w:val="en-NZ"/>
              </w:rPr>
            </w:pPr>
            <w:r w:rsidRPr="00A402EE">
              <w:t>Access must be provided to appropriate learning and/or assessment support when required. Where applicable, physical resources should inc</w:t>
            </w:r>
            <w:r w:rsidRPr="00A402EE">
              <w:t>lude equipment modified for people with disabilities.</w:t>
            </w:r>
          </w:p>
        </w:tc>
      </w:tr>
      <w:tr w:rsidTr="00A402E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2EE">
            <w:pPr>
              <w:pStyle w:val="BodyText"/>
              <w:rPr>
                <w:lang w:val="en-NZ"/>
              </w:rPr>
            </w:pPr>
            <w:r w:rsidRPr="00A402E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2EE" w:rsidP="00A402EE">
            <w:pPr>
              <w:pStyle w:val="ListBullet"/>
            </w:pPr>
            <w:r w:rsidRPr="00A402EE">
              <w:t>Assessment must satisfy the endorsed Assessment Guidelines of the MEM05 Metal and Engineering Training Package.</w:t>
            </w:r>
          </w:p>
          <w:p w:rsidR="00000000" w:rsidRPr="00A402EE" w:rsidP="00A402EE">
            <w:pPr>
              <w:pStyle w:val="ListBullet"/>
            </w:pPr>
            <w:r w:rsidRPr="00A402EE">
              <w:t>Assessment methods must confirm consistency and accuracy of performa</w:t>
            </w:r>
            <w:r w:rsidRPr="00A402EE">
              <w:t>nce (over time and in a range of workplace relevant contexts) together with application of underpinning knowledge.</w:t>
            </w:r>
          </w:p>
          <w:p w:rsidR="00000000" w:rsidRPr="00A402EE" w:rsidP="00A402EE">
            <w:pPr>
              <w:pStyle w:val="ListBullet"/>
            </w:pPr>
            <w:r w:rsidRPr="00A402EE">
              <w:t>Assessment methods must be by direct observation of tasks and include questioning on underpinning knowledge to ensure its correct interpretat</w:t>
            </w:r>
            <w:r w:rsidRPr="00A402EE">
              <w:t>ion and application.</w:t>
            </w:r>
          </w:p>
          <w:p w:rsidR="00000000" w:rsidRPr="00A402EE" w:rsidP="00A402EE">
            <w:pPr>
              <w:pStyle w:val="ListBullet"/>
            </w:pPr>
            <w:r w:rsidRPr="00A402EE">
              <w:t xml:space="preserve">Assessment may be applied under project-related conditions </w:t>
            </w:r>
            <w:r w:rsidRPr="00A402EE">
              <w:t>(real or simulated) and require evidence of process.</w:t>
            </w:r>
          </w:p>
          <w:p w:rsidR="00000000" w:rsidRPr="00A402EE" w:rsidP="00A402EE">
            <w:pPr>
              <w:pStyle w:val="ListBullet"/>
            </w:pPr>
            <w:r w:rsidRPr="00A402EE">
              <w:t>Assessment must confirm a reasonable inference that competency is able not only to be satisfied under the particular circum</w:t>
            </w:r>
            <w:r w:rsidRPr="00A402EE">
              <w:t>stance, but is able to be transferred to other circumstances.</w:t>
            </w:r>
          </w:p>
          <w:p w:rsidR="00000000" w:rsidP="00A402EE">
            <w:pPr>
              <w:pStyle w:val="ListBullet"/>
              <w:rPr>
                <w:lang w:val="en-NZ"/>
              </w:rPr>
            </w:pPr>
            <w:r w:rsidRPr="00A402EE">
              <w:t>Assessment may be in conjunction with assessment of other units of competency where required.</w:t>
            </w:r>
          </w:p>
        </w:tc>
      </w:tr>
      <w:tr w:rsidTr="00A402E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2EE">
            <w:pPr>
              <w:pStyle w:val="BodyText"/>
              <w:rPr>
                <w:lang w:val="en-NZ"/>
              </w:rPr>
            </w:pPr>
            <w:r w:rsidRPr="00A402E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2EE" w:rsidP="00A402EE">
            <w:pPr>
              <w:pStyle w:val="BodyText"/>
            </w:pPr>
            <w:r w:rsidRPr="00A402EE">
              <w:t>Assessment processes and techniques must be culturally appropri</w:t>
            </w:r>
            <w:r w:rsidRPr="00A402EE">
              <w:t>ate and appropriate to the language and literacy capacity of the candidate and the work being performed.</w:t>
            </w:r>
          </w:p>
        </w:tc>
      </w:tr>
    </w:tbl>
    <w:p w:rsidR="00B01D82" w:rsidP="00A402EE">
      <w:pPr>
        <w:pStyle w:val="BodyText"/>
      </w:pPr>
    </w:p>
    <w:p w:rsidR="00B01D82" w:rsidP="00A402EE">
      <w:pPr>
        <w:pStyle w:val="BodyText"/>
      </w:pPr>
    </w:p>
    <w:p w:rsidR="00000000" w:rsidRPr="00A402EE" w:rsidP="00A402EE">
      <w:pPr>
        <w:pStyle w:val="Heading1"/>
      </w:pPr>
      <w:bookmarkStart w:id="11" w:name="O_397413"/>
      <w:bookmarkEnd w:id="11"/>
      <w:r w:rsidRPr="00A402EE">
        <w:t>Range Statement</w:t>
      </w:r>
    </w:p>
    <w:tbl>
      <w:tblPr>
        <w:tblW w:w="9462" w:type="dxa"/>
        <w:tblLayout w:type="fixed"/>
        <w:tblCellMar>
          <w:left w:w="62" w:type="dxa"/>
          <w:right w:w="62" w:type="dxa"/>
        </w:tblCellMar>
        <w:tblLook w:val="0000"/>
      </w:tblPr>
      <w:tblGrid>
        <w:gridCol w:w="3800"/>
        <w:gridCol w:w="5662"/>
      </w:tblGrid>
      <w:tr w:rsidTr="00A402E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A402EE">
            <w:pPr>
              <w:pStyle w:val="BodyText"/>
              <w:rPr>
                <w:lang w:val="en-NZ"/>
              </w:rPr>
            </w:pPr>
            <w:r w:rsidRPr="00A402EE">
              <w:t>The range statement relates to the unit of competency as a whole. It allows for different work environments and situations that may affect performance. Bold italicised wording, if used in the performance criteria, is detailed below. Essential operating con</w:t>
            </w:r>
            <w:r w:rsidRPr="00A402EE">
              <w:t>ditions that may be present with training and assessment (depending on the work situation, needs of the candidate, accessibility of the item, and local industry and regional contexts) may also be included.</w:t>
            </w:r>
          </w:p>
        </w:tc>
      </w:tr>
      <w:tr w:rsidTr="00A402E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2EE">
            <w:pPr>
              <w:pStyle w:val="BodyText"/>
              <w:rPr>
                <w:lang w:val="en-NZ"/>
              </w:rPr>
            </w:pPr>
            <w:r w:rsidRPr="00A402EE">
              <w:rPr>
                <w:rStyle w:val="SpecialBold"/>
              </w:rPr>
              <w:t>Installation, commissioning or modification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2EE" w:rsidP="00A402EE">
            <w:pPr>
              <w:pStyle w:val="BodyText"/>
            </w:pPr>
            <w:r w:rsidRPr="00A402EE">
              <w:t>Inst</w:t>
            </w:r>
            <w:r w:rsidRPr="00A402EE">
              <w:t>allation, commissioning or modification refers to machinery and equipment projects that have the following features:</w:t>
            </w:r>
          </w:p>
          <w:p w:rsidR="00000000" w:rsidRPr="00A402EE" w:rsidP="00A402EE">
            <w:pPr>
              <w:pStyle w:val="ListBullet"/>
            </w:pPr>
            <w:r w:rsidRPr="00A402EE">
              <w:t>the performance of the whole machine or equipment must be verified against drawings, client brief and manufacturer specifications at the co</w:t>
            </w:r>
            <w:r w:rsidRPr="00A402EE">
              <w:t>nclusion of the project</w:t>
            </w:r>
          </w:p>
          <w:p w:rsidR="00000000" w:rsidRPr="00A402EE" w:rsidP="00A402EE">
            <w:pPr>
              <w:pStyle w:val="ListBullet"/>
            </w:pPr>
            <w:r w:rsidRPr="00A402EE">
              <w:t>skills and knowledge above the trade level are required for planning and supervising the installation, commissioning or modification project</w:t>
            </w:r>
          </w:p>
          <w:p w:rsidR="00000000" w:rsidP="00A402EE">
            <w:pPr>
              <w:pStyle w:val="ListBullet"/>
              <w:rPr>
                <w:lang w:val="en-NZ"/>
              </w:rPr>
            </w:pPr>
            <w:r w:rsidRPr="00A402EE">
              <w:t xml:space="preserve">work is conducted against a formal design </w:t>
            </w:r>
          </w:p>
        </w:tc>
      </w:tr>
      <w:tr w:rsidTr="00A402E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2EE">
            <w:pPr>
              <w:pStyle w:val="BodyText"/>
              <w:rPr>
                <w:lang w:val="en-NZ"/>
              </w:rPr>
            </w:pPr>
            <w:r w:rsidRPr="00A402EE">
              <w:rPr>
                <w:rStyle w:val="SpecialBold"/>
              </w:rPr>
              <w:t>RFIs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2EE">
            <w:pPr>
              <w:pStyle w:val="BodyText"/>
              <w:rPr>
                <w:lang w:val="en-NZ"/>
              </w:rPr>
            </w:pPr>
            <w:r w:rsidRPr="00A402EE">
              <w:t>RFIs are formal queries to designers seeking clarifications or additional information to enable the installation, commissioning or modification project to proceed</w:t>
            </w:r>
          </w:p>
        </w:tc>
      </w:tr>
      <w:tr w:rsidTr="00A402E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2EE">
            <w:pPr>
              <w:pStyle w:val="BodyText"/>
              <w:rPr>
                <w:lang w:val="en-NZ"/>
              </w:rPr>
            </w:pPr>
            <w:r w:rsidRPr="00A402EE">
              <w:rPr>
                <w:rStyle w:val="SpecialBold"/>
              </w:rPr>
              <w:t>Appropriate technical personnel and professionals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2EE" w:rsidP="00A402EE">
            <w:pPr>
              <w:pStyle w:val="BodyText"/>
            </w:pPr>
            <w:r w:rsidRPr="00A402EE">
              <w:t>Appropriate technical and professional ass</w:t>
            </w:r>
            <w:r w:rsidRPr="00A402EE">
              <w:t>istance may include:</w:t>
            </w:r>
          </w:p>
          <w:p w:rsidR="00000000" w:rsidRPr="00A402EE" w:rsidP="00A402EE">
            <w:pPr>
              <w:pStyle w:val="ListBullet"/>
            </w:pPr>
            <w:r w:rsidRPr="00A402EE">
              <w:t>technical support and advice relating to elements which have intrinsic dangers, such as:</w:t>
            </w:r>
          </w:p>
          <w:p w:rsidR="00000000" w:rsidRPr="00A402EE" w:rsidP="00A402EE">
            <w:pPr>
              <w:pStyle w:val="ListBullet2"/>
            </w:pPr>
            <w:r w:rsidRPr="00A402EE">
              <w:t>high pressure</w:t>
            </w:r>
          </w:p>
          <w:p w:rsidR="00000000" w:rsidRPr="00A402EE" w:rsidP="00A402EE">
            <w:pPr>
              <w:pStyle w:val="ListBullet2"/>
            </w:pPr>
            <w:r w:rsidRPr="00A402EE">
              <w:t>energised fluid vessels</w:t>
            </w:r>
          </w:p>
          <w:p w:rsidR="00000000" w:rsidRPr="00A402EE" w:rsidP="00A402EE">
            <w:pPr>
              <w:pStyle w:val="ListBullet2"/>
            </w:pPr>
            <w:r w:rsidRPr="00A402EE">
              <w:t>high temperatures and heat energy capacity</w:t>
            </w:r>
          </w:p>
          <w:p w:rsidR="00000000" w:rsidRPr="00A402EE" w:rsidP="00A402EE">
            <w:pPr>
              <w:pStyle w:val="ListBullet2"/>
            </w:pPr>
            <w:r w:rsidRPr="00A402EE">
              <w:t xml:space="preserve">wiring or devices with high current or voltages above extra low </w:t>
            </w:r>
            <w:r w:rsidRPr="00A402EE">
              <w:t>voltage</w:t>
            </w:r>
          </w:p>
          <w:p w:rsidR="00000000" w:rsidRPr="00A402EE" w:rsidP="00A402EE">
            <w:pPr>
              <w:pStyle w:val="ListBullet"/>
            </w:pPr>
            <w:r w:rsidRPr="00A402EE">
              <w:t>professional support for technologies, such as:</w:t>
            </w:r>
          </w:p>
          <w:p w:rsidR="00000000" w:rsidRPr="00A402EE" w:rsidP="00A402EE">
            <w:pPr>
              <w:pStyle w:val="ListBullet2"/>
            </w:pPr>
            <w:r w:rsidRPr="00A402EE">
              <w:t>specialist electric motor drives and controllers</w:t>
            </w:r>
          </w:p>
          <w:p w:rsidR="00000000" w:rsidRPr="00A402EE" w:rsidP="00A402EE">
            <w:pPr>
              <w:pStyle w:val="ListBullet2"/>
            </w:pPr>
            <w:r w:rsidRPr="00A402EE">
              <w:t>specialist materials, plastics, metal alloys and nano materials</w:t>
            </w:r>
          </w:p>
          <w:p w:rsidR="00000000" w:rsidRPr="00A402EE" w:rsidP="00A402EE">
            <w:pPr>
              <w:pStyle w:val="ListBullet2"/>
            </w:pPr>
            <w:r w:rsidRPr="00A402EE">
              <w:t>special processes, foundry, alloy welding, heat treatment, sealing and fastening</w:t>
            </w:r>
          </w:p>
          <w:p w:rsidR="00000000" w:rsidRPr="00A402EE" w:rsidP="00A402EE">
            <w:pPr>
              <w:pStyle w:val="ListBullet"/>
            </w:pPr>
            <w:r w:rsidRPr="00A402EE">
              <w:t>professional services for:</w:t>
            </w:r>
          </w:p>
          <w:p w:rsidR="00000000" w:rsidRPr="00A402EE" w:rsidP="00A402EE">
            <w:pPr>
              <w:pStyle w:val="ListBullet2"/>
            </w:pPr>
            <w:r w:rsidRPr="00A402EE">
              <w:t>finance, accounts and tax</w:t>
            </w:r>
          </w:p>
          <w:p w:rsidR="00000000" w:rsidRPr="00A402EE" w:rsidP="00A402EE">
            <w:pPr>
              <w:pStyle w:val="ListBullet2"/>
            </w:pPr>
            <w:r w:rsidRPr="00A402EE">
              <w:t>insurance and legal</w:t>
            </w:r>
          </w:p>
          <w:p w:rsidR="00000000" w:rsidP="00A402EE">
            <w:pPr>
              <w:pStyle w:val="ListBullet2"/>
              <w:rPr>
                <w:lang w:val="en-NZ"/>
              </w:rPr>
            </w:pPr>
            <w:r w:rsidRPr="00A402EE">
              <w:t>training and human resources (HR)</w:t>
            </w:r>
          </w:p>
        </w:tc>
      </w:tr>
      <w:tr w:rsidTr="00A402E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02EE">
            <w:pPr>
              <w:pStyle w:val="BodyText"/>
              <w:rPr>
                <w:lang w:val="en-NZ"/>
              </w:rPr>
            </w:pPr>
            <w:r w:rsidRPr="00A402EE">
              <w:rPr>
                <w:rStyle w:val="SpecialBold"/>
              </w:rPr>
              <w:t>OHS, regulatory, sustainability and environmental issues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02EE" w:rsidP="00A402EE">
            <w:pPr>
              <w:pStyle w:val="BodyText"/>
            </w:pPr>
            <w:r w:rsidRPr="00A402EE">
              <w:t>OHS, regulatory, sustainability and environmental issues may include:</w:t>
            </w:r>
          </w:p>
          <w:p w:rsidR="00000000" w:rsidRPr="00A402EE" w:rsidP="00A402EE">
            <w:pPr>
              <w:pStyle w:val="ListBullet"/>
            </w:pPr>
            <w:r w:rsidRPr="00A402EE">
              <w:t>OHS Acts and regulat</w:t>
            </w:r>
            <w:r w:rsidRPr="00A402EE">
              <w:t>ions</w:t>
            </w:r>
          </w:p>
          <w:p w:rsidR="00000000" w:rsidRPr="00A402EE" w:rsidP="00A402EE">
            <w:pPr>
              <w:pStyle w:val="ListBullet"/>
            </w:pPr>
            <w:r w:rsidRPr="00A402EE">
              <w:t>relevant standards</w:t>
            </w:r>
          </w:p>
          <w:p w:rsidR="00000000" w:rsidRPr="00A402EE" w:rsidP="00A402EE">
            <w:pPr>
              <w:pStyle w:val="ListBullet"/>
            </w:pPr>
            <w:r w:rsidRPr="00A402EE">
              <w:t>industry codes of practice</w:t>
            </w:r>
          </w:p>
          <w:p w:rsidR="00000000" w:rsidRPr="00A402EE" w:rsidP="00A402EE">
            <w:pPr>
              <w:pStyle w:val="ListBullet"/>
            </w:pPr>
            <w:r w:rsidRPr="00A402EE">
              <w:t>risk assessments</w:t>
            </w:r>
          </w:p>
          <w:p w:rsidR="00000000" w:rsidRPr="00A402EE" w:rsidP="00A402EE">
            <w:pPr>
              <w:pStyle w:val="ListBullet"/>
            </w:pPr>
            <w:r w:rsidRPr="00A402EE">
              <w:t xml:space="preserve">registration requirements </w:t>
            </w:r>
          </w:p>
          <w:p w:rsidR="00000000" w:rsidRPr="00A402EE" w:rsidP="00A402EE">
            <w:pPr>
              <w:pStyle w:val="ListBullet"/>
            </w:pPr>
            <w:r w:rsidRPr="00A402EE">
              <w:t>safe work practices</w:t>
            </w:r>
          </w:p>
          <w:p w:rsidR="00000000" w:rsidRPr="00A402EE" w:rsidP="00A402EE">
            <w:pPr>
              <w:pStyle w:val="ListBullet"/>
            </w:pPr>
            <w:r w:rsidRPr="00A402EE">
              <w:t>minimising ecological and environmental footprint of process, plant and product</w:t>
            </w:r>
          </w:p>
          <w:p w:rsidR="00000000" w:rsidRPr="00A402EE" w:rsidP="00A402EE">
            <w:pPr>
              <w:pStyle w:val="ListBullet"/>
            </w:pPr>
            <w:r w:rsidRPr="00A402EE">
              <w:t xml:space="preserve">maximising economic benefit of process plant and product to the organisation and the community </w:t>
            </w:r>
          </w:p>
          <w:p w:rsidR="00000000" w:rsidRPr="00A402EE" w:rsidP="00A402EE">
            <w:pPr>
              <w:pStyle w:val="ListBullet"/>
            </w:pPr>
            <w:r w:rsidRPr="00A402EE">
              <w:t>minimising the negative OHS impact on employees, community and customer</w:t>
            </w:r>
          </w:p>
          <w:p w:rsidR="00000000" w:rsidRPr="00A402EE" w:rsidP="00A402EE">
            <w:pPr>
              <w:pStyle w:val="ListBullet"/>
            </w:pPr>
            <w:r w:rsidRPr="00A402EE">
              <w:t>state and territory regulatory requirements</w:t>
            </w:r>
          </w:p>
        </w:tc>
      </w:tr>
    </w:tbl>
    <w:p w:rsidR="00B01D82" w:rsidP="00A402EE">
      <w:pPr>
        <w:pStyle w:val="BodyText"/>
      </w:pPr>
    </w:p>
    <w:p w:rsidR="00B01D82" w:rsidP="00A402EE">
      <w:pPr>
        <w:pStyle w:val="BodyText"/>
      </w:pPr>
    </w:p>
    <w:p w:rsidR="00000000" w:rsidRPr="00A402EE" w:rsidP="00A402EE">
      <w:pPr>
        <w:pStyle w:val="Heading1"/>
      </w:pPr>
      <w:bookmarkStart w:id="12" w:name="O_397414"/>
      <w:bookmarkEnd w:id="12"/>
      <w:r w:rsidRPr="00A402EE">
        <w:t>Unit Sector(s)</w:t>
      </w:r>
    </w:p>
    <w:p w:rsidR="00000000" w:rsidRPr="00A402EE" w:rsidP="00A402EE">
      <w:pPr>
        <w:pStyle w:val="BodyText"/>
      </w:pPr>
      <w:r w:rsidRPr="00A402EE">
        <w:t>Engineeri</w:t>
      </w:r>
      <w:r w:rsidRPr="00A402EE">
        <w:t>ng practice</w:t>
      </w:r>
    </w:p>
    <w:p w:rsidR="00000000" w:rsidRPr="00A402EE" w:rsidP="00A402EE">
      <w:pPr>
        <w:pStyle w:val="AllowPageBreak"/>
      </w:pPr>
    </w:p>
    <w:p w:rsidR="00000000" w:rsidRPr="00A402EE" w:rsidP="00A402EE">
      <w:pPr>
        <w:pStyle w:val="Heading1"/>
      </w:pPr>
      <w:bookmarkStart w:id="13" w:name="O_397415"/>
      <w:bookmarkEnd w:id="13"/>
      <w:r w:rsidRPr="00A402EE">
        <w:t>Custom Content Section</w:t>
      </w:r>
    </w:p>
    <w:p w:rsidR="00000000" w:rsidRPr="00A402EE" w:rsidP="00A402EE">
      <w:pPr>
        <w:pStyle w:val="BodyText"/>
      </w:pPr>
      <w:r w:rsidRPr="00A402EE">
        <w:t>Not applicable.</w:t>
      </w:r>
    </w:p>
    <w:p w:rsidR="00000000" w:rsidRPr="00A402EE" w:rsidP="00A402EE"/>
    <w:sectPr w:rsidSect="00A402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1D82" w:rsidP="00B01D8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82" w:rsidP="00A402E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01D82" w:rsidP="00A402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01D82" w:rsidP="00A402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EE" w:rsidRPr="00B01D82" w:rsidP="00B01D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02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D82" w:rsidRPr="002D2AF8" w:rsidP="00A402EE">
    <w:pPr>
      <w:pStyle w:val="Header"/>
      <w:framePr w:wrap="around"/>
    </w:pPr>
    <w:r>
      <w:fldChar w:fldCharType="begin"/>
    </w:r>
    <w:r>
      <w:instrText xml:space="preserve"> TITLE   \* MERGEFORMAT </w:instrText>
    </w:r>
    <w:r>
      <w:fldChar w:fldCharType="separate"/>
    </w:r>
    <w:r>
      <w:t xml:space="preserve">MEM234031A Manage installation, commissioning or modification of machines and equipment </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B01D82" w:rsidP="00A402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5098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98B2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EADA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02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02EE"/>
    <w:pPr>
      <w:spacing w:before="360" w:after="60"/>
      <w:outlineLvl w:val="0"/>
    </w:pPr>
    <w:rPr>
      <w:sz w:val="32"/>
    </w:rPr>
  </w:style>
  <w:style w:type="paragraph" w:styleId="Heading2">
    <w:name w:val="heading 2"/>
    <w:basedOn w:val="HeadingBase"/>
    <w:next w:val="BodyText"/>
    <w:link w:val="Heading2Char"/>
    <w:qFormat/>
    <w:rsid w:val="00A402EE"/>
    <w:pPr>
      <w:keepLines/>
      <w:spacing w:before="240" w:after="120"/>
      <w:outlineLvl w:val="1"/>
    </w:pPr>
    <w:rPr>
      <w:sz w:val="28"/>
      <w:szCs w:val="40"/>
    </w:rPr>
  </w:style>
  <w:style w:type="paragraph" w:styleId="Heading3">
    <w:name w:val="heading 3"/>
    <w:basedOn w:val="HeadingBase"/>
    <w:next w:val="BodyText"/>
    <w:link w:val="Heading3Char"/>
    <w:qFormat/>
    <w:rsid w:val="00A402EE"/>
    <w:pPr>
      <w:spacing w:before="180" w:after="120"/>
      <w:outlineLvl w:val="2"/>
    </w:pPr>
    <w:rPr>
      <w:spacing w:val="-10"/>
      <w:kern w:val="32"/>
    </w:rPr>
  </w:style>
  <w:style w:type="paragraph" w:styleId="Heading4">
    <w:name w:val="heading 4"/>
    <w:basedOn w:val="HeadingBase"/>
    <w:next w:val="BodyText"/>
    <w:link w:val="Heading4Char"/>
    <w:qFormat/>
    <w:rsid w:val="00A402EE"/>
    <w:pPr>
      <w:spacing w:before="160" w:after="120"/>
      <w:outlineLvl w:val="3"/>
    </w:pPr>
    <w:rPr>
      <w:sz w:val="22"/>
    </w:rPr>
  </w:style>
  <w:style w:type="paragraph" w:styleId="Heading5">
    <w:name w:val="heading 5"/>
    <w:basedOn w:val="HeadingBase"/>
    <w:next w:val="Normal"/>
    <w:link w:val="Heading5Char"/>
    <w:qFormat/>
    <w:rsid w:val="00A402EE"/>
    <w:pPr>
      <w:spacing w:before="80"/>
      <w:outlineLvl w:val="4"/>
    </w:pPr>
    <w:rPr>
      <w:color w:val="918585"/>
      <w:sz w:val="20"/>
    </w:rPr>
  </w:style>
  <w:style w:type="paragraph" w:styleId="Heading6">
    <w:name w:val="heading 6"/>
    <w:basedOn w:val="HeadingBase"/>
    <w:next w:val="Normal"/>
    <w:link w:val="Heading6Char"/>
    <w:qFormat/>
    <w:rsid w:val="00A402EE"/>
    <w:pPr>
      <w:spacing w:before="60"/>
      <w:outlineLvl w:val="5"/>
    </w:pPr>
    <w:rPr>
      <w:color w:val="918585"/>
      <w:sz w:val="20"/>
    </w:rPr>
  </w:style>
  <w:style w:type="paragraph" w:styleId="Heading7">
    <w:name w:val="heading 7"/>
    <w:basedOn w:val="Normal"/>
    <w:next w:val="Normal"/>
    <w:link w:val="Heading7Char"/>
    <w:qFormat/>
    <w:rsid w:val="00A402EE"/>
    <w:pPr>
      <w:ind w:left="720"/>
      <w:outlineLvl w:val="6"/>
    </w:pPr>
    <w:rPr>
      <w:i/>
    </w:rPr>
  </w:style>
  <w:style w:type="paragraph" w:styleId="Heading8">
    <w:name w:val="heading 8"/>
    <w:basedOn w:val="Normal"/>
    <w:next w:val="Normal"/>
    <w:link w:val="Heading8Char"/>
    <w:qFormat/>
    <w:rsid w:val="00A402EE"/>
    <w:pPr>
      <w:ind w:left="720"/>
      <w:outlineLvl w:val="7"/>
    </w:pPr>
    <w:rPr>
      <w:i/>
    </w:rPr>
  </w:style>
  <w:style w:type="paragraph" w:styleId="Heading9">
    <w:name w:val="heading 9"/>
    <w:basedOn w:val="Normal"/>
    <w:next w:val="Normal"/>
    <w:link w:val="Heading9Char"/>
    <w:qFormat/>
    <w:rsid w:val="00A402EE"/>
    <w:pPr>
      <w:ind w:left="720"/>
      <w:outlineLvl w:val="8"/>
    </w:pPr>
    <w:rPr>
      <w:i/>
    </w:rPr>
  </w:style>
  <w:style w:type="character" w:default="1" w:styleId="DefaultParagraphFont">
    <w:name w:val="Default Paragraph Font"/>
    <w:uiPriority w:val="1"/>
    <w:unhideWhenUsed/>
    <w:rsid w:val="00A402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02EE"/>
  </w:style>
  <w:style w:type="character" w:customStyle="1" w:styleId="Heading1Char">
    <w:name w:val="Heading 1 Char"/>
    <w:basedOn w:val="DefaultParagraphFont"/>
    <w:link w:val="Heading1"/>
    <w:rsid w:val="00A402EE"/>
    <w:rPr>
      <w:rFonts w:ascii="Times New Roman" w:eastAsia="Times New Roman" w:hAnsi="Times New Roman" w:cs="Times New Roman"/>
      <w:b/>
      <w:sz w:val="32"/>
      <w:szCs w:val="20"/>
      <w:lang w:eastAsia="en-US"/>
    </w:rPr>
  </w:style>
  <w:style w:type="paragraph" w:styleId="BodyText">
    <w:name w:val="Body Text"/>
    <w:basedOn w:val="Normal"/>
    <w:link w:val="BodyTextChar"/>
    <w:rsid w:val="00A402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02EE"/>
    <w:rPr>
      <w:rFonts w:ascii="Times New Roman" w:eastAsia="Times New Roman" w:hAnsi="Times New Roman" w:cs="Times New Roman"/>
      <w:sz w:val="24"/>
      <w:lang w:eastAsia="en-US"/>
    </w:rPr>
  </w:style>
  <w:style w:type="paragraph" w:styleId="Footer">
    <w:name w:val="footer"/>
    <w:basedOn w:val="Normal"/>
    <w:link w:val="FooterChar"/>
    <w:rsid w:val="00A402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02EE"/>
    <w:rPr>
      <w:rFonts w:ascii="Times New Roman" w:eastAsia="Times New Roman" w:hAnsi="Times New Roman" w:cs="Times New Roman"/>
      <w:sz w:val="16"/>
      <w:lang w:eastAsia="en-US"/>
    </w:rPr>
  </w:style>
  <w:style w:type="paragraph" w:styleId="ListBullet">
    <w:name w:val="List Bullet"/>
    <w:basedOn w:val="List"/>
    <w:rsid w:val="00A402EE"/>
    <w:pPr>
      <w:numPr>
        <w:numId w:val="13"/>
      </w:numPr>
      <w:tabs>
        <w:tab w:val="clear" w:pos="340"/>
      </w:tabs>
      <w:spacing w:before="40" w:after="40"/>
    </w:pPr>
  </w:style>
  <w:style w:type="character" w:customStyle="1" w:styleId="SpecialBold">
    <w:name w:val="Special Bold"/>
    <w:basedOn w:val="DefaultParagraphFont"/>
    <w:rsid w:val="00A402EE"/>
    <w:rPr>
      <w:b/>
      <w:spacing w:val="0"/>
    </w:rPr>
  </w:style>
  <w:style w:type="paragraph" w:styleId="ListBullet2">
    <w:name w:val="List Bullet 2"/>
    <w:basedOn w:val="List2"/>
    <w:rsid w:val="00A402EE"/>
    <w:pPr>
      <w:numPr>
        <w:numId w:val="14"/>
      </w:numPr>
      <w:tabs>
        <w:tab w:val="clear" w:pos="680"/>
      </w:tabs>
    </w:pPr>
  </w:style>
  <w:style w:type="paragraph" w:customStyle="1" w:styleId="SuperHeading">
    <w:name w:val="SuperHeading"/>
    <w:basedOn w:val="Normal"/>
    <w:rsid w:val="00A402EE"/>
    <w:pPr>
      <w:spacing w:before="240" w:after="120"/>
      <w:outlineLvl w:val="0"/>
    </w:pPr>
    <w:rPr>
      <w:rFonts w:ascii="Times New Roman" w:hAnsi="Times New Roman"/>
      <w:b/>
      <w:sz w:val="28"/>
    </w:rPr>
  </w:style>
  <w:style w:type="paragraph" w:customStyle="1" w:styleId="AllowPageBreak">
    <w:name w:val="AllowPageBreak"/>
    <w:rsid w:val="00A402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02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02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02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02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02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02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02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02EE"/>
    <w:rPr>
      <w:rFonts w:ascii="Courier New" w:eastAsia="Times New Roman" w:hAnsi="Courier New" w:cs="Times New Roman"/>
      <w:i/>
      <w:szCs w:val="20"/>
      <w:lang w:eastAsia="en-US"/>
    </w:rPr>
  </w:style>
  <w:style w:type="paragraph" w:customStyle="1" w:styleId="HeadingBase">
    <w:name w:val="Heading Base"/>
    <w:rsid w:val="00A402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02EE"/>
    <w:pPr>
      <w:tabs>
        <w:tab w:val="right" w:leader="dot" w:pos="9072"/>
      </w:tabs>
      <w:ind w:left="567"/>
    </w:pPr>
    <w:rPr>
      <w:szCs w:val="22"/>
    </w:rPr>
  </w:style>
  <w:style w:type="paragraph" w:customStyle="1" w:styleId="TOCBase">
    <w:name w:val="TOC Base"/>
    <w:rsid w:val="00A402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02EE"/>
    <w:pPr>
      <w:tabs>
        <w:tab w:val="right" w:leader="dot" w:pos="9072"/>
      </w:tabs>
      <w:spacing w:before="40" w:after="40"/>
      <w:ind w:left="284"/>
    </w:pPr>
    <w:rPr>
      <w:rFonts w:ascii="Times New Roman" w:hAnsi="Times New Roman"/>
    </w:rPr>
  </w:style>
  <w:style w:type="paragraph" w:styleId="TOC1">
    <w:name w:val="toc 1"/>
    <w:basedOn w:val="TOCBase"/>
    <w:next w:val="Normal"/>
    <w:rsid w:val="00A402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02EE"/>
    <w:pPr>
      <w:spacing w:before="5040"/>
      <w:jc w:val="center"/>
    </w:pPr>
    <w:rPr>
      <w:sz w:val="48"/>
      <w:szCs w:val="72"/>
      <w:lang w:val="en-US"/>
    </w:rPr>
  </w:style>
  <w:style w:type="character" w:customStyle="1" w:styleId="TitleChar">
    <w:name w:val="Title Char"/>
    <w:basedOn w:val="DefaultParagraphFont"/>
    <w:link w:val="Title"/>
    <w:rsid w:val="00A402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02EE"/>
    <w:pPr>
      <w:tabs>
        <w:tab w:val="left" w:pos="3600"/>
        <w:tab w:val="left" w:pos="3958"/>
      </w:tabs>
    </w:pPr>
  </w:style>
  <w:style w:type="paragraph" w:styleId="List">
    <w:name w:val="List"/>
    <w:basedOn w:val="BodyText"/>
    <w:next w:val="BodyText"/>
    <w:rsid w:val="00A402EE"/>
    <w:pPr>
      <w:tabs>
        <w:tab w:val="left" w:pos="340"/>
      </w:tabs>
      <w:spacing w:before="60" w:after="60"/>
      <w:ind w:left="340" w:hanging="340"/>
    </w:pPr>
  </w:style>
  <w:style w:type="paragraph" w:customStyle="1" w:styleId="Note">
    <w:name w:val="Note"/>
    <w:basedOn w:val="BodyText"/>
    <w:rsid w:val="00A402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02EE"/>
    <w:pPr>
      <w:framePr w:wrap="auto" w:hAnchor="text" w:y="6049"/>
    </w:pPr>
    <w:rPr>
      <w:color w:val="000000"/>
      <w:sz w:val="40"/>
    </w:rPr>
  </w:style>
  <w:style w:type="paragraph" w:customStyle="1" w:styleId="TOCTitle">
    <w:name w:val="TOCTitle"/>
    <w:basedOn w:val="Heading1"/>
    <w:rsid w:val="00A402EE"/>
    <w:pPr>
      <w:spacing w:after="240"/>
      <w:jc w:val="center"/>
      <w:outlineLvl w:val="9"/>
    </w:pPr>
    <w:rPr>
      <w:caps/>
    </w:rPr>
  </w:style>
  <w:style w:type="paragraph" w:customStyle="1" w:styleId="Version">
    <w:name w:val="Version"/>
    <w:rsid w:val="00A402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02EE"/>
    <w:pPr>
      <w:keepNext w:val="0"/>
      <w:tabs>
        <w:tab w:val="right" w:pos="4176"/>
      </w:tabs>
      <w:ind w:left="198" w:hanging="198"/>
    </w:pPr>
    <w:rPr>
      <w:rFonts w:ascii="Garamond" w:hAnsi="Garamond"/>
    </w:rPr>
  </w:style>
  <w:style w:type="paragraph" w:styleId="IndexHeading">
    <w:name w:val="index heading"/>
    <w:basedOn w:val="Normal"/>
    <w:next w:val="Index1"/>
    <w:semiHidden/>
    <w:rsid w:val="00A402EE"/>
    <w:pPr>
      <w:spacing w:before="120" w:after="120"/>
    </w:pPr>
    <w:rPr>
      <w:rFonts w:ascii="Arial" w:hAnsi="Arial"/>
      <w:b/>
      <w:color w:val="918585"/>
      <w:sz w:val="24"/>
    </w:rPr>
  </w:style>
  <w:style w:type="paragraph" w:styleId="Header">
    <w:name w:val="header"/>
    <w:basedOn w:val="Normal"/>
    <w:link w:val="HeaderChar"/>
    <w:rsid w:val="00A402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02EE"/>
    <w:rPr>
      <w:rFonts w:ascii="Times New Roman" w:eastAsia="Times New Roman" w:hAnsi="Times New Roman" w:cs="Times New Roman"/>
      <w:sz w:val="16"/>
      <w:szCs w:val="20"/>
      <w:lang w:val="en-GB" w:eastAsia="en-US"/>
    </w:rPr>
  </w:style>
  <w:style w:type="paragraph" w:customStyle="1" w:styleId="Chapter">
    <w:name w:val="Chapter"/>
    <w:basedOn w:val="Normal"/>
    <w:rsid w:val="00A402EE"/>
    <w:pPr>
      <w:spacing w:before="240"/>
    </w:pPr>
    <w:rPr>
      <w:rFonts w:ascii="Times New Roman" w:hAnsi="Times New Roman"/>
      <w:smallCaps/>
      <w:spacing w:val="80"/>
      <w:sz w:val="28"/>
    </w:rPr>
  </w:style>
  <w:style w:type="paragraph" w:customStyle="1" w:styleId="InChapter">
    <w:name w:val="InChapter"/>
    <w:basedOn w:val="Heading3"/>
    <w:rsid w:val="00A402EE"/>
    <w:pPr>
      <w:spacing w:after="240"/>
      <w:outlineLvl w:val="9"/>
    </w:pPr>
    <w:rPr>
      <w:noProof/>
    </w:rPr>
  </w:style>
  <w:style w:type="paragraph" w:styleId="Index2">
    <w:name w:val="index 2"/>
    <w:basedOn w:val="Normal"/>
    <w:next w:val="Normal"/>
    <w:semiHidden/>
    <w:rsid w:val="00A402EE"/>
    <w:pPr>
      <w:tabs>
        <w:tab w:val="right" w:pos="4176"/>
      </w:tabs>
      <w:ind w:left="568" w:hanging="284"/>
    </w:pPr>
    <w:rPr>
      <w:rFonts w:ascii="Garamond" w:hAnsi="Garamond"/>
    </w:rPr>
  </w:style>
  <w:style w:type="paragraph" w:customStyle="1" w:styleId="Byline">
    <w:name w:val="Byline"/>
    <w:rsid w:val="00A402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02EE"/>
    <w:pPr>
      <w:tabs>
        <w:tab w:val="clear" w:pos="3600"/>
        <w:tab w:val="clear" w:pos="3958"/>
      </w:tabs>
      <w:jc w:val="right"/>
    </w:pPr>
  </w:style>
  <w:style w:type="character" w:styleId="Emphasis">
    <w:name w:val="Emphasis"/>
    <w:basedOn w:val="DefaultParagraphFont"/>
    <w:qFormat/>
    <w:rsid w:val="00A402EE"/>
    <w:rPr>
      <w:i/>
    </w:rPr>
  </w:style>
  <w:style w:type="paragraph" w:styleId="Caption">
    <w:name w:val="caption"/>
    <w:basedOn w:val="BodyText"/>
    <w:next w:val="Normal"/>
    <w:qFormat/>
    <w:rsid w:val="00A402EE"/>
    <w:pPr>
      <w:framePr w:w="2268" w:hSpace="181" w:vSpace="181" w:wrap="around" w:vAnchor="text" w:hAnchor="page" w:x="1135" w:y="285" w:anchorLock="1"/>
    </w:pPr>
    <w:rPr>
      <w:i/>
    </w:rPr>
  </w:style>
  <w:style w:type="paragraph" w:customStyle="1" w:styleId="MiniTOCTitle">
    <w:name w:val="MiniTOCTitle"/>
    <w:basedOn w:val="Heading4"/>
    <w:rsid w:val="00A402EE"/>
    <w:pPr>
      <w:spacing w:before="240"/>
      <w:outlineLvl w:val="9"/>
    </w:pPr>
    <w:rPr>
      <w:noProof/>
      <w:sz w:val="24"/>
    </w:rPr>
  </w:style>
  <w:style w:type="paragraph" w:customStyle="1" w:styleId="MiniTOCItem">
    <w:name w:val="MiniTOCItem"/>
    <w:basedOn w:val="ListBullet"/>
    <w:rsid w:val="00A402EE"/>
    <w:pPr>
      <w:numPr>
        <w:numId w:val="0"/>
      </w:numPr>
      <w:tabs>
        <w:tab w:val="right" w:leader="dot" w:pos="6521"/>
      </w:tabs>
      <w:spacing w:before="0" w:after="0"/>
    </w:pPr>
  </w:style>
  <w:style w:type="paragraph" w:customStyle="1" w:styleId="TOFTitle">
    <w:name w:val="TOFTitle"/>
    <w:basedOn w:val="TOCTitle"/>
    <w:rsid w:val="00A402EE"/>
  </w:style>
  <w:style w:type="paragraph" w:styleId="TableofFigures">
    <w:name w:val="table of figures"/>
    <w:basedOn w:val="Normal"/>
    <w:next w:val="Normal"/>
    <w:semiHidden/>
    <w:rsid w:val="00A402EE"/>
    <w:pPr>
      <w:tabs>
        <w:tab w:val="right" w:leader="dot" w:pos="9072"/>
      </w:tabs>
      <w:ind w:left="970" w:hanging="403"/>
    </w:pPr>
    <w:rPr>
      <w:rFonts w:ascii="Times New Roman" w:hAnsi="Times New Roman"/>
      <w:b/>
    </w:rPr>
  </w:style>
  <w:style w:type="paragraph" w:styleId="ListNumber">
    <w:name w:val="List Number"/>
    <w:basedOn w:val="List"/>
    <w:rsid w:val="00A402EE"/>
    <w:pPr>
      <w:numPr>
        <w:numId w:val="11"/>
      </w:numPr>
    </w:pPr>
  </w:style>
  <w:style w:type="character" w:customStyle="1" w:styleId="WingdingSymbols">
    <w:name w:val="Wingding Symbols"/>
    <w:rsid w:val="00A402EE"/>
    <w:rPr>
      <w:rFonts w:ascii="Wingdings" w:hAnsi="Wingdings"/>
    </w:rPr>
  </w:style>
  <w:style w:type="paragraph" w:customStyle="1" w:styleId="TableHeading">
    <w:name w:val="Table Heading"/>
    <w:basedOn w:val="HeadingBase"/>
    <w:rsid w:val="00A402EE"/>
    <w:pPr>
      <w:keepLines/>
      <w:pBdr>
        <w:bottom w:val="single" w:sz="6" w:space="1" w:color="918585"/>
      </w:pBdr>
      <w:spacing w:before="240"/>
    </w:pPr>
  </w:style>
  <w:style w:type="character" w:customStyle="1" w:styleId="HotSpot">
    <w:name w:val="HotSpot"/>
    <w:rsid w:val="00A402EE"/>
    <w:rPr>
      <w:color w:val="0033CC"/>
      <w:u w:val="none"/>
    </w:rPr>
  </w:style>
  <w:style w:type="paragraph" w:customStyle="1" w:styleId="BodyTextRight">
    <w:name w:val="Body Text Right"/>
    <w:basedOn w:val="BodyText"/>
    <w:rsid w:val="00A402EE"/>
    <w:pPr>
      <w:spacing w:before="0" w:after="0"/>
      <w:jc w:val="right"/>
    </w:pPr>
  </w:style>
  <w:style w:type="paragraph" w:styleId="Index3">
    <w:name w:val="index 3"/>
    <w:basedOn w:val="ListNumber2"/>
    <w:next w:val="Normal"/>
    <w:semiHidden/>
    <w:rsid w:val="00A402EE"/>
    <w:pPr>
      <w:numPr>
        <w:numId w:val="0"/>
      </w:numPr>
      <w:tabs>
        <w:tab w:val="right" w:leader="dot" w:pos="4176"/>
      </w:tabs>
    </w:pPr>
  </w:style>
  <w:style w:type="paragraph" w:styleId="ListNumber2">
    <w:name w:val="List Number 2"/>
    <w:basedOn w:val="List2"/>
    <w:rsid w:val="00A402EE"/>
    <w:pPr>
      <w:numPr>
        <w:numId w:val="10"/>
      </w:numPr>
      <w:tabs>
        <w:tab w:val="clear" w:pos="1060"/>
      </w:tabs>
    </w:pPr>
  </w:style>
  <w:style w:type="paragraph" w:customStyle="1" w:styleId="MarginNote">
    <w:name w:val="Margin Note"/>
    <w:basedOn w:val="BodyText"/>
    <w:rsid w:val="00A402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02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02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02EE"/>
    <w:rPr>
      <w:sz w:val="32"/>
    </w:rPr>
  </w:style>
  <w:style w:type="paragraph" w:customStyle="1" w:styleId="HeadingProcedure">
    <w:name w:val="Heading Procedure"/>
    <w:basedOn w:val="HeadingBase"/>
    <w:next w:val="Normal"/>
    <w:rsid w:val="00A402EE"/>
    <w:pPr>
      <w:tabs>
        <w:tab w:val="left" w:pos="0"/>
      </w:tabs>
      <w:spacing w:before="120" w:after="60"/>
    </w:pPr>
    <w:rPr>
      <w:i/>
      <w:color w:val="918585"/>
      <w:sz w:val="22"/>
    </w:rPr>
  </w:style>
  <w:style w:type="paragraph" w:customStyle="1" w:styleId="TableBodyText">
    <w:name w:val="Table Body Text"/>
    <w:basedOn w:val="BodyText"/>
    <w:rsid w:val="00A402EE"/>
    <w:pPr>
      <w:spacing w:before="60" w:after="60"/>
    </w:pPr>
  </w:style>
  <w:style w:type="paragraph" w:styleId="ListContinue">
    <w:name w:val="List Continue"/>
    <w:basedOn w:val="List"/>
    <w:rsid w:val="00A402EE"/>
    <w:pPr>
      <w:ind w:firstLine="0"/>
    </w:pPr>
  </w:style>
  <w:style w:type="paragraph" w:customStyle="1" w:styleId="ListNote">
    <w:name w:val="List Note"/>
    <w:basedOn w:val="List"/>
    <w:rsid w:val="00A402EE"/>
    <w:pPr>
      <w:pBdr>
        <w:top w:val="single" w:sz="6" w:space="2" w:color="918585"/>
        <w:bottom w:val="single" w:sz="6" w:space="2" w:color="918585"/>
      </w:pBdr>
      <w:tabs>
        <w:tab w:val="left" w:pos="1021"/>
      </w:tabs>
      <w:ind w:firstLine="0"/>
    </w:pPr>
  </w:style>
  <w:style w:type="paragraph" w:customStyle="1" w:styleId="Warning">
    <w:name w:val="Warning"/>
    <w:basedOn w:val="BodyText"/>
    <w:rsid w:val="00A402EE"/>
    <w:pPr>
      <w:shd w:val="clear" w:color="auto" w:fill="D9D9D9"/>
      <w:tabs>
        <w:tab w:val="left" w:pos="992"/>
      </w:tabs>
      <w:ind w:left="119" w:right="119"/>
    </w:pPr>
    <w:rPr>
      <w:sz w:val="20"/>
    </w:rPr>
  </w:style>
  <w:style w:type="paragraph" w:customStyle="1" w:styleId="MarginIcons">
    <w:name w:val="Margin Icons"/>
    <w:basedOn w:val="BodyText"/>
    <w:rsid w:val="00A402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02EE"/>
    <w:rPr>
      <w:rFonts w:ascii="Courier New" w:hAnsi="Courier New"/>
    </w:rPr>
  </w:style>
  <w:style w:type="paragraph" w:customStyle="1" w:styleId="NoteBullet">
    <w:name w:val="Note Bullet"/>
    <w:basedOn w:val="Note"/>
    <w:rsid w:val="00A402EE"/>
    <w:pPr>
      <w:tabs>
        <w:tab w:val="clear" w:pos="680"/>
      </w:tabs>
      <w:spacing w:before="60" w:after="60"/>
    </w:pPr>
  </w:style>
  <w:style w:type="paragraph" w:customStyle="1" w:styleId="SubHeading2">
    <w:name w:val="SubHeading2"/>
    <w:basedOn w:val="HeadingBase"/>
    <w:rsid w:val="00A402EE"/>
    <w:pPr>
      <w:spacing w:before="240" w:after="60"/>
    </w:pPr>
    <w:rPr>
      <w:sz w:val="20"/>
    </w:rPr>
  </w:style>
  <w:style w:type="paragraph" w:customStyle="1" w:styleId="SubHeading1">
    <w:name w:val="SubHeading1"/>
    <w:basedOn w:val="HeadingBase"/>
    <w:rsid w:val="00A402EE"/>
    <w:pPr>
      <w:spacing w:before="240" w:after="60"/>
    </w:pPr>
    <w:rPr>
      <w:color w:val="918585"/>
      <w:sz w:val="22"/>
    </w:rPr>
  </w:style>
  <w:style w:type="paragraph" w:customStyle="1" w:styleId="SideHeading">
    <w:name w:val="Side Heading"/>
    <w:basedOn w:val="HeadingBase"/>
    <w:rsid w:val="00A402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02EE"/>
    <w:pPr>
      <w:numPr>
        <w:numId w:val="12"/>
      </w:numPr>
    </w:pPr>
  </w:style>
  <w:style w:type="paragraph" w:styleId="PlainText">
    <w:name w:val="Plain Text"/>
    <w:basedOn w:val="Normal"/>
    <w:link w:val="PlainTextChar"/>
    <w:rsid w:val="00A402EE"/>
    <w:rPr>
      <w:sz w:val="20"/>
    </w:rPr>
  </w:style>
  <w:style w:type="character" w:customStyle="1" w:styleId="PlainTextChar">
    <w:name w:val="Plain Text Char"/>
    <w:basedOn w:val="DefaultParagraphFont"/>
    <w:link w:val="PlainText"/>
    <w:rsid w:val="00A402EE"/>
    <w:rPr>
      <w:rFonts w:ascii="Courier New" w:eastAsia="Times New Roman" w:hAnsi="Courier New" w:cs="Times New Roman"/>
      <w:sz w:val="20"/>
      <w:szCs w:val="20"/>
      <w:lang w:eastAsia="en-US"/>
    </w:rPr>
  </w:style>
  <w:style w:type="character" w:customStyle="1" w:styleId="MenuOption">
    <w:name w:val="Menu Option"/>
    <w:basedOn w:val="DefaultParagraphFont"/>
    <w:rsid w:val="00A402EE"/>
    <w:rPr>
      <w:b/>
      <w:smallCaps/>
    </w:rPr>
  </w:style>
  <w:style w:type="paragraph" w:customStyle="1" w:styleId="TableListNumber">
    <w:name w:val="Table List Number"/>
    <w:basedOn w:val="ListNumber"/>
    <w:rsid w:val="00A402EE"/>
    <w:pPr>
      <w:numPr>
        <w:numId w:val="0"/>
      </w:numPr>
    </w:pPr>
  </w:style>
  <w:style w:type="paragraph" w:styleId="TOC4">
    <w:name w:val="toc 4"/>
    <w:basedOn w:val="TOCBase"/>
    <w:next w:val="Normal"/>
    <w:semiHidden/>
    <w:rsid w:val="00A402EE"/>
    <w:pPr>
      <w:tabs>
        <w:tab w:val="right" w:leader="dot" w:pos="9071"/>
      </w:tabs>
      <w:ind w:left="1701"/>
    </w:pPr>
  </w:style>
  <w:style w:type="paragraph" w:customStyle="1" w:styleId="ListAlpha">
    <w:name w:val="List Alpha"/>
    <w:basedOn w:val="List"/>
    <w:rsid w:val="00A402EE"/>
    <w:pPr>
      <w:numPr>
        <w:numId w:val="9"/>
      </w:numPr>
    </w:pPr>
  </w:style>
  <w:style w:type="paragraph" w:customStyle="1" w:styleId="ListAlpha2">
    <w:name w:val="List Alpha 2"/>
    <w:basedOn w:val="List2"/>
    <w:rsid w:val="00A402EE"/>
    <w:pPr>
      <w:numPr>
        <w:numId w:val="8"/>
      </w:numPr>
    </w:pPr>
  </w:style>
  <w:style w:type="paragraph" w:styleId="List2">
    <w:name w:val="List 2"/>
    <w:basedOn w:val="BodyText"/>
    <w:rsid w:val="00A402EE"/>
    <w:pPr>
      <w:tabs>
        <w:tab w:val="left" w:pos="680"/>
      </w:tabs>
      <w:spacing w:before="60" w:after="60"/>
      <w:ind w:left="680" w:hanging="340"/>
    </w:pPr>
  </w:style>
  <w:style w:type="paragraph" w:styleId="List3">
    <w:name w:val="List 3"/>
    <w:basedOn w:val="BodyText"/>
    <w:rsid w:val="00A402EE"/>
    <w:pPr>
      <w:tabs>
        <w:tab w:val="left" w:pos="1021"/>
      </w:tabs>
      <w:spacing w:before="60" w:after="60"/>
      <w:ind w:left="1020" w:hanging="340"/>
    </w:pPr>
  </w:style>
  <w:style w:type="paragraph" w:styleId="List4">
    <w:name w:val="List 4"/>
    <w:basedOn w:val="BodyText"/>
    <w:rsid w:val="00A402EE"/>
    <w:pPr>
      <w:tabs>
        <w:tab w:val="left" w:pos="1361"/>
      </w:tabs>
      <w:spacing w:before="60" w:after="60"/>
      <w:ind w:left="1361" w:hanging="340"/>
    </w:pPr>
  </w:style>
  <w:style w:type="paragraph" w:styleId="List5">
    <w:name w:val="List 5"/>
    <w:basedOn w:val="BodyText"/>
    <w:rsid w:val="00A402EE"/>
    <w:pPr>
      <w:tabs>
        <w:tab w:val="left" w:pos="1701"/>
      </w:tabs>
      <w:spacing w:before="60" w:after="60"/>
      <w:ind w:left="1701" w:hanging="340"/>
    </w:pPr>
  </w:style>
  <w:style w:type="paragraph" w:styleId="ListBullet3">
    <w:name w:val="List Bullet 3"/>
    <w:basedOn w:val="List3"/>
    <w:rsid w:val="00A402EE"/>
    <w:pPr>
      <w:numPr>
        <w:numId w:val="15"/>
      </w:numPr>
      <w:tabs>
        <w:tab w:val="clear" w:pos="1021"/>
      </w:tabs>
      <w:ind w:left="1037" w:hanging="357"/>
    </w:pPr>
  </w:style>
  <w:style w:type="paragraph" w:styleId="ListBullet4">
    <w:name w:val="List Bullet 4"/>
    <w:basedOn w:val="List4"/>
    <w:rsid w:val="00A402EE"/>
    <w:pPr>
      <w:numPr>
        <w:numId w:val="3"/>
      </w:numPr>
    </w:pPr>
  </w:style>
  <w:style w:type="paragraph" w:styleId="ListBullet5">
    <w:name w:val="List Bullet 5"/>
    <w:basedOn w:val="List5"/>
    <w:rsid w:val="00A402EE"/>
    <w:pPr>
      <w:numPr>
        <w:numId w:val="4"/>
      </w:numPr>
    </w:pPr>
  </w:style>
  <w:style w:type="paragraph" w:styleId="ListContinue2">
    <w:name w:val="List Continue 2"/>
    <w:basedOn w:val="List2"/>
    <w:rsid w:val="00A402EE"/>
    <w:pPr>
      <w:ind w:firstLine="0"/>
    </w:pPr>
  </w:style>
  <w:style w:type="paragraph" w:styleId="ListContinue3">
    <w:name w:val="List Continue 3"/>
    <w:basedOn w:val="List3"/>
    <w:rsid w:val="00A402EE"/>
    <w:pPr>
      <w:ind w:left="1021" w:firstLine="0"/>
    </w:pPr>
  </w:style>
  <w:style w:type="paragraph" w:styleId="ListContinue4">
    <w:name w:val="List Continue 4"/>
    <w:basedOn w:val="List4"/>
    <w:rsid w:val="00A402EE"/>
    <w:pPr>
      <w:ind w:firstLine="0"/>
    </w:pPr>
  </w:style>
  <w:style w:type="paragraph" w:styleId="ListContinue5">
    <w:name w:val="List Continue 5"/>
    <w:basedOn w:val="List5"/>
    <w:rsid w:val="00A402EE"/>
    <w:pPr>
      <w:ind w:firstLine="0"/>
    </w:pPr>
  </w:style>
  <w:style w:type="paragraph" w:styleId="ListNumber3">
    <w:name w:val="List Number 3"/>
    <w:basedOn w:val="List3"/>
    <w:rsid w:val="00A402EE"/>
    <w:pPr>
      <w:numPr>
        <w:numId w:val="5"/>
      </w:numPr>
    </w:pPr>
  </w:style>
  <w:style w:type="paragraph" w:styleId="ListNumber4">
    <w:name w:val="List Number 4"/>
    <w:basedOn w:val="List4"/>
    <w:rsid w:val="00A402EE"/>
    <w:pPr>
      <w:numPr>
        <w:numId w:val="6"/>
      </w:numPr>
    </w:pPr>
  </w:style>
  <w:style w:type="paragraph" w:styleId="ListNumber5">
    <w:name w:val="List Number 5"/>
    <w:basedOn w:val="List5"/>
    <w:rsid w:val="00A402EE"/>
    <w:pPr>
      <w:numPr>
        <w:numId w:val="7"/>
      </w:numPr>
    </w:pPr>
  </w:style>
  <w:style w:type="paragraph" w:styleId="BlockText">
    <w:name w:val="Block Text"/>
    <w:basedOn w:val="Normal"/>
    <w:rsid w:val="00A402EE"/>
    <w:pPr>
      <w:spacing w:after="120"/>
      <w:ind w:left="1440" w:right="1440"/>
    </w:pPr>
  </w:style>
  <w:style w:type="character" w:customStyle="1" w:styleId="Subscript">
    <w:name w:val="Subscript"/>
    <w:basedOn w:val="DefaultParagraphFont"/>
    <w:rsid w:val="00A402EE"/>
    <w:rPr>
      <w:sz w:val="16"/>
      <w:vertAlign w:val="subscript"/>
    </w:rPr>
  </w:style>
  <w:style w:type="character" w:customStyle="1" w:styleId="Superscript">
    <w:name w:val="Superscript"/>
    <w:basedOn w:val="DefaultParagraphFont"/>
    <w:rsid w:val="00A402EE"/>
    <w:rPr>
      <w:sz w:val="16"/>
      <w:vertAlign w:val="superscript"/>
    </w:rPr>
  </w:style>
  <w:style w:type="character" w:customStyle="1" w:styleId="Symbols">
    <w:name w:val="Symbols"/>
    <w:basedOn w:val="DefaultParagraphFont"/>
    <w:rsid w:val="00A402EE"/>
    <w:rPr>
      <w:rFonts w:ascii="Symbol" w:hAnsi="Symbol"/>
    </w:rPr>
  </w:style>
  <w:style w:type="character" w:customStyle="1" w:styleId="MenuOptions">
    <w:name w:val="Menu Options"/>
    <w:basedOn w:val="DefaultParagraphFont"/>
    <w:rsid w:val="00A402EE"/>
    <w:rPr>
      <w:rFonts w:ascii="Arial Narrow" w:hAnsi="Arial Narrow"/>
      <w:smallCaps/>
    </w:rPr>
  </w:style>
  <w:style w:type="character" w:customStyle="1" w:styleId="Buttons">
    <w:name w:val="Buttons"/>
    <w:basedOn w:val="DefaultParagraphFont"/>
    <w:rsid w:val="00A402EE"/>
    <w:rPr>
      <w:b/>
    </w:rPr>
  </w:style>
  <w:style w:type="character" w:customStyle="1" w:styleId="Underlined">
    <w:name w:val="Underlined"/>
    <w:basedOn w:val="DefaultParagraphFont"/>
    <w:rsid w:val="00A402EE"/>
    <w:rPr>
      <w:u w:val="single"/>
    </w:rPr>
  </w:style>
  <w:style w:type="paragraph" w:customStyle="1" w:styleId="TableBodyTextRight">
    <w:name w:val="Table Body Text Right"/>
    <w:basedOn w:val="TableBodyText"/>
    <w:rsid w:val="00A402EE"/>
    <w:pPr>
      <w:widowControl w:val="0"/>
      <w:autoSpaceDE w:val="0"/>
      <w:autoSpaceDN w:val="0"/>
      <w:adjustRightInd w:val="0"/>
      <w:jc w:val="right"/>
    </w:pPr>
    <w:rPr>
      <w:rFonts w:cs="Arial"/>
      <w:szCs w:val="18"/>
    </w:rPr>
  </w:style>
  <w:style w:type="paragraph" w:customStyle="1" w:styleId="CopyrightText">
    <w:name w:val="Copyright Text"/>
    <w:basedOn w:val="BodyText"/>
    <w:rsid w:val="00A402EE"/>
    <w:rPr>
      <w:sz w:val="18"/>
    </w:rPr>
  </w:style>
  <w:style w:type="paragraph" w:customStyle="1" w:styleId="BodySmallRight">
    <w:name w:val="Body Small Right"/>
    <w:basedOn w:val="BodyTextRight"/>
    <w:rsid w:val="00A402EE"/>
    <w:rPr>
      <w:sz w:val="18"/>
      <w:szCs w:val="18"/>
    </w:rPr>
  </w:style>
  <w:style w:type="paragraph" w:customStyle="1" w:styleId="MarginEdition">
    <w:name w:val="Margin Edition"/>
    <w:basedOn w:val="MarginNote"/>
    <w:rsid w:val="00A402EE"/>
    <w:pPr>
      <w:spacing w:before="0" w:after="0"/>
    </w:pPr>
    <w:rPr>
      <w:rFonts w:ascii="Times New Roman" w:hAnsi="Times New Roman"/>
      <w:color w:val="999999"/>
    </w:rPr>
  </w:style>
  <w:style w:type="paragraph" w:customStyle="1" w:styleId="Spacer">
    <w:name w:val="Spacer"/>
    <w:basedOn w:val="Normal"/>
    <w:rsid w:val="00A402EE"/>
    <w:rPr>
      <w:sz w:val="2"/>
      <w:szCs w:val="2"/>
    </w:rPr>
  </w:style>
  <w:style w:type="character" w:customStyle="1" w:styleId="Small">
    <w:name w:val="Small"/>
    <w:basedOn w:val="DefaultParagraphFont"/>
    <w:rsid w:val="00A402EE"/>
    <w:rPr>
      <w:sz w:val="16"/>
    </w:rPr>
  </w:style>
  <w:style w:type="paragraph" w:customStyle="1" w:styleId="WideTable">
    <w:name w:val="Wide Table"/>
    <w:basedOn w:val="Normal"/>
    <w:rsid w:val="00A402EE"/>
    <w:pPr>
      <w:ind w:left="-1418"/>
    </w:pPr>
    <w:rPr>
      <w:sz w:val="2"/>
      <w:szCs w:val="2"/>
    </w:rPr>
  </w:style>
  <w:style w:type="character" w:styleId="PageNumber">
    <w:name w:val="page number"/>
    <w:basedOn w:val="DefaultParagraphFont"/>
    <w:rsid w:val="00A402EE"/>
  </w:style>
  <w:style w:type="paragraph" w:styleId="Quote">
    <w:name w:val="Quote"/>
    <w:basedOn w:val="Heading1"/>
    <w:link w:val="QuoteChar"/>
    <w:qFormat/>
    <w:rsid w:val="00A402EE"/>
    <w:rPr>
      <w:b w:val="0"/>
      <w:sz w:val="72"/>
      <w:szCs w:val="72"/>
      <w:lang w:val="en-NZ"/>
    </w:rPr>
  </w:style>
  <w:style w:type="character" w:customStyle="1" w:styleId="QuoteChar">
    <w:name w:val="Quote Char"/>
    <w:basedOn w:val="DefaultParagraphFont"/>
    <w:link w:val="Quote"/>
    <w:rsid w:val="00A402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02EE"/>
    <w:pPr>
      <w:pageBreakBefore/>
    </w:pPr>
  </w:style>
  <w:style w:type="paragraph" w:customStyle="1" w:styleId="Border">
    <w:name w:val="Border"/>
    <w:basedOn w:val="Normal"/>
    <w:qFormat/>
    <w:rsid w:val="00A402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02EE"/>
    <w:rPr>
      <w:b/>
      <w:bCs/>
      <w:i/>
      <w:iCs/>
      <w:color w:val="auto"/>
    </w:rPr>
  </w:style>
  <w:style w:type="paragraph" w:styleId="IntenseQuote">
    <w:name w:val="Intense Quote"/>
    <w:basedOn w:val="Normal"/>
    <w:next w:val="Normal"/>
    <w:link w:val="IntenseQuoteChar"/>
    <w:uiPriority w:val="30"/>
    <w:qFormat/>
    <w:rsid w:val="00A402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02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02EE"/>
    <w:rPr>
      <w:smallCaps/>
      <w:color w:val="auto"/>
      <w:u w:val="single"/>
    </w:rPr>
  </w:style>
  <w:style w:type="character" w:styleId="IntenseReference">
    <w:name w:val="Intense Reference"/>
    <w:basedOn w:val="DefaultParagraphFont"/>
    <w:uiPriority w:val="32"/>
    <w:qFormat/>
    <w:rsid w:val="00A402EE"/>
    <w:rPr>
      <w:b/>
      <w:bCs/>
      <w:smallCaps/>
      <w:color w:val="auto"/>
      <w:spacing w:val="5"/>
      <w:u w:val="single"/>
    </w:rPr>
  </w:style>
  <w:style w:type="paragraph" w:customStyle="1" w:styleId="2ColumnHeading">
    <w:name w:val="2Column Heading"/>
    <w:basedOn w:val="BodyText"/>
    <w:qFormat/>
    <w:rsid w:val="00A402EE"/>
    <w:pPr>
      <w:spacing w:after="60"/>
      <w:ind w:left="-2268"/>
    </w:pPr>
    <w:rPr>
      <w:b/>
    </w:rPr>
  </w:style>
  <w:style w:type="paragraph" w:customStyle="1" w:styleId="Heading1TOC">
    <w:name w:val="Heading1 TOC"/>
    <w:basedOn w:val="Normal"/>
    <w:qFormat/>
    <w:rsid w:val="00A402EE"/>
    <w:pPr>
      <w:spacing w:before="240" w:after="120"/>
    </w:pPr>
    <w:rPr>
      <w:rFonts w:ascii="Times New Roman" w:hAnsi="Times New Roman"/>
      <w:b/>
      <w:sz w:val="32"/>
    </w:rPr>
  </w:style>
  <w:style w:type="paragraph" w:customStyle="1" w:styleId="Heading2TOC">
    <w:name w:val="Heading2 TOC"/>
    <w:basedOn w:val="Normal"/>
    <w:qFormat/>
    <w:rsid w:val="00A402EE"/>
    <w:pPr>
      <w:spacing w:before="240" w:after="60"/>
    </w:pPr>
    <w:rPr>
      <w:rFonts w:ascii="Times New Roman" w:hAnsi="Times New Roman"/>
      <w:b/>
      <w:sz w:val="28"/>
    </w:rPr>
  </w:style>
  <w:style w:type="character" w:customStyle="1" w:styleId="Underline">
    <w:name w:val="Underline"/>
    <w:basedOn w:val="DefaultParagraphFont"/>
    <w:qFormat/>
    <w:rsid w:val="00A402EE"/>
    <w:rPr>
      <w:u w:val="single"/>
    </w:rPr>
  </w:style>
  <w:style w:type="character" w:customStyle="1" w:styleId="BoldandItalics">
    <w:name w:val="Bold and Italics"/>
    <w:qFormat/>
    <w:rsid w:val="00A402EE"/>
    <w:rPr>
      <w:b/>
      <w:i/>
      <w:u w:val="none"/>
    </w:rPr>
  </w:style>
  <w:style w:type="paragraph" w:styleId="BalloonText">
    <w:name w:val="Balloon Text"/>
    <w:basedOn w:val="Normal"/>
    <w:link w:val="BalloonTextChar"/>
    <w:rsid w:val="00A402EE"/>
    <w:rPr>
      <w:rFonts w:ascii="Tahoma" w:hAnsi="Tahoma" w:cs="Tahoma"/>
      <w:sz w:val="16"/>
      <w:szCs w:val="16"/>
    </w:rPr>
  </w:style>
  <w:style w:type="character" w:customStyle="1" w:styleId="BalloonTextChar">
    <w:name w:val="Balloon Text Char"/>
    <w:basedOn w:val="DefaultParagraphFont"/>
    <w:link w:val="BalloonText"/>
    <w:rsid w:val="00A402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02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02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02EE"/>
    <w:rPr>
      <w:b/>
      <w:color w:val="660033"/>
      <w:spacing w:val="0"/>
    </w:rPr>
  </w:style>
  <w:style w:type="paragraph" w:customStyle="1" w:styleId="Nameditemlist">
    <w:name w:val="Named item list"/>
    <w:basedOn w:val="BodyText"/>
    <w:qFormat/>
    <w:rsid w:val="00A402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1768</Words>
  <Characters>11622</Characters>
  <Application>Microsoft Office Word</Application>
  <DocSecurity>0</DocSecurity>
  <Lines>394</Lines>
  <Paragraphs>177</Paragraphs>
  <ScaleCrop>false</ScaleCrop>
  <Company>Author-it Software Corporation Ltd.</Company>
  <LinksUpToDate>false</LinksUpToDate>
  <CharactersWithSpaces>13301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MEM234031A Manage installation, commissioning or modification of machines and equipment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2012-10-05T07:49:00Z</dcterms:created>
  <dcterms:modified xsi:type="dcterms:W3CDTF">2012-10-05T07:49:00Z</dcterms:modified>
</cp:coreProperties>
</file>