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B3C8D" w:rsidP="004B3C8D">
      <w:pPr>
        <w:pStyle w:val="Title"/>
      </w:pPr>
      <w:bookmarkStart w:id="0" w:name="_GoBack"/>
      <w:bookmarkEnd w:id="0"/>
      <w:r>
        <w:fldChar w:fldCharType="begin"/>
      </w:r>
      <w:r>
        <w:instrText xml:space="preserve"> TITLE   \* MERGEFORMAT </w:instrText>
      </w:r>
      <w:r>
        <w:fldChar w:fldCharType="separate"/>
      </w:r>
      <w:r>
        <w:t>MEM234030A Provide specialised technical and engineering guidance to other technical employees</w:t>
      </w:r>
      <w:r>
        <w:fldChar w:fldCharType="end"/>
      </w:r>
    </w:p>
    <w:p w:rsidR="004B3C8D" w:rsidP="004B3C8D">
      <w:pPr>
        <w:pStyle w:val="Version"/>
        <w:sectPr w:rsidSect="0009455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94559" w:rsidP="00094559">
      <w:pPr>
        <w:pStyle w:val="SuperHeading"/>
      </w:pPr>
      <w:r w:rsidRPr="00094559">
        <w:t>MEM234030A Provide specialised technical and engineering guidance to other technical employees</w:t>
      </w:r>
    </w:p>
    <w:p w:rsidR="00000000" w:rsidRPr="00094559" w:rsidP="00094559">
      <w:pPr>
        <w:pStyle w:val="Heading1"/>
      </w:pPr>
      <w:bookmarkStart w:id="1" w:name="O_397388"/>
      <w:bookmarkEnd w:id="1"/>
      <w:r w:rsidRPr="00094559">
        <w:t>Modification History</w:t>
      </w:r>
    </w:p>
    <w:p w:rsidR="00000000" w:rsidRPr="00094559" w:rsidP="00094559">
      <w:pPr>
        <w:pStyle w:val="BodyText"/>
      </w:pPr>
      <w:r w:rsidRPr="00094559">
        <w:t>New unit</w:t>
      </w:r>
    </w:p>
    <w:p w:rsidR="00000000" w:rsidRPr="00094559" w:rsidP="00094559">
      <w:pPr>
        <w:pStyle w:val="AllowPageBreak"/>
      </w:pPr>
    </w:p>
    <w:p w:rsidR="00000000" w:rsidRPr="00094559" w:rsidP="00094559">
      <w:pPr>
        <w:pStyle w:val="Heading1"/>
      </w:pPr>
      <w:bookmarkStart w:id="2" w:name="O_397389"/>
      <w:bookmarkEnd w:id="2"/>
      <w:r w:rsidRPr="00094559">
        <w:t>Unit Des</w:t>
      </w:r>
      <w:r w:rsidRPr="00094559">
        <w:t>criptor</w:t>
      </w:r>
    </w:p>
    <w:p w:rsidR="00000000" w:rsidRPr="00094559" w:rsidP="00094559">
      <w:pPr>
        <w:pStyle w:val="BodyText"/>
      </w:pPr>
      <w:r w:rsidRPr="00094559">
        <w:t xml:space="preserve">This unit of competency covers the provision of technical advice, including mentoring to other technical and paraprofessional employees, usually but not always, working in the same technical field or discipline. </w:t>
      </w:r>
    </w:p>
    <w:p w:rsidR="00000000" w:rsidRPr="00094559" w:rsidP="00094559">
      <w:pPr>
        <w:pStyle w:val="AllowPageBreak"/>
      </w:pPr>
    </w:p>
    <w:p w:rsidR="00000000" w:rsidRPr="00094559" w:rsidP="00094559">
      <w:pPr>
        <w:pStyle w:val="Heading1"/>
      </w:pPr>
      <w:bookmarkStart w:id="3" w:name="O_397390"/>
      <w:bookmarkEnd w:id="3"/>
      <w:r w:rsidRPr="00094559">
        <w:t>Application of the</w:t>
      </w:r>
      <w:r w:rsidRPr="00094559">
        <w:t xml:space="preserve"> Unit</w:t>
      </w:r>
    </w:p>
    <w:p w:rsidR="00000000" w:rsidRPr="00094559" w:rsidP="00094559">
      <w:pPr>
        <w:pStyle w:val="BodyText"/>
      </w:pPr>
      <w:r w:rsidRPr="00094559">
        <w:t>This unit applies across all forms of manufacturing and engineering where an individual is using their professional skills and knowledge to provide engineering and technical guidance to other technical employees within the organisation. Examples of t</w:t>
      </w:r>
      <w:r w:rsidRPr="00094559">
        <w:t xml:space="preserve">echnical guidance situations include acting as a technical resource person to other technical employees or teams, or mentoring of other technical employees because of specialised skill and knowledge. </w:t>
      </w:r>
    </w:p>
    <w:p w:rsidR="00000000" w:rsidRPr="00094559" w:rsidP="00094559">
      <w:pPr>
        <w:pStyle w:val="BodyText"/>
      </w:pPr>
    </w:p>
    <w:p w:rsidR="00000000" w:rsidRPr="00094559" w:rsidP="00094559">
      <w:pPr>
        <w:pStyle w:val="BodyText"/>
      </w:pPr>
      <w:r w:rsidRPr="00094559">
        <w:t>The emphasis in this unit is on the provision of techn</w:t>
      </w:r>
      <w:r w:rsidRPr="00094559">
        <w:t xml:space="preserve">ical advice usually as part of day-to-day operations where the person is not in a formally designated managerial or leadership role. The unit assumes technical competence to Advanced Diploma of Engineering level or equivalent industrial experience. </w:t>
      </w:r>
    </w:p>
    <w:p w:rsidR="00000000" w:rsidRPr="00094559" w:rsidP="00094559">
      <w:pPr>
        <w:pStyle w:val="BodyText"/>
      </w:pPr>
    </w:p>
    <w:p w:rsidR="00000000" w:rsidRPr="00094559" w:rsidP="00094559">
      <w:pPr>
        <w:pStyle w:val="BodyText"/>
      </w:pPr>
      <w:r w:rsidRPr="00094559">
        <w:t>Where</w:t>
      </w:r>
      <w:r w:rsidRPr="00094559">
        <w:t xml:space="preserve"> formal leadership and management of engineering and related projects or operations applies see the unit MEM234001A Plan and manage engineering-related projects or operations or other subject specific engineering leadership units, such as:</w:t>
      </w:r>
    </w:p>
    <w:p w:rsidR="00000000" w:rsidRPr="00094559" w:rsidP="00094559">
      <w:pPr>
        <w:pStyle w:val="ListBullet"/>
      </w:pPr>
      <w:r w:rsidRPr="00094559">
        <w:t>MEM234031A Manag</w:t>
      </w:r>
      <w:r w:rsidRPr="00094559">
        <w:t>e installation, commissioning or modification of machines and equipment</w:t>
      </w:r>
    </w:p>
    <w:p w:rsidR="00000000" w:rsidRPr="00094559" w:rsidP="00094559">
      <w:pPr>
        <w:pStyle w:val="ListBullet"/>
      </w:pPr>
      <w:r w:rsidRPr="00094559">
        <w:t>MEM234032A Manage fluid power related technologies in an enterprise</w:t>
      </w:r>
    </w:p>
    <w:p w:rsidR="00000000" w:rsidRPr="00094559" w:rsidP="00094559">
      <w:pPr>
        <w:pStyle w:val="ListBullet"/>
      </w:pPr>
      <w:r w:rsidRPr="00094559">
        <w:t>MEM234033A Lead engineering-related quality operations in an enterprise.</w:t>
      </w:r>
    </w:p>
    <w:p w:rsidR="00000000" w:rsidRPr="00094559" w:rsidP="00094559">
      <w:pPr>
        <w:pStyle w:val="BodyText"/>
      </w:pPr>
    </w:p>
    <w:p w:rsidR="00000000" w:rsidRPr="00094559" w:rsidP="00094559">
      <w:pPr>
        <w:pStyle w:val="BodyText"/>
      </w:pPr>
      <w:r w:rsidRPr="00094559">
        <w:t xml:space="preserve">This unit does not cover the giving of general advice associated with conditions of employment, such as career planning and wages. </w:t>
      </w:r>
    </w:p>
    <w:p w:rsidR="00000000" w:rsidRPr="00094559" w:rsidP="00094559">
      <w:pPr>
        <w:pStyle w:val="AllowPageBreak"/>
      </w:pPr>
    </w:p>
    <w:p w:rsidR="00000000" w:rsidRPr="00094559" w:rsidP="00094559">
      <w:pPr>
        <w:pStyle w:val="Heading1"/>
      </w:pPr>
      <w:bookmarkStart w:id="4" w:name="O_397391"/>
      <w:bookmarkEnd w:id="4"/>
      <w:r w:rsidRPr="00094559">
        <w:t>Licensing/Regulatory Information</w:t>
      </w:r>
    </w:p>
    <w:p w:rsidR="00000000" w:rsidRPr="00094559" w:rsidP="00094559">
      <w:pPr>
        <w:pStyle w:val="BodyText"/>
      </w:pPr>
      <w:r w:rsidRPr="00094559">
        <w:t>Not applicable.</w:t>
      </w:r>
    </w:p>
    <w:p w:rsidR="00000000" w:rsidRPr="00094559" w:rsidP="00094559">
      <w:pPr>
        <w:pStyle w:val="AllowPageBreak"/>
      </w:pPr>
    </w:p>
    <w:p w:rsidR="00000000" w:rsidRPr="00094559" w:rsidP="00094559">
      <w:pPr>
        <w:pStyle w:val="Heading1"/>
      </w:pPr>
      <w:bookmarkStart w:id="5" w:name="O_397392"/>
      <w:bookmarkEnd w:id="5"/>
      <w:r w:rsidRPr="00094559">
        <w:t>Pre-Requisites</w:t>
      </w:r>
    </w:p>
    <w:p w:rsidR="00000000" w:rsidRPr="00094559" w:rsidP="00094559">
      <w:pPr>
        <w:pStyle w:val="BodyText"/>
      </w:pPr>
      <w:r w:rsidRPr="00094559">
        <w:t>Not applicable.</w:t>
      </w:r>
    </w:p>
    <w:p w:rsidR="00000000" w:rsidRPr="00094559" w:rsidP="00094559">
      <w:pPr>
        <w:pStyle w:val="AllowPageBreak"/>
      </w:pPr>
    </w:p>
    <w:p w:rsidR="00000000" w:rsidRPr="00094559" w:rsidP="00094559">
      <w:pPr>
        <w:pStyle w:val="Heading1"/>
      </w:pPr>
      <w:bookmarkStart w:id="6" w:name="O_397393"/>
      <w:bookmarkEnd w:id="6"/>
      <w:r w:rsidRPr="00094559">
        <w:t>Employability Skills Information</w:t>
      </w:r>
    </w:p>
    <w:p w:rsidR="00000000" w:rsidRPr="00094559" w:rsidP="00094559">
      <w:pPr>
        <w:pStyle w:val="BodyText"/>
      </w:pPr>
      <w:r w:rsidRPr="00094559">
        <w:t>This unit contains employability skills.</w:t>
      </w:r>
    </w:p>
    <w:p w:rsidR="00000000" w:rsidRPr="00094559" w:rsidP="00094559">
      <w:pPr>
        <w:pStyle w:val="AllowPageBreak"/>
      </w:pPr>
    </w:p>
    <w:p w:rsidR="00000000" w:rsidRPr="00094559" w:rsidP="00094559">
      <w:pPr>
        <w:pStyle w:val="Heading1"/>
      </w:pPr>
      <w:bookmarkStart w:id="7" w:name="O_397394"/>
      <w:bookmarkEnd w:id="7"/>
      <w:r w:rsidRPr="00094559">
        <w:t>Elements and Performance Criteria Pre-Content</w:t>
      </w:r>
    </w:p>
    <w:tbl>
      <w:tblPr>
        <w:tblW w:w="0" w:type="auto"/>
        <w:tblLayout w:type="fixed"/>
        <w:tblCellMar>
          <w:left w:w="62" w:type="dxa"/>
          <w:right w:w="62" w:type="dxa"/>
        </w:tblCellMar>
        <w:tblLook w:val="0000"/>
      </w:tblPr>
      <w:tblGrid>
        <w:gridCol w:w="2640"/>
        <w:gridCol w:w="6380"/>
      </w:tblGrid>
      <w:tr w:rsidTr="00094559">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094559">
            <w:pPr>
              <w:pStyle w:val="BodyText"/>
              <w:rPr>
                <w:lang w:val="en-NZ"/>
              </w:rPr>
            </w:pPr>
            <w:r w:rsidRPr="00094559">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094559" w:rsidP="00094559">
            <w:pPr>
              <w:pStyle w:val="BodyText"/>
            </w:pPr>
            <w:r w:rsidRPr="00094559">
              <w:t xml:space="preserve">Performance criteria describe the performance </w:t>
            </w:r>
            <w:r w:rsidRPr="00094559">
              <w:t>needed to demonstrate achievement of the element. Where bold italicised text is used, further information is detailed in the required skills and knowledge section and the range statement. Assessment of performance is to be consistent with the evidence guid</w:t>
            </w:r>
            <w:r w:rsidRPr="00094559">
              <w:t>e.</w:t>
            </w:r>
          </w:p>
        </w:tc>
      </w:tr>
    </w:tbl>
    <w:p w:rsidR="00000000" w:rsidRPr="00094559" w:rsidP="00094559">
      <w:pPr>
        <w:pStyle w:val="BodyText"/>
      </w:pPr>
    </w:p>
    <w:p w:rsidR="00000000" w:rsidRPr="00094559" w:rsidP="00094559">
      <w:pPr>
        <w:pStyle w:val="AllowPageBreak"/>
      </w:pPr>
    </w:p>
    <w:p w:rsidR="00000000" w:rsidRPr="00094559" w:rsidP="00094559">
      <w:pPr>
        <w:pStyle w:val="Heading1"/>
      </w:pPr>
      <w:bookmarkStart w:id="8" w:name="O_397395"/>
      <w:bookmarkEnd w:id="8"/>
      <w:r w:rsidRPr="00094559">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09455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094559">
            <w:pPr>
              <w:pStyle w:val="BodyText"/>
              <w:rPr>
                <w:lang w:val="en-NZ"/>
              </w:rPr>
            </w:pPr>
            <w:r w:rsidRPr="00094559">
              <w:t>1</w:t>
            </w:r>
          </w:p>
        </w:tc>
        <w:tc>
          <w:tcPr>
            <w:tcW w:w="1962" w:type="dxa"/>
            <w:vMerge w:val="restart"/>
            <w:tcBorders>
              <w:top w:val="nil"/>
              <w:left w:val="nil"/>
              <w:bottom w:val="nil"/>
              <w:right w:val="nil"/>
            </w:tcBorders>
            <w:tcMar>
              <w:top w:w="0" w:type="dxa"/>
              <w:left w:w="62" w:type="dxa"/>
              <w:bottom w:w="0" w:type="dxa"/>
              <w:right w:w="62" w:type="dxa"/>
            </w:tcMar>
          </w:tcPr>
          <w:p w:rsidR="00000000" w:rsidP="00094559">
            <w:pPr>
              <w:pStyle w:val="BodyText"/>
              <w:rPr>
                <w:lang w:val="en-NZ"/>
              </w:rPr>
            </w:pPr>
            <w:r w:rsidRPr="00094559">
              <w:t>Respond to requests for technical advice or assistance</w:t>
            </w:r>
          </w:p>
        </w:tc>
        <w:tc>
          <w:tcPr>
            <w:tcW w:w="770" w:type="dxa"/>
            <w:tcBorders>
              <w:top w:val="nil"/>
              <w:left w:val="nil"/>
              <w:bottom w:val="nil"/>
              <w:right w:val="nil"/>
            </w:tcBorders>
            <w:tcMar>
              <w:top w:w="0" w:type="dxa"/>
              <w:left w:w="62" w:type="dxa"/>
              <w:bottom w:w="0" w:type="dxa"/>
              <w:right w:w="62" w:type="dxa"/>
            </w:tcMar>
          </w:tcPr>
          <w:p w:rsidR="00000000" w:rsidP="00094559">
            <w:pPr>
              <w:pStyle w:val="BodyText"/>
              <w:rPr>
                <w:lang w:val="en-NZ"/>
              </w:rPr>
            </w:pPr>
            <w:r w:rsidRPr="00094559">
              <w:t>1.1</w:t>
            </w:r>
          </w:p>
        </w:tc>
        <w:tc>
          <w:tcPr>
            <w:tcW w:w="5610" w:type="dxa"/>
            <w:tcBorders>
              <w:top w:val="nil"/>
              <w:left w:val="nil"/>
              <w:bottom w:val="nil"/>
              <w:right w:val="nil"/>
            </w:tcBorders>
            <w:tcMar>
              <w:top w:w="0" w:type="dxa"/>
              <w:left w:w="62" w:type="dxa"/>
              <w:bottom w:w="0" w:type="dxa"/>
              <w:right w:w="62" w:type="dxa"/>
            </w:tcMar>
          </w:tcPr>
          <w:p w:rsidR="00000000" w:rsidP="00094559">
            <w:pPr>
              <w:pStyle w:val="BodyText"/>
              <w:rPr>
                <w:lang w:val="en-NZ"/>
              </w:rPr>
            </w:pPr>
            <w:r w:rsidRPr="00094559">
              <w:t>Confirm that request for assistance is of an engineering nature, including engineering-related outcomes required</w:t>
            </w:r>
          </w:p>
        </w:tc>
      </w:tr>
      <w:tr w:rsidTr="0009455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94559">
            <w:pPr>
              <w:pStyle w:val="BodyText"/>
              <w:rPr>
                <w:lang w:val="en-NZ"/>
              </w:rPr>
            </w:pPr>
            <w:r w:rsidRPr="00094559">
              <w:t>1.2</w:t>
            </w:r>
          </w:p>
        </w:tc>
        <w:tc>
          <w:tcPr>
            <w:tcW w:w="5610" w:type="dxa"/>
            <w:tcBorders>
              <w:top w:val="nil"/>
              <w:left w:val="nil"/>
              <w:bottom w:val="nil"/>
              <w:right w:val="nil"/>
            </w:tcBorders>
            <w:tcMar>
              <w:top w:w="0" w:type="dxa"/>
              <w:left w:w="62" w:type="dxa"/>
              <w:bottom w:w="0" w:type="dxa"/>
              <w:right w:w="62" w:type="dxa"/>
            </w:tcMar>
          </w:tcPr>
          <w:p w:rsidR="00000000" w:rsidP="00094559">
            <w:pPr>
              <w:pStyle w:val="BodyText"/>
              <w:rPr>
                <w:lang w:val="en-NZ"/>
              </w:rPr>
            </w:pPr>
            <w:r w:rsidRPr="00094559">
              <w:t>Identify extent of engineering information currently known</w:t>
            </w:r>
          </w:p>
        </w:tc>
      </w:tr>
      <w:tr w:rsidTr="0009455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94559">
            <w:pPr>
              <w:pStyle w:val="BodyText"/>
              <w:rPr>
                <w:lang w:val="en-NZ"/>
              </w:rPr>
            </w:pPr>
            <w:r w:rsidRPr="00094559">
              <w:t>1.3</w:t>
            </w:r>
          </w:p>
        </w:tc>
        <w:tc>
          <w:tcPr>
            <w:tcW w:w="5610" w:type="dxa"/>
            <w:tcBorders>
              <w:top w:val="nil"/>
              <w:left w:val="nil"/>
              <w:bottom w:val="nil"/>
              <w:right w:val="nil"/>
            </w:tcBorders>
            <w:tcMar>
              <w:top w:w="0" w:type="dxa"/>
              <w:left w:w="62" w:type="dxa"/>
              <w:bottom w:w="0" w:type="dxa"/>
              <w:right w:w="62" w:type="dxa"/>
            </w:tcMar>
          </w:tcPr>
          <w:p w:rsidR="00000000" w:rsidP="00094559">
            <w:pPr>
              <w:pStyle w:val="BodyText"/>
              <w:rPr>
                <w:lang w:val="en-NZ"/>
              </w:rPr>
            </w:pPr>
            <w:r w:rsidRPr="00094559">
              <w:t xml:space="preserve">Define issue or problem in engineering-related terms </w:t>
            </w:r>
          </w:p>
        </w:tc>
      </w:tr>
      <w:tr w:rsidTr="0009455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94559">
            <w:pPr>
              <w:pStyle w:val="BodyText"/>
              <w:rPr>
                <w:lang w:val="en-NZ"/>
              </w:rPr>
            </w:pPr>
            <w:r w:rsidRPr="00094559">
              <w:t>1.4</w:t>
            </w:r>
          </w:p>
        </w:tc>
        <w:tc>
          <w:tcPr>
            <w:tcW w:w="5610" w:type="dxa"/>
            <w:tcBorders>
              <w:top w:val="nil"/>
              <w:left w:val="nil"/>
              <w:bottom w:val="nil"/>
              <w:right w:val="nil"/>
            </w:tcBorders>
            <w:tcMar>
              <w:top w:w="0" w:type="dxa"/>
              <w:left w:w="62" w:type="dxa"/>
              <w:bottom w:w="0" w:type="dxa"/>
              <w:right w:w="62" w:type="dxa"/>
            </w:tcMar>
          </w:tcPr>
          <w:p w:rsidR="00000000" w:rsidP="00094559">
            <w:pPr>
              <w:pStyle w:val="BodyText"/>
              <w:rPr>
                <w:lang w:val="en-NZ"/>
              </w:rPr>
            </w:pPr>
            <w:r w:rsidRPr="00094559">
              <w:t>Identify whether request is within own discipline and skills and knowledge or should be referred to other expert technical or professional assistance</w:t>
            </w:r>
          </w:p>
        </w:tc>
      </w:tr>
      <w:tr w:rsidTr="0009455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94559">
            <w:pPr>
              <w:pStyle w:val="BodyText"/>
              <w:rPr>
                <w:lang w:val="en-NZ"/>
              </w:rPr>
            </w:pPr>
            <w:r w:rsidRPr="00094559">
              <w:t>1.5</w:t>
            </w:r>
          </w:p>
        </w:tc>
        <w:tc>
          <w:tcPr>
            <w:tcW w:w="5610" w:type="dxa"/>
            <w:tcBorders>
              <w:top w:val="nil"/>
              <w:left w:val="nil"/>
              <w:bottom w:val="nil"/>
              <w:right w:val="nil"/>
            </w:tcBorders>
            <w:tcMar>
              <w:top w:w="0" w:type="dxa"/>
              <w:left w:w="62" w:type="dxa"/>
              <w:bottom w:w="0" w:type="dxa"/>
              <w:right w:w="62" w:type="dxa"/>
            </w:tcMar>
          </w:tcPr>
          <w:p w:rsidR="00000000" w:rsidP="00094559">
            <w:pPr>
              <w:pStyle w:val="BodyText"/>
              <w:rPr>
                <w:lang w:val="en-NZ"/>
              </w:rPr>
            </w:pPr>
            <w:r w:rsidRPr="00094559">
              <w:t>Assist individuals or technical team to identify stakeholders to engineering issues and practice in</w:t>
            </w:r>
            <w:r w:rsidRPr="00094559">
              <w:t xml:space="preserve"> the organisation </w:t>
            </w:r>
          </w:p>
        </w:tc>
      </w:tr>
      <w:tr w:rsidTr="0009455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94559">
            <w:pPr>
              <w:pStyle w:val="BodyText"/>
              <w:rPr>
                <w:lang w:val="en-NZ"/>
              </w:rPr>
            </w:pPr>
            <w:r w:rsidRPr="00094559">
              <w:t>1.6</w:t>
            </w:r>
          </w:p>
        </w:tc>
        <w:tc>
          <w:tcPr>
            <w:tcW w:w="5610" w:type="dxa"/>
            <w:tcBorders>
              <w:top w:val="nil"/>
              <w:left w:val="nil"/>
              <w:bottom w:val="nil"/>
              <w:right w:val="nil"/>
            </w:tcBorders>
            <w:tcMar>
              <w:top w:w="0" w:type="dxa"/>
              <w:left w:w="62" w:type="dxa"/>
              <w:bottom w:w="0" w:type="dxa"/>
              <w:right w:w="62" w:type="dxa"/>
            </w:tcMar>
          </w:tcPr>
          <w:p w:rsidR="00000000" w:rsidP="00094559">
            <w:pPr>
              <w:pStyle w:val="BodyText"/>
              <w:rPr>
                <w:lang w:val="en-NZ"/>
              </w:rPr>
            </w:pPr>
            <w:r w:rsidRPr="00094559">
              <w:t>Assist individuals or team to identify constraints and solution steps</w:t>
            </w:r>
          </w:p>
        </w:tc>
      </w:tr>
      <w:tr w:rsidTr="0009455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94559">
            <w:pPr>
              <w:pStyle w:val="BodyText"/>
              <w:rPr>
                <w:lang w:val="en-NZ"/>
              </w:rPr>
            </w:pPr>
            <w:r w:rsidRPr="00094559">
              <w:t>1.7</w:t>
            </w:r>
          </w:p>
        </w:tc>
        <w:tc>
          <w:tcPr>
            <w:tcW w:w="5610" w:type="dxa"/>
            <w:tcBorders>
              <w:top w:val="nil"/>
              <w:left w:val="nil"/>
              <w:bottom w:val="nil"/>
              <w:right w:val="nil"/>
            </w:tcBorders>
            <w:tcMar>
              <w:top w:w="0" w:type="dxa"/>
              <w:left w:w="62" w:type="dxa"/>
              <w:bottom w:w="0" w:type="dxa"/>
              <w:right w:w="62" w:type="dxa"/>
            </w:tcMar>
          </w:tcPr>
          <w:p w:rsidR="00000000" w:rsidRPr="00094559" w:rsidP="00094559">
            <w:pPr>
              <w:pStyle w:val="BodyText"/>
            </w:pPr>
            <w:r w:rsidRPr="00094559">
              <w:t xml:space="preserve">Verify solution </w:t>
            </w:r>
          </w:p>
        </w:tc>
      </w:tr>
    </w:tbl>
    <w:p w:rsidR="00000000" w:rsidRPr="00094559" w:rsidP="00094559">
      <w:pPr>
        <w:pStyle w:val="BodyText"/>
      </w:pPr>
    </w:p>
    <w:tbl>
      <w:tblPr>
        <w:tblW w:w="0" w:type="auto"/>
        <w:tblLayout w:type="fixed"/>
        <w:tblCellMar>
          <w:left w:w="62" w:type="dxa"/>
          <w:right w:w="62" w:type="dxa"/>
        </w:tblCellMar>
        <w:tblLook w:val="0000"/>
      </w:tblPr>
      <w:tblGrid>
        <w:gridCol w:w="678"/>
        <w:gridCol w:w="1962"/>
        <w:gridCol w:w="770"/>
        <w:gridCol w:w="5610"/>
      </w:tblGrid>
      <w:tr w:rsidTr="0009455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094559">
            <w:pPr>
              <w:pStyle w:val="BodyText"/>
              <w:rPr>
                <w:lang w:val="en-NZ"/>
              </w:rPr>
            </w:pPr>
            <w:r w:rsidRPr="00094559">
              <w:t>2</w:t>
            </w:r>
          </w:p>
        </w:tc>
        <w:tc>
          <w:tcPr>
            <w:tcW w:w="1962" w:type="dxa"/>
            <w:vMerge w:val="restart"/>
            <w:tcBorders>
              <w:top w:val="nil"/>
              <w:left w:val="nil"/>
              <w:bottom w:val="nil"/>
              <w:right w:val="nil"/>
            </w:tcBorders>
            <w:tcMar>
              <w:top w:w="0" w:type="dxa"/>
              <w:left w:w="62" w:type="dxa"/>
              <w:bottom w:w="0" w:type="dxa"/>
              <w:right w:w="62" w:type="dxa"/>
            </w:tcMar>
          </w:tcPr>
          <w:p w:rsidR="00000000" w:rsidP="00094559">
            <w:pPr>
              <w:pStyle w:val="BodyText"/>
              <w:rPr>
                <w:lang w:val="en-NZ"/>
              </w:rPr>
            </w:pPr>
            <w:r w:rsidRPr="00094559">
              <w:t>Identify other situations where current practice may be inadequate within the department or team</w:t>
            </w:r>
          </w:p>
        </w:tc>
        <w:tc>
          <w:tcPr>
            <w:tcW w:w="770" w:type="dxa"/>
            <w:tcBorders>
              <w:top w:val="nil"/>
              <w:left w:val="nil"/>
              <w:bottom w:val="nil"/>
              <w:right w:val="nil"/>
            </w:tcBorders>
            <w:tcMar>
              <w:top w:w="0" w:type="dxa"/>
              <w:left w:w="62" w:type="dxa"/>
              <w:bottom w:w="0" w:type="dxa"/>
              <w:right w:w="62" w:type="dxa"/>
            </w:tcMar>
          </w:tcPr>
          <w:p w:rsidR="00000000" w:rsidP="00094559">
            <w:pPr>
              <w:pStyle w:val="BodyText"/>
              <w:rPr>
                <w:lang w:val="en-NZ"/>
              </w:rPr>
            </w:pPr>
            <w:r w:rsidRPr="00094559">
              <w:t>2.1</w:t>
            </w:r>
          </w:p>
        </w:tc>
        <w:tc>
          <w:tcPr>
            <w:tcW w:w="5610" w:type="dxa"/>
            <w:tcBorders>
              <w:top w:val="nil"/>
              <w:left w:val="nil"/>
              <w:bottom w:val="nil"/>
              <w:right w:val="nil"/>
            </w:tcBorders>
            <w:tcMar>
              <w:top w:w="0" w:type="dxa"/>
              <w:left w:w="62" w:type="dxa"/>
              <w:bottom w:w="0" w:type="dxa"/>
              <w:right w:w="62" w:type="dxa"/>
            </w:tcMar>
          </w:tcPr>
          <w:p w:rsidR="00000000" w:rsidP="00094559">
            <w:pPr>
              <w:pStyle w:val="BodyText"/>
              <w:rPr>
                <w:lang w:val="en-NZ"/>
              </w:rPr>
            </w:pPr>
            <w:r w:rsidRPr="00094559">
              <w:t>Identify technical, engineering or sustainability-related risk factors in workplace</w:t>
            </w:r>
          </w:p>
        </w:tc>
      </w:tr>
      <w:tr w:rsidTr="0009455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94559">
            <w:pPr>
              <w:pStyle w:val="BodyText"/>
              <w:rPr>
                <w:lang w:val="en-NZ"/>
              </w:rPr>
            </w:pPr>
            <w:r w:rsidRPr="00094559">
              <w:t>2.2</w:t>
            </w:r>
          </w:p>
        </w:tc>
        <w:tc>
          <w:tcPr>
            <w:tcW w:w="5610" w:type="dxa"/>
            <w:tcBorders>
              <w:top w:val="nil"/>
              <w:left w:val="nil"/>
              <w:bottom w:val="nil"/>
              <w:right w:val="nil"/>
            </w:tcBorders>
            <w:tcMar>
              <w:top w:w="0" w:type="dxa"/>
              <w:left w:w="62" w:type="dxa"/>
              <w:bottom w:w="0" w:type="dxa"/>
              <w:right w:w="62" w:type="dxa"/>
            </w:tcMar>
          </w:tcPr>
          <w:p w:rsidR="00000000" w:rsidP="00094559">
            <w:pPr>
              <w:pStyle w:val="BodyText"/>
              <w:rPr>
                <w:lang w:val="en-NZ"/>
              </w:rPr>
            </w:pPr>
            <w:r w:rsidRPr="00094559">
              <w:t xml:space="preserve">Identifies risks associated with professional and ethical practice, occupational health and safety (OHS) and other statutory responsibilities and liabilities </w:t>
            </w:r>
          </w:p>
        </w:tc>
      </w:tr>
      <w:tr w:rsidTr="0009455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94559">
            <w:pPr>
              <w:pStyle w:val="BodyText"/>
              <w:rPr>
                <w:lang w:val="en-NZ"/>
              </w:rPr>
            </w:pPr>
            <w:r w:rsidRPr="00094559">
              <w:t>2.3</w:t>
            </w:r>
          </w:p>
        </w:tc>
        <w:tc>
          <w:tcPr>
            <w:tcW w:w="5610" w:type="dxa"/>
            <w:tcBorders>
              <w:top w:val="nil"/>
              <w:left w:val="nil"/>
              <w:bottom w:val="nil"/>
              <w:right w:val="nil"/>
            </w:tcBorders>
            <w:tcMar>
              <w:top w:w="0" w:type="dxa"/>
              <w:left w:w="62" w:type="dxa"/>
              <w:bottom w:w="0" w:type="dxa"/>
              <w:right w:w="62" w:type="dxa"/>
            </w:tcMar>
          </w:tcPr>
          <w:p w:rsidR="00000000" w:rsidP="00094559">
            <w:pPr>
              <w:pStyle w:val="BodyText"/>
              <w:rPr>
                <w:lang w:val="en-NZ"/>
              </w:rPr>
            </w:pPr>
            <w:r w:rsidRPr="00094559">
              <w:t>Identify risk situations without adequate preventative and contingency planning</w:t>
            </w:r>
          </w:p>
        </w:tc>
      </w:tr>
      <w:tr w:rsidTr="0009455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94559">
            <w:pPr>
              <w:pStyle w:val="BodyText"/>
              <w:rPr>
                <w:lang w:val="en-NZ"/>
              </w:rPr>
            </w:pPr>
            <w:r w:rsidRPr="00094559">
              <w:t>2.4</w:t>
            </w:r>
          </w:p>
        </w:tc>
        <w:tc>
          <w:tcPr>
            <w:tcW w:w="5610" w:type="dxa"/>
            <w:tcBorders>
              <w:top w:val="nil"/>
              <w:left w:val="nil"/>
              <w:bottom w:val="nil"/>
              <w:right w:val="nil"/>
            </w:tcBorders>
            <w:tcMar>
              <w:top w:w="0" w:type="dxa"/>
              <w:left w:w="62" w:type="dxa"/>
              <w:bottom w:w="0" w:type="dxa"/>
              <w:right w:w="62" w:type="dxa"/>
            </w:tcMar>
          </w:tcPr>
          <w:p w:rsidR="00000000" w:rsidP="00094559">
            <w:pPr>
              <w:pStyle w:val="BodyText"/>
              <w:rPr>
                <w:lang w:val="en-NZ"/>
              </w:rPr>
            </w:pPr>
            <w:r w:rsidRPr="00094559">
              <w:t>Identify technical individuals or teams responsible for management of risks without adequate preventative and contingency planning</w:t>
            </w:r>
          </w:p>
        </w:tc>
      </w:tr>
      <w:tr w:rsidTr="0009455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94559">
            <w:pPr>
              <w:pStyle w:val="BodyText"/>
              <w:rPr>
                <w:lang w:val="en-NZ"/>
              </w:rPr>
            </w:pPr>
            <w:r w:rsidRPr="00094559">
              <w:t>2.5</w:t>
            </w:r>
          </w:p>
        </w:tc>
        <w:tc>
          <w:tcPr>
            <w:tcW w:w="5610" w:type="dxa"/>
            <w:tcBorders>
              <w:top w:val="nil"/>
              <w:left w:val="nil"/>
              <w:bottom w:val="nil"/>
              <w:right w:val="nil"/>
            </w:tcBorders>
            <w:tcMar>
              <w:top w:w="0" w:type="dxa"/>
              <w:left w:w="62" w:type="dxa"/>
              <w:bottom w:w="0" w:type="dxa"/>
              <w:right w:w="62" w:type="dxa"/>
            </w:tcMar>
          </w:tcPr>
          <w:p w:rsidR="00000000" w:rsidRPr="00094559" w:rsidP="00094559">
            <w:pPr>
              <w:pStyle w:val="BodyText"/>
            </w:pPr>
            <w:r w:rsidRPr="00094559">
              <w:t>Offer assistance and advice to resolve inadequacy</w:t>
            </w:r>
          </w:p>
        </w:tc>
      </w:tr>
    </w:tbl>
    <w:p w:rsidR="004B3C8D" w:rsidP="00094559">
      <w:pPr>
        <w:pStyle w:val="BodyText"/>
      </w:pPr>
    </w:p>
    <w:p w:rsidR="004B3C8D" w:rsidP="00094559">
      <w:pPr>
        <w:pStyle w:val="BodyText"/>
      </w:pPr>
    </w:p>
    <w:p w:rsidR="00000000" w:rsidRPr="00094559" w:rsidP="00094559">
      <w:pPr>
        <w:pStyle w:val="Heading1"/>
      </w:pPr>
      <w:bookmarkStart w:id="9" w:name="O_397396"/>
      <w:bookmarkEnd w:id="9"/>
      <w:r w:rsidRPr="00094559">
        <w:t>Required Skills and Knowledge</w:t>
      </w:r>
    </w:p>
    <w:tbl>
      <w:tblPr>
        <w:tblW w:w="9462" w:type="dxa"/>
        <w:tblLayout w:type="fixed"/>
        <w:tblCellMar>
          <w:left w:w="62" w:type="dxa"/>
          <w:right w:w="62" w:type="dxa"/>
        </w:tblCellMar>
        <w:tblLook w:val="0000"/>
      </w:tblPr>
      <w:tblGrid>
        <w:gridCol w:w="9462"/>
      </w:tblGrid>
      <w:tr w:rsidTr="00094559">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094559">
            <w:pPr>
              <w:pStyle w:val="BodyText"/>
              <w:rPr>
                <w:lang w:val="en-NZ"/>
              </w:rPr>
            </w:pPr>
            <w:r w:rsidRPr="00094559">
              <w:t>This section describes the skills and knowledge required for this unit.</w:t>
            </w:r>
          </w:p>
        </w:tc>
      </w:tr>
      <w:tr w:rsidTr="00094559">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094559">
            <w:pPr>
              <w:pStyle w:val="BodyText"/>
              <w:rPr>
                <w:lang w:val="en-NZ"/>
              </w:rPr>
            </w:pPr>
            <w:r w:rsidRPr="00094559">
              <w:rPr>
                <w:rStyle w:val="SpecialBold"/>
              </w:rPr>
              <w:t>Required skills</w:t>
            </w:r>
          </w:p>
        </w:tc>
      </w:tr>
      <w:tr w:rsidTr="00094559">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094559" w:rsidP="00094559">
            <w:pPr>
              <w:pStyle w:val="BodyText"/>
            </w:pPr>
            <w:r w:rsidRPr="00094559">
              <w:t>Required skills include:</w:t>
            </w:r>
          </w:p>
          <w:p w:rsidR="00000000" w:rsidRPr="00094559" w:rsidP="00094559">
            <w:pPr>
              <w:pStyle w:val="ListBullet"/>
            </w:pPr>
            <w:r w:rsidRPr="00094559">
              <w:t>id</w:t>
            </w:r>
            <w:r w:rsidRPr="00094559">
              <w:t>entifying a range of information sources to develop and strengthen present engineering knowledge of other technical employees</w:t>
            </w:r>
          </w:p>
          <w:p w:rsidR="00000000" w:rsidRPr="00094559" w:rsidP="00094559">
            <w:pPr>
              <w:pStyle w:val="ListBullet"/>
            </w:pPr>
            <w:r w:rsidRPr="00094559">
              <w:t>proposing options to achieve engineering solutions within discipline area</w:t>
            </w:r>
          </w:p>
          <w:p w:rsidR="00000000" w:rsidRPr="00094559" w:rsidP="00094559">
            <w:pPr>
              <w:pStyle w:val="ListBullet"/>
            </w:pPr>
            <w:r w:rsidRPr="00094559">
              <w:t>proposing means of testing, measuring and evaluating sol</w:t>
            </w:r>
            <w:r w:rsidRPr="00094559">
              <w:t>utions that fit with organisation objectives and accepted engineering practice</w:t>
            </w:r>
          </w:p>
          <w:p w:rsidR="00000000" w:rsidRPr="00094559" w:rsidP="00094559">
            <w:pPr>
              <w:pStyle w:val="ListBullet"/>
            </w:pPr>
            <w:r w:rsidRPr="00094559">
              <w:t>providing advice on engineering-related costs and risks</w:t>
            </w:r>
          </w:p>
          <w:p w:rsidR="00000000" w:rsidRPr="00094559" w:rsidP="00094559">
            <w:pPr>
              <w:pStyle w:val="ListBullet"/>
            </w:pPr>
            <w:r w:rsidRPr="00094559">
              <w:t>encouraging learning and professional practice in other engineering and technical employees, including adherence to legis</w:t>
            </w:r>
            <w:r w:rsidRPr="00094559">
              <w:t>lative and regulatory requirements and ethical, OHS and quality standards</w:t>
            </w:r>
          </w:p>
          <w:p w:rsidR="00000000" w:rsidRPr="00094559" w:rsidP="00094559">
            <w:pPr>
              <w:pStyle w:val="ListBullet"/>
            </w:pPr>
            <w:r w:rsidRPr="00094559">
              <w:t>assisting individuals and teams in setting performance targets for engineering-related activities</w:t>
            </w:r>
          </w:p>
          <w:p w:rsidR="00000000" w:rsidP="00094559">
            <w:pPr>
              <w:pStyle w:val="ListBullet"/>
              <w:rPr>
                <w:lang w:val="en-NZ"/>
              </w:rPr>
            </w:pPr>
            <w:r w:rsidRPr="00094559">
              <w:t>advising on budgeting and financial management of engineering activities</w:t>
            </w:r>
          </w:p>
        </w:tc>
      </w:tr>
      <w:tr w:rsidTr="00094559">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094559">
            <w:pPr>
              <w:pStyle w:val="BodyText"/>
              <w:rPr>
                <w:lang w:val="en-NZ"/>
              </w:rPr>
            </w:pPr>
          </w:p>
        </w:tc>
      </w:tr>
      <w:tr w:rsidTr="00094559">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094559">
            <w:pPr>
              <w:pStyle w:val="BodyText"/>
              <w:rPr>
                <w:lang w:val="en-NZ"/>
              </w:rPr>
            </w:pPr>
            <w:r w:rsidRPr="00094559">
              <w:rPr>
                <w:rStyle w:val="SpecialBold"/>
              </w:rPr>
              <w:t>Required</w:t>
            </w:r>
            <w:r w:rsidRPr="00094559">
              <w:rPr>
                <w:rStyle w:val="SpecialBold"/>
              </w:rPr>
              <w:t xml:space="preserve"> knowledge</w:t>
            </w:r>
          </w:p>
        </w:tc>
      </w:tr>
      <w:tr w:rsidTr="00094559">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094559" w:rsidP="00094559">
            <w:pPr>
              <w:pStyle w:val="BodyText"/>
            </w:pPr>
            <w:r w:rsidRPr="00094559">
              <w:t>Required knowledge includes:</w:t>
            </w:r>
          </w:p>
          <w:p w:rsidR="00000000" w:rsidRPr="00094559" w:rsidP="00094559">
            <w:pPr>
              <w:pStyle w:val="ListBullet"/>
            </w:pPr>
            <w:r w:rsidRPr="00094559">
              <w:t>the principles of engineering as applied by designers in own area of expertise</w:t>
            </w:r>
          </w:p>
          <w:p w:rsidR="00000000" w:rsidRPr="00094559" w:rsidP="00094559">
            <w:pPr>
              <w:pStyle w:val="ListBullet"/>
            </w:pPr>
            <w:r w:rsidRPr="00094559">
              <w:t>normal planning and scheduling approaches to engineering operations and tasks</w:t>
            </w:r>
          </w:p>
          <w:p w:rsidR="00000000" w:rsidRPr="00094559" w:rsidP="00094559">
            <w:pPr>
              <w:pStyle w:val="ListBullet"/>
            </w:pPr>
            <w:r w:rsidRPr="00094559">
              <w:t>relationship of levels of practice in own engineering disc</w:t>
            </w:r>
            <w:r w:rsidRPr="00094559">
              <w:t>ipline, including situations where professional engineering, engineering technologist and engineering associate assistance or decision making is appropriate</w:t>
            </w:r>
          </w:p>
          <w:p w:rsidR="00000000" w:rsidRPr="00094559" w:rsidP="00094559">
            <w:pPr>
              <w:pStyle w:val="ListBullet"/>
            </w:pPr>
            <w:r w:rsidRPr="00094559">
              <w:t>the situations where mathematics, including statistics, calculus or other advanced mathematics, mus</w:t>
            </w:r>
            <w:r w:rsidRPr="00094559">
              <w:t>t be used by to generate solutions to engineering problems, as well as situations where professional or other expert assistance should be accessed</w:t>
            </w:r>
          </w:p>
          <w:p w:rsidR="00000000" w:rsidRPr="00094559" w:rsidP="00094559">
            <w:pPr>
              <w:pStyle w:val="ListBullet"/>
            </w:pPr>
            <w:r w:rsidRPr="00094559">
              <w:t>the structure, roles and capabilities of the engineering workforce in the organisation</w:t>
            </w:r>
          </w:p>
          <w:p w:rsidR="00000000" w:rsidRPr="00094559" w:rsidP="00094559">
            <w:pPr>
              <w:pStyle w:val="ListBullet"/>
            </w:pPr>
            <w:r w:rsidRPr="00094559">
              <w:t>the interactions between engineering technologies and business operations, including impact of engineering on meeting client, employee, shareholder, regulatory and community expectations of the organisation</w:t>
            </w:r>
          </w:p>
          <w:p w:rsidR="00000000" w:rsidRPr="00094559" w:rsidP="00094559">
            <w:pPr>
              <w:pStyle w:val="ListBullet"/>
            </w:pPr>
            <w:r w:rsidRPr="00094559">
              <w:t xml:space="preserve">regulatory and OHS responsibilities of technical </w:t>
            </w:r>
            <w:r w:rsidRPr="00094559">
              <w:t>and engineering workforce of the organisation</w:t>
            </w:r>
          </w:p>
          <w:p w:rsidR="00000000" w:rsidRPr="00094559" w:rsidP="00094559">
            <w:pPr>
              <w:pStyle w:val="ListBullet"/>
            </w:pPr>
            <w:r w:rsidRPr="00094559">
              <w:t>administrative, human resources (HR) and other support services available to technical and engineering staff in the organisation</w:t>
            </w:r>
          </w:p>
        </w:tc>
      </w:tr>
    </w:tbl>
    <w:p w:rsidR="004B3C8D" w:rsidP="00094559">
      <w:pPr>
        <w:pStyle w:val="BodyText"/>
      </w:pPr>
    </w:p>
    <w:p w:rsidR="004B3C8D" w:rsidP="00094559">
      <w:pPr>
        <w:pStyle w:val="BodyText"/>
      </w:pPr>
    </w:p>
    <w:p w:rsidR="00000000" w:rsidRPr="00094559" w:rsidP="00094559">
      <w:pPr>
        <w:pStyle w:val="Heading1"/>
      </w:pPr>
      <w:bookmarkStart w:id="10" w:name="O_397397"/>
      <w:bookmarkEnd w:id="10"/>
      <w:r w:rsidRPr="00094559">
        <w:t>Evidence Guide</w:t>
      </w:r>
    </w:p>
    <w:tbl>
      <w:tblPr>
        <w:tblW w:w="9462" w:type="dxa"/>
        <w:tblLayout w:type="fixed"/>
        <w:tblCellMar>
          <w:left w:w="62" w:type="dxa"/>
          <w:right w:w="62" w:type="dxa"/>
        </w:tblCellMar>
        <w:tblLook w:val="0000"/>
      </w:tblPr>
      <w:tblGrid>
        <w:gridCol w:w="3800"/>
        <w:gridCol w:w="5662"/>
      </w:tblGrid>
      <w:tr w:rsidTr="00094559">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094559">
            <w:pPr>
              <w:pStyle w:val="BodyText"/>
              <w:rPr>
                <w:lang w:val="en-NZ"/>
              </w:rPr>
            </w:pPr>
            <w:r w:rsidRPr="00094559">
              <w:t>The evidence guide provides advice on assessme</w:t>
            </w:r>
            <w:r w:rsidRPr="00094559">
              <w:t>nt and must be read in conjunction with the performance criteria, required skills and knowledge, range statement and the Assessment Guidelines for the Training Package.</w:t>
            </w:r>
          </w:p>
        </w:tc>
      </w:tr>
      <w:tr w:rsidTr="00094559">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4559">
            <w:pPr>
              <w:pStyle w:val="BodyText"/>
              <w:rPr>
                <w:lang w:val="en-NZ"/>
              </w:rPr>
            </w:pPr>
            <w:r w:rsidRPr="00094559">
              <w:t>Critical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4559" w:rsidP="00094559">
            <w:pPr>
              <w:pStyle w:val="BodyText"/>
            </w:pPr>
            <w:r w:rsidRPr="00094559">
              <w:t>Assessors must be satisfied that the candidate can competently and consistently:</w:t>
            </w:r>
          </w:p>
          <w:p w:rsidR="00000000" w:rsidRPr="00094559" w:rsidP="00094559">
            <w:pPr>
              <w:pStyle w:val="ListBullet"/>
            </w:pPr>
            <w:r w:rsidRPr="00094559">
              <w:t>identify engineering-related situations that require referral to other experts</w:t>
            </w:r>
          </w:p>
          <w:p w:rsidR="00000000" w:rsidRPr="00094559" w:rsidP="00094559">
            <w:pPr>
              <w:pStyle w:val="ListBullet"/>
            </w:pPr>
            <w:r w:rsidRPr="00094559">
              <w:t>ide</w:t>
            </w:r>
            <w:r w:rsidRPr="00094559">
              <w:t xml:space="preserve">ntify and establish any risks or consequences for advice offered </w:t>
            </w:r>
          </w:p>
          <w:p w:rsidR="00000000" w:rsidRPr="00094559" w:rsidP="00094559">
            <w:pPr>
              <w:pStyle w:val="ListBullet"/>
            </w:pPr>
            <w:r w:rsidRPr="00094559">
              <w:t>offer advice that takes into account the engineering operations and procedures of the organisation, the discipline area, and accepted engineering ethical practice</w:t>
            </w:r>
          </w:p>
          <w:p w:rsidR="00000000" w:rsidRPr="00094559" w:rsidP="00094559">
            <w:pPr>
              <w:pStyle w:val="ListBullet"/>
            </w:pPr>
            <w:r w:rsidRPr="00094559">
              <w:t>identify situations where m</w:t>
            </w:r>
            <w:r w:rsidRPr="00094559">
              <w:t xml:space="preserve">odelling, calculations or other investigations should occur before advice is offered </w:t>
            </w:r>
          </w:p>
          <w:p w:rsidR="00000000" w:rsidP="00094559">
            <w:pPr>
              <w:pStyle w:val="ListBullet"/>
              <w:rPr>
                <w:lang w:val="en-NZ"/>
              </w:rPr>
            </w:pPr>
            <w:r w:rsidRPr="00094559">
              <w:t>understand and apply verification procedures to a range of engineering solutions in own area of expertise.</w:t>
            </w:r>
          </w:p>
        </w:tc>
      </w:tr>
      <w:tr w:rsidTr="00094559">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4559">
            <w:pPr>
              <w:pStyle w:val="BodyText"/>
              <w:rPr>
                <w:lang w:val="en-NZ"/>
              </w:rPr>
            </w:pPr>
            <w:r w:rsidRPr="00094559">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4559" w:rsidP="00094559">
            <w:pPr>
              <w:pStyle w:val="ListBullet"/>
            </w:pPr>
            <w:r w:rsidRPr="00094559">
              <w:t>This unit may</w:t>
            </w:r>
            <w:r w:rsidRPr="00094559">
              <w:t xml:space="preserve"> be assessed on the job, off the job or a combination of both on and off the job. Where assessment occurs off the job, that is, the candidate is not in productive work, then a simulated working environment must be used where the range of conditions reflect</w:t>
            </w:r>
            <w:r w:rsidRPr="00094559">
              <w:t xml:space="preserve">s realistic workplace situations. The competencies covered by this unit would be demonstrated by an individual working alone or as part of a team. </w:t>
            </w:r>
          </w:p>
          <w:p w:rsidR="00000000" w:rsidRPr="00094559" w:rsidP="00094559">
            <w:pPr>
              <w:pStyle w:val="ListBullet"/>
            </w:pPr>
            <w:r w:rsidRPr="00094559">
              <w:t>Where applicable, reasonable adjustment must be made to work environments and training situations to accommo</w:t>
            </w:r>
            <w:r w:rsidRPr="00094559">
              <w:t>date ethnicity, age, gender, demographics and disability.</w:t>
            </w:r>
          </w:p>
          <w:p w:rsidR="00000000" w:rsidP="00094559">
            <w:pPr>
              <w:pStyle w:val="ListBullet"/>
              <w:rPr>
                <w:lang w:val="en-NZ"/>
              </w:rPr>
            </w:pPr>
            <w:r w:rsidRPr="00094559">
              <w:t>Access must be provided to appropriate learning and/or assessment support when required. Where applicable, physical resources should include equipment modified for people with disabilities.</w:t>
            </w:r>
          </w:p>
        </w:tc>
      </w:tr>
      <w:tr w:rsidTr="00094559">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4559">
            <w:pPr>
              <w:pStyle w:val="BodyText"/>
              <w:rPr>
                <w:lang w:val="en-NZ"/>
              </w:rPr>
            </w:pPr>
            <w:r w:rsidRPr="00094559">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4559" w:rsidP="00094559">
            <w:pPr>
              <w:pStyle w:val="ListBullet"/>
            </w:pPr>
            <w:r w:rsidRPr="00094559">
              <w:t>Assessment must satisfy the endorsed Assessment Guidelines of the MEM05 Metal and Engineering Training Package.</w:t>
            </w:r>
          </w:p>
          <w:p w:rsidR="00000000" w:rsidRPr="00094559" w:rsidP="00094559">
            <w:pPr>
              <w:pStyle w:val="ListBullet"/>
            </w:pPr>
            <w:r w:rsidRPr="00094559">
              <w:t>Assessment methods must confirm consistency and accuracy of performance (over time and in a range of workplace relevant con</w:t>
            </w:r>
            <w:r w:rsidRPr="00094559">
              <w:t>texts) together with application of underpinning knowledge.</w:t>
            </w:r>
          </w:p>
          <w:p w:rsidR="00000000" w:rsidRPr="00094559" w:rsidP="00094559">
            <w:pPr>
              <w:pStyle w:val="ListBullet"/>
            </w:pPr>
            <w:r w:rsidRPr="00094559">
              <w:t>Assessment methods must include assessment of underpinning knowledge to ensure correct interpretation of guidance required and provision of appropriate advice.</w:t>
            </w:r>
          </w:p>
          <w:p w:rsidR="00000000" w:rsidRPr="00094559" w:rsidP="00094559">
            <w:pPr>
              <w:pStyle w:val="ListBullet"/>
            </w:pPr>
            <w:r w:rsidRPr="00094559">
              <w:t>Assessment may be applied under proj</w:t>
            </w:r>
            <w:r w:rsidRPr="00094559">
              <w:t>ect-related conditions (real or simulated) and require evidence of process.</w:t>
            </w:r>
          </w:p>
          <w:p w:rsidR="00000000" w:rsidRPr="00094559" w:rsidP="00094559">
            <w:pPr>
              <w:pStyle w:val="ListBullet"/>
            </w:pPr>
            <w:r w:rsidRPr="00094559">
              <w:t>Assessment must confirm a reasonable inference that competency is able not only to be satisfied under the particular circumstance, but is able to be transferred to other circumstan</w:t>
            </w:r>
            <w:r w:rsidRPr="00094559">
              <w:t>ces.</w:t>
            </w:r>
          </w:p>
          <w:p w:rsidR="00000000" w:rsidP="00094559">
            <w:pPr>
              <w:pStyle w:val="ListBullet"/>
              <w:rPr>
                <w:lang w:val="en-NZ"/>
              </w:rPr>
            </w:pPr>
            <w:r w:rsidRPr="00094559">
              <w:t>Assessment may be in conjunction with assessment of other units of competency where required.</w:t>
            </w:r>
          </w:p>
        </w:tc>
      </w:tr>
      <w:tr w:rsidTr="00094559">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4559">
            <w:pPr>
              <w:pStyle w:val="BodyText"/>
              <w:rPr>
                <w:lang w:val="en-NZ"/>
              </w:rPr>
            </w:pPr>
            <w:r w:rsidRPr="00094559">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4559" w:rsidP="00094559">
            <w:pPr>
              <w:pStyle w:val="BodyText"/>
            </w:pPr>
            <w:r w:rsidRPr="00094559">
              <w:t>Assessment processes and techniques must be culturally appropriate and appropriate to the language and literacy capacity</w:t>
            </w:r>
            <w:r w:rsidRPr="00094559">
              <w:t xml:space="preserve"> of the candidate and the work being performed.</w:t>
            </w:r>
          </w:p>
        </w:tc>
      </w:tr>
    </w:tbl>
    <w:p w:rsidR="004B3C8D" w:rsidP="00094559">
      <w:pPr>
        <w:pStyle w:val="BodyText"/>
      </w:pPr>
    </w:p>
    <w:p w:rsidR="004B3C8D" w:rsidP="00094559">
      <w:pPr>
        <w:pStyle w:val="BodyText"/>
      </w:pPr>
    </w:p>
    <w:p w:rsidR="00000000" w:rsidRPr="00094559" w:rsidP="00094559">
      <w:pPr>
        <w:pStyle w:val="Heading1"/>
      </w:pPr>
      <w:bookmarkStart w:id="11" w:name="O_397398"/>
      <w:bookmarkEnd w:id="11"/>
      <w:r w:rsidRPr="00094559">
        <w:t>Range Statement</w:t>
      </w:r>
    </w:p>
    <w:tbl>
      <w:tblPr>
        <w:tblW w:w="9462" w:type="dxa"/>
        <w:tblLayout w:type="fixed"/>
        <w:tblCellMar>
          <w:left w:w="62" w:type="dxa"/>
          <w:right w:w="62" w:type="dxa"/>
        </w:tblCellMar>
        <w:tblLook w:val="0000"/>
      </w:tblPr>
      <w:tblGrid>
        <w:gridCol w:w="3402"/>
        <w:gridCol w:w="6060"/>
      </w:tblGrid>
      <w:tr w:rsidTr="00094559">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094559">
            <w:pPr>
              <w:pStyle w:val="BodyText"/>
              <w:rPr>
                <w:lang w:val="en-NZ"/>
              </w:rPr>
            </w:pPr>
            <w:r w:rsidRPr="00094559">
              <w:t>The range statement relates to the unit of competency as a whole. It allows for different work environments and situations that may affect performance. Bold italicised word</w:t>
            </w:r>
            <w:r w:rsidRPr="00094559">
              <w:t>ing, if used in the performance criteria, is detailed below. Essential operating conditions that may be present with training and assessment (depending on the work situation, needs of the candidate, accessibility of the item, and local industry and regiona</w:t>
            </w:r>
            <w:r w:rsidRPr="00094559">
              <w:t>l contexts) may also be included.</w:t>
            </w:r>
          </w:p>
        </w:tc>
      </w:tr>
      <w:tr w:rsidTr="00094559">
        <w:tblPrEx>
          <w:tblW w:w="9462" w:type="dxa"/>
          <w:tblLayout w:type="fixed"/>
          <w:tblCellMar>
            <w:left w:w="62" w:type="dxa"/>
            <w:right w:w="62" w:type="dxa"/>
          </w:tblCellMar>
          <w:tblLook w:val="0000"/>
        </w:tblPrEx>
        <w:tc>
          <w:tcPr>
            <w:tcW w:w="34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4559">
            <w:pPr>
              <w:pStyle w:val="BodyText"/>
              <w:rPr>
                <w:lang w:val="en-NZ"/>
              </w:rPr>
            </w:pPr>
            <w:r w:rsidRPr="00094559">
              <w:rPr>
                <w:rStyle w:val="SpecialBold"/>
              </w:rPr>
              <w:t>Expert technical and professional assistance</w:t>
            </w:r>
          </w:p>
        </w:tc>
        <w:tc>
          <w:tcPr>
            <w:tcW w:w="60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4559" w:rsidP="00094559">
            <w:pPr>
              <w:pStyle w:val="BodyText"/>
            </w:pPr>
            <w:r w:rsidRPr="00094559">
              <w:t>Areas where expert technical and professional assistance may be sought include:</w:t>
            </w:r>
          </w:p>
          <w:p w:rsidR="00000000" w:rsidRPr="00094559" w:rsidP="00094559">
            <w:pPr>
              <w:pStyle w:val="ListBullet2"/>
            </w:pPr>
            <w:r w:rsidRPr="00094559">
              <w:t>technical support and advice relating to elements which have intrinsic dangers, such as:</w:t>
            </w:r>
          </w:p>
          <w:p w:rsidR="00000000" w:rsidRPr="00094559" w:rsidP="00094559">
            <w:pPr>
              <w:pStyle w:val="ListBullet2"/>
            </w:pPr>
            <w:r w:rsidRPr="00094559">
              <w:t>high pressure</w:t>
            </w:r>
          </w:p>
          <w:p w:rsidR="00000000" w:rsidRPr="00094559" w:rsidP="00094559">
            <w:pPr>
              <w:pStyle w:val="ListBullet2"/>
            </w:pPr>
            <w:r w:rsidRPr="00094559">
              <w:t>energised fluid vessels</w:t>
            </w:r>
          </w:p>
          <w:p w:rsidR="00000000" w:rsidRPr="00094559" w:rsidP="00094559">
            <w:pPr>
              <w:pStyle w:val="ListBullet2"/>
            </w:pPr>
            <w:r w:rsidRPr="00094559">
              <w:t>high temperatures and heat energy capacity</w:t>
            </w:r>
          </w:p>
          <w:p w:rsidR="00000000" w:rsidRPr="00094559" w:rsidP="00094559">
            <w:pPr>
              <w:pStyle w:val="ListBullet2"/>
            </w:pPr>
            <w:r w:rsidRPr="00094559">
              <w:t>wiring or devices with high current or voltages above extra low voltage</w:t>
            </w:r>
          </w:p>
          <w:p w:rsidR="00000000" w:rsidRPr="00094559" w:rsidP="00094559">
            <w:pPr>
              <w:pStyle w:val="ListBullet"/>
            </w:pPr>
            <w:r w:rsidRPr="00094559">
              <w:t>professional support for technologies, such as:</w:t>
            </w:r>
          </w:p>
          <w:p w:rsidR="00000000" w:rsidRPr="00094559" w:rsidP="00094559">
            <w:pPr>
              <w:pStyle w:val="ListBullet2"/>
            </w:pPr>
            <w:r w:rsidRPr="00094559">
              <w:t>specialist electric motor drives and controllers</w:t>
            </w:r>
          </w:p>
          <w:p w:rsidR="00000000" w:rsidRPr="00094559" w:rsidP="00094559">
            <w:pPr>
              <w:pStyle w:val="ListBullet2"/>
            </w:pPr>
            <w:r w:rsidRPr="00094559">
              <w:t>specialist materials, plastics, metal alloys and nano materials</w:t>
            </w:r>
          </w:p>
          <w:p w:rsidR="00000000" w:rsidRPr="00094559" w:rsidP="00094559">
            <w:pPr>
              <w:pStyle w:val="ListBullet2"/>
            </w:pPr>
            <w:r w:rsidRPr="00094559">
              <w:t>special processes, foundry, alloy welding, heat treatment, sealing and fastening</w:t>
            </w:r>
          </w:p>
          <w:p w:rsidR="00000000" w:rsidRPr="00094559" w:rsidP="00094559">
            <w:pPr>
              <w:pStyle w:val="ListBullet"/>
            </w:pPr>
            <w:r w:rsidRPr="00094559">
              <w:t>professional advice on issues that may overlap with:</w:t>
            </w:r>
          </w:p>
          <w:p w:rsidR="00000000" w:rsidRPr="00094559" w:rsidP="00094559">
            <w:pPr>
              <w:pStyle w:val="ListBullet2"/>
            </w:pPr>
            <w:r w:rsidRPr="00094559">
              <w:t>finance, accounts and tax</w:t>
            </w:r>
          </w:p>
          <w:p w:rsidR="00000000" w:rsidRPr="00094559" w:rsidP="00094559">
            <w:pPr>
              <w:pStyle w:val="ListBullet2"/>
            </w:pPr>
            <w:r w:rsidRPr="00094559">
              <w:t>insurance and legal</w:t>
            </w:r>
          </w:p>
          <w:p w:rsidR="00000000" w:rsidP="00094559">
            <w:pPr>
              <w:pStyle w:val="ListBullet2"/>
              <w:rPr>
                <w:lang w:val="en-NZ"/>
              </w:rPr>
            </w:pPr>
            <w:r w:rsidRPr="00094559">
              <w:t>training an</w:t>
            </w:r>
            <w:r w:rsidRPr="00094559">
              <w:t>d HR</w:t>
            </w:r>
          </w:p>
        </w:tc>
      </w:tr>
      <w:tr w:rsidTr="00094559">
        <w:tblPrEx>
          <w:tblW w:w="9462" w:type="dxa"/>
          <w:tblLayout w:type="fixed"/>
          <w:tblCellMar>
            <w:left w:w="62" w:type="dxa"/>
            <w:right w:w="62" w:type="dxa"/>
          </w:tblCellMar>
          <w:tblLook w:val="0000"/>
        </w:tblPrEx>
        <w:tc>
          <w:tcPr>
            <w:tcW w:w="34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4559">
            <w:pPr>
              <w:pStyle w:val="BodyText"/>
              <w:rPr>
                <w:lang w:val="en-NZ"/>
              </w:rPr>
            </w:pPr>
            <w:r w:rsidRPr="00094559">
              <w:rPr>
                <w:rStyle w:val="SpecialBold"/>
              </w:rPr>
              <w:t>OHS requirements, codes of practice, regulations, standards and other regulatory requirements and enterprise procedures</w:t>
            </w:r>
          </w:p>
        </w:tc>
        <w:tc>
          <w:tcPr>
            <w:tcW w:w="60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4559" w:rsidP="00094559">
            <w:pPr>
              <w:pStyle w:val="BodyText"/>
            </w:pPr>
            <w:r w:rsidRPr="00094559">
              <w:t>OHS requirements, codes of practice, regulations, standards and other regulatory requirements and enterprise procedures may includ</w:t>
            </w:r>
            <w:r w:rsidRPr="00094559">
              <w:t>e:</w:t>
            </w:r>
          </w:p>
          <w:p w:rsidR="00000000" w:rsidRPr="00094559" w:rsidP="00094559">
            <w:pPr>
              <w:pStyle w:val="ListBullet"/>
            </w:pPr>
            <w:r w:rsidRPr="00094559">
              <w:t>OHS Acts and regulations</w:t>
            </w:r>
          </w:p>
          <w:p w:rsidR="00000000" w:rsidRPr="00094559" w:rsidP="00094559">
            <w:pPr>
              <w:pStyle w:val="ListBullet"/>
            </w:pPr>
            <w:r w:rsidRPr="00094559">
              <w:t>relevant standards</w:t>
            </w:r>
          </w:p>
          <w:p w:rsidR="00000000" w:rsidRPr="00094559" w:rsidP="00094559">
            <w:pPr>
              <w:pStyle w:val="ListBullet"/>
            </w:pPr>
            <w:r w:rsidRPr="00094559">
              <w:t>industry codes of practice</w:t>
            </w:r>
          </w:p>
          <w:p w:rsidR="00000000" w:rsidRPr="00094559" w:rsidP="00094559">
            <w:pPr>
              <w:pStyle w:val="ListBullet"/>
            </w:pPr>
            <w:r w:rsidRPr="00094559">
              <w:t>risk assessments</w:t>
            </w:r>
          </w:p>
          <w:p w:rsidR="00000000" w:rsidRPr="00094559" w:rsidP="00094559">
            <w:pPr>
              <w:pStyle w:val="ListBullet"/>
            </w:pPr>
            <w:r w:rsidRPr="00094559">
              <w:t xml:space="preserve">registration requirements </w:t>
            </w:r>
          </w:p>
          <w:p w:rsidR="00000000" w:rsidRPr="00094559" w:rsidP="00094559">
            <w:pPr>
              <w:pStyle w:val="ListBullet"/>
            </w:pPr>
            <w:r w:rsidRPr="00094559">
              <w:t>safe work practices</w:t>
            </w:r>
          </w:p>
          <w:p w:rsidR="00000000" w:rsidP="00094559">
            <w:pPr>
              <w:pStyle w:val="ListBullet"/>
              <w:rPr>
                <w:lang w:val="en-NZ"/>
              </w:rPr>
            </w:pPr>
            <w:r w:rsidRPr="00094559">
              <w:t xml:space="preserve">state and territory regulatory requirements </w:t>
            </w:r>
          </w:p>
        </w:tc>
      </w:tr>
      <w:tr w:rsidTr="00094559">
        <w:tblPrEx>
          <w:tblW w:w="9462" w:type="dxa"/>
          <w:tblLayout w:type="fixed"/>
          <w:tblCellMar>
            <w:left w:w="62" w:type="dxa"/>
            <w:right w:w="62" w:type="dxa"/>
          </w:tblCellMar>
          <w:tblLook w:val="0000"/>
        </w:tblPrEx>
        <w:tc>
          <w:tcPr>
            <w:tcW w:w="34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4559">
            <w:pPr>
              <w:pStyle w:val="BodyText"/>
              <w:rPr>
                <w:lang w:val="en-NZ"/>
              </w:rPr>
            </w:pPr>
            <w:r w:rsidRPr="00094559">
              <w:rPr>
                <w:rStyle w:val="SpecialBold"/>
              </w:rPr>
              <w:t>Legislative requirements</w:t>
            </w:r>
          </w:p>
        </w:tc>
        <w:tc>
          <w:tcPr>
            <w:tcW w:w="60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4559" w:rsidP="00094559">
            <w:pPr>
              <w:pStyle w:val="BodyText"/>
            </w:pPr>
            <w:r w:rsidRPr="00094559">
              <w:t>Legislative requirements may include:</w:t>
            </w:r>
          </w:p>
          <w:p w:rsidR="00000000" w:rsidRPr="00094559" w:rsidP="00094559">
            <w:pPr>
              <w:pStyle w:val="ListBullet"/>
            </w:pPr>
            <w:r w:rsidRPr="00094559">
              <w:t>industrial law and awards</w:t>
            </w:r>
          </w:p>
          <w:p w:rsidR="00000000" w:rsidRPr="00094559" w:rsidP="00094559">
            <w:pPr>
              <w:pStyle w:val="ListBullet"/>
            </w:pPr>
            <w:r w:rsidRPr="00094559">
              <w:t>customer protection law</w:t>
            </w:r>
          </w:p>
          <w:p w:rsidR="00000000" w:rsidRPr="00094559" w:rsidP="00094559">
            <w:pPr>
              <w:pStyle w:val="ListBullet"/>
            </w:pPr>
            <w:r w:rsidRPr="00094559">
              <w:t>restrictive trade practice</w:t>
            </w:r>
          </w:p>
          <w:p w:rsidR="00000000" w:rsidRPr="00094559" w:rsidP="00094559">
            <w:pPr>
              <w:pStyle w:val="ListBullet"/>
            </w:pPr>
            <w:r w:rsidRPr="00094559">
              <w:t>environmental protection</w:t>
            </w:r>
          </w:p>
          <w:p w:rsidR="00000000" w:rsidRPr="00094559" w:rsidP="00094559">
            <w:pPr>
              <w:pStyle w:val="ListBullet"/>
            </w:pPr>
            <w:r w:rsidRPr="00094559">
              <w:t>workers compensation</w:t>
            </w:r>
          </w:p>
          <w:p w:rsidR="00000000" w:rsidRPr="00094559" w:rsidP="00094559">
            <w:pPr>
              <w:pStyle w:val="ListBullet"/>
            </w:pPr>
            <w:r w:rsidRPr="00094559">
              <w:t>equality and antidiscrimination</w:t>
            </w:r>
          </w:p>
          <w:p w:rsidR="00000000" w:rsidP="00094559">
            <w:pPr>
              <w:pStyle w:val="ListBullet"/>
              <w:rPr>
                <w:lang w:val="en-NZ"/>
              </w:rPr>
            </w:pPr>
            <w:r w:rsidRPr="00094559">
              <w:t>contract law</w:t>
            </w:r>
          </w:p>
        </w:tc>
      </w:tr>
      <w:tr w:rsidTr="00094559">
        <w:tblPrEx>
          <w:tblW w:w="9462" w:type="dxa"/>
          <w:tblLayout w:type="fixed"/>
          <w:tblCellMar>
            <w:left w:w="62" w:type="dxa"/>
            <w:right w:w="62" w:type="dxa"/>
          </w:tblCellMar>
          <w:tblLook w:val="0000"/>
        </w:tblPrEx>
        <w:tc>
          <w:tcPr>
            <w:tcW w:w="34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4559">
            <w:pPr>
              <w:pStyle w:val="BodyText"/>
              <w:rPr>
                <w:lang w:val="en-NZ"/>
              </w:rPr>
            </w:pPr>
            <w:r w:rsidRPr="00094559">
              <w:rPr>
                <w:rStyle w:val="SpecialBold"/>
              </w:rPr>
              <w:t>Sustainability</w:t>
            </w:r>
          </w:p>
        </w:tc>
        <w:tc>
          <w:tcPr>
            <w:tcW w:w="60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4559" w:rsidP="00094559">
            <w:pPr>
              <w:pStyle w:val="BodyText"/>
            </w:pPr>
            <w:r w:rsidRPr="00094559">
              <w:t>Sustainability includes consideration of economic, social, ecological an</w:t>
            </w:r>
            <w:r w:rsidRPr="00094559">
              <w:t>d resources implications of activities. Sustainability issues may include:</w:t>
            </w:r>
          </w:p>
          <w:p w:rsidR="00000000" w:rsidRPr="00094559" w:rsidP="00094559">
            <w:pPr>
              <w:pStyle w:val="ListBullet"/>
            </w:pPr>
            <w:r w:rsidRPr="00094559">
              <w:t>resources and energy:</w:t>
            </w:r>
          </w:p>
          <w:p w:rsidR="00000000" w:rsidRPr="00094559" w:rsidP="00094559">
            <w:pPr>
              <w:pStyle w:val="ListBullet2"/>
            </w:pPr>
            <w:r w:rsidRPr="00094559">
              <w:t>sources, access, processing and consumption</w:t>
            </w:r>
          </w:p>
          <w:p w:rsidR="00000000" w:rsidRPr="00094559" w:rsidP="00094559">
            <w:pPr>
              <w:pStyle w:val="ListBullet2"/>
            </w:pPr>
            <w:r w:rsidRPr="00094559">
              <w:t>food security and agriculture, health, education and shelter</w:t>
            </w:r>
          </w:p>
          <w:p w:rsidR="00000000" w:rsidRPr="00094559" w:rsidP="00094559">
            <w:pPr>
              <w:pStyle w:val="ListBullet2"/>
            </w:pPr>
            <w:r w:rsidRPr="00094559">
              <w:t>land, energy and water</w:t>
            </w:r>
          </w:p>
          <w:p w:rsidR="00000000" w:rsidRPr="00094559" w:rsidP="00094559">
            <w:pPr>
              <w:pStyle w:val="ListBullet"/>
            </w:pPr>
            <w:r w:rsidRPr="00094559">
              <w:t>social and economic factors affecting design of machines and equipment</w:t>
            </w:r>
          </w:p>
          <w:p w:rsidR="00000000" w:rsidRPr="00094559" w:rsidP="00094559">
            <w:pPr>
              <w:pStyle w:val="ListBullet"/>
            </w:pPr>
            <w:r w:rsidRPr="00094559">
              <w:t>life cycle design of product (manufacture to re-manufacture or recycle)</w:t>
            </w:r>
          </w:p>
          <w:p w:rsidR="00000000" w:rsidRPr="00094559" w:rsidP="00094559">
            <w:pPr>
              <w:pStyle w:val="ListBullet"/>
            </w:pPr>
            <w:r w:rsidRPr="00094559">
              <w:t>raw material, solids and hazardous waste, and production by-products</w:t>
            </w:r>
          </w:p>
          <w:p w:rsidR="00000000" w:rsidRPr="00094559" w:rsidP="00094559">
            <w:pPr>
              <w:pStyle w:val="ListBullet"/>
            </w:pPr>
            <w:r w:rsidRPr="00094559">
              <w:t>contamination of land, air and stormwater po</w:t>
            </w:r>
            <w:r w:rsidRPr="00094559">
              <w:t>llutants, and discharge to sewerage</w:t>
            </w:r>
          </w:p>
          <w:p w:rsidR="00000000" w:rsidP="00094559">
            <w:pPr>
              <w:pStyle w:val="ListBullet"/>
              <w:rPr>
                <w:lang w:val="en-NZ"/>
              </w:rPr>
            </w:pPr>
            <w:r w:rsidRPr="00094559">
              <w:t>climate change</w:t>
            </w:r>
          </w:p>
        </w:tc>
      </w:tr>
      <w:tr w:rsidTr="00094559">
        <w:tblPrEx>
          <w:tblW w:w="9462" w:type="dxa"/>
          <w:tblLayout w:type="fixed"/>
          <w:tblCellMar>
            <w:left w:w="62" w:type="dxa"/>
            <w:right w:w="62" w:type="dxa"/>
          </w:tblCellMar>
          <w:tblLook w:val="0000"/>
        </w:tblPrEx>
        <w:tc>
          <w:tcPr>
            <w:tcW w:w="34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4559">
            <w:pPr>
              <w:pStyle w:val="BodyText"/>
              <w:rPr>
                <w:lang w:val="en-NZ"/>
              </w:rPr>
            </w:pPr>
            <w:r w:rsidRPr="00094559">
              <w:rPr>
                <w:rStyle w:val="SpecialBold"/>
              </w:rPr>
              <w:t>Standards and codes</w:t>
            </w:r>
          </w:p>
        </w:tc>
        <w:tc>
          <w:tcPr>
            <w:tcW w:w="60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4559">
            <w:pPr>
              <w:pStyle w:val="BodyText"/>
              <w:rPr>
                <w:lang w:val="en-NZ"/>
              </w:rPr>
            </w:pPr>
            <w:r w:rsidRPr="00094559">
              <w:t>Standards and codes refer to all relevant Australian and international standards and codes applicable to a particular design or engineering related task</w:t>
            </w:r>
          </w:p>
        </w:tc>
      </w:tr>
      <w:tr w:rsidTr="00094559">
        <w:tblPrEx>
          <w:tblW w:w="9462" w:type="dxa"/>
          <w:tblLayout w:type="fixed"/>
          <w:tblCellMar>
            <w:left w:w="62" w:type="dxa"/>
            <w:right w:w="62" w:type="dxa"/>
          </w:tblCellMar>
          <w:tblLook w:val="0000"/>
        </w:tblPrEx>
        <w:tc>
          <w:tcPr>
            <w:tcW w:w="34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4559">
            <w:pPr>
              <w:pStyle w:val="BodyText"/>
              <w:rPr>
                <w:lang w:val="en-NZ"/>
              </w:rPr>
            </w:pPr>
            <w:r w:rsidRPr="00094559">
              <w:rPr>
                <w:rStyle w:val="SpecialBold"/>
              </w:rPr>
              <w:t>Planning and scheduling techniques</w:t>
            </w:r>
          </w:p>
        </w:tc>
        <w:tc>
          <w:tcPr>
            <w:tcW w:w="60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4559" w:rsidP="00094559">
            <w:pPr>
              <w:pStyle w:val="BodyText"/>
            </w:pPr>
            <w:r w:rsidRPr="00094559">
              <w:t>Planning and scheduling techniques may include:</w:t>
            </w:r>
          </w:p>
          <w:p w:rsidR="00000000" w:rsidRPr="00094559" w:rsidP="00094559">
            <w:pPr>
              <w:pStyle w:val="ListBullet"/>
            </w:pPr>
            <w:r w:rsidRPr="00094559">
              <w:t xml:space="preserve">critical path or Pert network plans </w:t>
            </w:r>
          </w:p>
          <w:p w:rsidR="00000000" w:rsidP="00094559">
            <w:pPr>
              <w:pStyle w:val="ListBullet"/>
              <w:rPr>
                <w:lang w:val="en-NZ"/>
              </w:rPr>
            </w:pPr>
            <w:r w:rsidRPr="00094559">
              <w:t>Gantt charts</w:t>
            </w:r>
          </w:p>
        </w:tc>
      </w:tr>
      <w:tr w:rsidTr="00094559">
        <w:tblPrEx>
          <w:tblW w:w="9462" w:type="dxa"/>
          <w:tblLayout w:type="fixed"/>
          <w:tblCellMar>
            <w:left w:w="62" w:type="dxa"/>
            <w:right w:w="62" w:type="dxa"/>
          </w:tblCellMar>
          <w:tblLook w:val="0000"/>
        </w:tblPrEx>
        <w:tc>
          <w:tcPr>
            <w:tcW w:w="34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4559">
            <w:pPr>
              <w:pStyle w:val="BodyText"/>
              <w:rPr>
                <w:lang w:val="en-NZ"/>
              </w:rPr>
            </w:pPr>
            <w:r w:rsidRPr="00094559">
              <w:rPr>
                <w:rStyle w:val="SpecialBold"/>
              </w:rPr>
              <w:t>Software and validation techniques</w:t>
            </w:r>
          </w:p>
        </w:tc>
        <w:tc>
          <w:tcPr>
            <w:tcW w:w="60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4559" w:rsidP="00094559">
            <w:pPr>
              <w:pStyle w:val="BodyText"/>
            </w:pPr>
            <w:r w:rsidRPr="00094559">
              <w:t>Advice may need to be offered on software and validation techniques. These include:</w:t>
            </w:r>
          </w:p>
          <w:p w:rsidR="00000000" w:rsidRPr="00094559" w:rsidP="00094559">
            <w:pPr>
              <w:pStyle w:val="ListBullet"/>
            </w:pPr>
            <w:r w:rsidRPr="00094559">
              <w:t>sof</w:t>
            </w:r>
            <w:r w:rsidRPr="00094559">
              <w:t>tware employed for performance analysis/modelling (Underpinning program techniques and algorithms should be understood, such as the use of failure effects analysis (FEA) and numerical methods within object oriented modelling techniques)</w:t>
            </w:r>
          </w:p>
          <w:p w:rsidR="00000000" w:rsidRPr="00094559" w:rsidP="00094559">
            <w:pPr>
              <w:pStyle w:val="BodyText"/>
            </w:pPr>
            <w:r w:rsidRPr="00094559">
              <w:t>Validation techniqu</w:t>
            </w:r>
            <w:r w:rsidRPr="00094559">
              <w:t>es include:</w:t>
            </w:r>
          </w:p>
          <w:p w:rsidR="00000000" w:rsidRPr="00094559" w:rsidP="00094559">
            <w:pPr>
              <w:pStyle w:val="ListBullet"/>
            </w:pPr>
            <w:r w:rsidRPr="00094559">
              <w:t>comparison of traditional solutions for simple design problems with software solutions to the same design problems</w:t>
            </w:r>
          </w:p>
          <w:p w:rsidR="00000000" w:rsidRPr="00094559" w:rsidP="00094559">
            <w:pPr>
              <w:pStyle w:val="ListBullet"/>
            </w:pPr>
            <w:r w:rsidRPr="00094559">
              <w:t>review of previously implemented design challenges which were completed using the software</w:t>
            </w:r>
          </w:p>
        </w:tc>
      </w:tr>
    </w:tbl>
    <w:p w:rsidR="004B3C8D" w:rsidP="00094559">
      <w:pPr>
        <w:pStyle w:val="BodyText"/>
      </w:pPr>
    </w:p>
    <w:p w:rsidR="004B3C8D" w:rsidP="00094559">
      <w:pPr>
        <w:pStyle w:val="BodyText"/>
      </w:pPr>
    </w:p>
    <w:p w:rsidR="00000000" w:rsidRPr="00094559" w:rsidP="00094559">
      <w:pPr>
        <w:pStyle w:val="Heading1"/>
      </w:pPr>
      <w:bookmarkStart w:id="12" w:name="O_397399"/>
      <w:bookmarkEnd w:id="12"/>
      <w:r w:rsidRPr="00094559">
        <w:t>Unit Sector(s)</w:t>
      </w:r>
    </w:p>
    <w:p w:rsidR="00000000" w:rsidRPr="00094559" w:rsidP="00094559">
      <w:pPr>
        <w:pStyle w:val="BodyText"/>
      </w:pPr>
      <w:r w:rsidRPr="00094559">
        <w:t>Eng</w:t>
      </w:r>
      <w:r w:rsidRPr="00094559">
        <w:t>ineering practice</w:t>
      </w:r>
    </w:p>
    <w:p w:rsidR="00000000" w:rsidRPr="00094559" w:rsidP="00094559">
      <w:pPr>
        <w:pStyle w:val="AllowPageBreak"/>
      </w:pPr>
    </w:p>
    <w:p w:rsidR="00000000" w:rsidRPr="00094559" w:rsidP="00094559">
      <w:pPr>
        <w:pStyle w:val="Heading1"/>
      </w:pPr>
      <w:bookmarkStart w:id="13" w:name="O_397400"/>
      <w:bookmarkEnd w:id="13"/>
      <w:r w:rsidRPr="00094559">
        <w:t>Custom Content Section</w:t>
      </w:r>
    </w:p>
    <w:p w:rsidR="00000000" w:rsidRPr="00094559" w:rsidP="00094559">
      <w:pPr>
        <w:pStyle w:val="BodyText"/>
      </w:pPr>
      <w:r w:rsidRPr="00094559">
        <w:t>Not applicable.</w:t>
      </w:r>
    </w:p>
    <w:p w:rsidR="00000000" w:rsidRPr="00094559" w:rsidP="00094559"/>
    <w:sectPr w:rsidSect="0009455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455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B3C8D" w:rsidP="004B3C8D">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455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3C8D" w:rsidP="00094559">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4B3C8D" w:rsidP="0009455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4B3C8D" w:rsidP="0009455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455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4559" w:rsidRPr="004B3C8D" w:rsidP="004B3C8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455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3C8D" w:rsidRPr="002D2AF8" w:rsidP="00094559">
    <w:pPr>
      <w:pStyle w:val="Header"/>
      <w:framePr w:wrap="around"/>
    </w:pPr>
    <w:r>
      <w:fldChar w:fldCharType="begin"/>
    </w:r>
    <w:r>
      <w:instrText xml:space="preserve"> TITLE   \* MERGEFORMAT </w:instrText>
    </w:r>
    <w:r>
      <w:fldChar w:fldCharType="separate"/>
    </w:r>
    <w:r>
      <w:t>MEM234030A Provide specialised technical and engineering guidance to other technical employees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4B3C8D" w:rsidP="0009455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D80B15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476251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C54E6B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455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94559"/>
    <w:pPr>
      <w:spacing w:before="360" w:after="60"/>
      <w:outlineLvl w:val="0"/>
    </w:pPr>
    <w:rPr>
      <w:sz w:val="32"/>
    </w:rPr>
  </w:style>
  <w:style w:type="paragraph" w:styleId="Heading2">
    <w:name w:val="heading 2"/>
    <w:basedOn w:val="HeadingBase"/>
    <w:next w:val="BodyText"/>
    <w:link w:val="Heading2Char"/>
    <w:qFormat/>
    <w:rsid w:val="00094559"/>
    <w:pPr>
      <w:keepLines/>
      <w:spacing w:before="240" w:after="120"/>
      <w:outlineLvl w:val="1"/>
    </w:pPr>
    <w:rPr>
      <w:sz w:val="28"/>
      <w:szCs w:val="40"/>
    </w:rPr>
  </w:style>
  <w:style w:type="paragraph" w:styleId="Heading3">
    <w:name w:val="heading 3"/>
    <w:basedOn w:val="HeadingBase"/>
    <w:next w:val="BodyText"/>
    <w:link w:val="Heading3Char"/>
    <w:qFormat/>
    <w:rsid w:val="00094559"/>
    <w:pPr>
      <w:spacing w:before="180" w:after="120"/>
      <w:outlineLvl w:val="2"/>
    </w:pPr>
    <w:rPr>
      <w:spacing w:val="-10"/>
      <w:kern w:val="32"/>
    </w:rPr>
  </w:style>
  <w:style w:type="paragraph" w:styleId="Heading4">
    <w:name w:val="heading 4"/>
    <w:basedOn w:val="HeadingBase"/>
    <w:next w:val="BodyText"/>
    <w:link w:val="Heading4Char"/>
    <w:qFormat/>
    <w:rsid w:val="00094559"/>
    <w:pPr>
      <w:spacing w:before="160" w:after="120"/>
      <w:outlineLvl w:val="3"/>
    </w:pPr>
    <w:rPr>
      <w:sz w:val="22"/>
    </w:rPr>
  </w:style>
  <w:style w:type="paragraph" w:styleId="Heading5">
    <w:name w:val="heading 5"/>
    <w:basedOn w:val="HeadingBase"/>
    <w:next w:val="Normal"/>
    <w:link w:val="Heading5Char"/>
    <w:qFormat/>
    <w:rsid w:val="00094559"/>
    <w:pPr>
      <w:spacing w:before="80"/>
      <w:outlineLvl w:val="4"/>
    </w:pPr>
    <w:rPr>
      <w:color w:val="918585"/>
      <w:sz w:val="20"/>
    </w:rPr>
  </w:style>
  <w:style w:type="paragraph" w:styleId="Heading6">
    <w:name w:val="heading 6"/>
    <w:basedOn w:val="HeadingBase"/>
    <w:next w:val="Normal"/>
    <w:link w:val="Heading6Char"/>
    <w:qFormat/>
    <w:rsid w:val="00094559"/>
    <w:pPr>
      <w:spacing w:before="60"/>
      <w:outlineLvl w:val="5"/>
    </w:pPr>
    <w:rPr>
      <w:color w:val="918585"/>
      <w:sz w:val="20"/>
    </w:rPr>
  </w:style>
  <w:style w:type="paragraph" w:styleId="Heading7">
    <w:name w:val="heading 7"/>
    <w:basedOn w:val="Normal"/>
    <w:next w:val="Normal"/>
    <w:link w:val="Heading7Char"/>
    <w:qFormat/>
    <w:rsid w:val="00094559"/>
    <w:pPr>
      <w:ind w:left="720"/>
      <w:outlineLvl w:val="6"/>
    </w:pPr>
    <w:rPr>
      <w:i/>
    </w:rPr>
  </w:style>
  <w:style w:type="paragraph" w:styleId="Heading8">
    <w:name w:val="heading 8"/>
    <w:basedOn w:val="Normal"/>
    <w:next w:val="Normal"/>
    <w:link w:val="Heading8Char"/>
    <w:qFormat/>
    <w:rsid w:val="00094559"/>
    <w:pPr>
      <w:ind w:left="720"/>
      <w:outlineLvl w:val="7"/>
    </w:pPr>
    <w:rPr>
      <w:i/>
    </w:rPr>
  </w:style>
  <w:style w:type="paragraph" w:styleId="Heading9">
    <w:name w:val="heading 9"/>
    <w:basedOn w:val="Normal"/>
    <w:next w:val="Normal"/>
    <w:link w:val="Heading9Char"/>
    <w:qFormat/>
    <w:rsid w:val="00094559"/>
    <w:pPr>
      <w:ind w:left="720"/>
      <w:outlineLvl w:val="8"/>
    </w:pPr>
    <w:rPr>
      <w:i/>
    </w:rPr>
  </w:style>
  <w:style w:type="character" w:default="1" w:styleId="DefaultParagraphFont">
    <w:name w:val="Default Paragraph Font"/>
    <w:uiPriority w:val="1"/>
    <w:unhideWhenUsed/>
    <w:rsid w:val="0009455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94559"/>
  </w:style>
  <w:style w:type="character" w:customStyle="1" w:styleId="Heading1Char">
    <w:name w:val="Heading 1 Char"/>
    <w:basedOn w:val="DefaultParagraphFont"/>
    <w:link w:val="Heading1"/>
    <w:rsid w:val="00094559"/>
    <w:rPr>
      <w:rFonts w:ascii="Times New Roman" w:eastAsia="Times New Roman" w:hAnsi="Times New Roman" w:cs="Times New Roman"/>
      <w:b/>
      <w:sz w:val="32"/>
      <w:szCs w:val="20"/>
      <w:lang w:eastAsia="en-US"/>
    </w:rPr>
  </w:style>
  <w:style w:type="paragraph" w:styleId="BodyText">
    <w:name w:val="Body Text"/>
    <w:basedOn w:val="Normal"/>
    <w:link w:val="BodyTextChar"/>
    <w:rsid w:val="0009455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94559"/>
    <w:rPr>
      <w:rFonts w:ascii="Times New Roman" w:eastAsia="Times New Roman" w:hAnsi="Times New Roman" w:cs="Times New Roman"/>
      <w:sz w:val="24"/>
      <w:lang w:eastAsia="en-US"/>
    </w:rPr>
  </w:style>
  <w:style w:type="paragraph" w:styleId="Footer">
    <w:name w:val="footer"/>
    <w:basedOn w:val="Normal"/>
    <w:link w:val="FooterChar"/>
    <w:rsid w:val="0009455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94559"/>
    <w:rPr>
      <w:rFonts w:ascii="Times New Roman" w:eastAsia="Times New Roman" w:hAnsi="Times New Roman" w:cs="Times New Roman"/>
      <w:sz w:val="16"/>
      <w:lang w:eastAsia="en-US"/>
    </w:rPr>
  </w:style>
  <w:style w:type="paragraph" w:styleId="ListBullet">
    <w:name w:val="List Bullet"/>
    <w:basedOn w:val="List"/>
    <w:rsid w:val="00094559"/>
    <w:pPr>
      <w:numPr>
        <w:numId w:val="13"/>
      </w:numPr>
      <w:tabs>
        <w:tab w:val="clear" w:pos="340"/>
      </w:tabs>
      <w:spacing w:before="40" w:after="40"/>
    </w:pPr>
  </w:style>
  <w:style w:type="character" w:customStyle="1" w:styleId="SpecialBold">
    <w:name w:val="Special Bold"/>
    <w:basedOn w:val="DefaultParagraphFont"/>
    <w:rsid w:val="00094559"/>
    <w:rPr>
      <w:b/>
      <w:spacing w:val="0"/>
    </w:rPr>
  </w:style>
  <w:style w:type="paragraph" w:styleId="ListBullet2">
    <w:name w:val="List Bullet 2"/>
    <w:basedOn w:val="List2"/>
    <w:rsid w:val="00094559"/>
    <w:pPr>
      <w:numPr>
        <w:numId w:val="14"/>
      </w:numPr>
      <w:tabs>
        <w:tab w:val="clear" w:pos="680"/>
      </w:tabs>
    </w:pPr>
  </w:style>
  <w:style w:type="paragraph" w:customStyle="1" w:styleId="SuperHeading">
    <w:name w:val="SuperHeading"/>
    <w:basedOn w:val="Normal"/>
    <w:rsid w:val="00094559"/>
    <w:pPr>
      <w:spacing w:before="240" w:after="120"/>
      <w:outlineLvl w:val="0"/>
    </w:pPr>
    <w:rPr>
      <w:rFonts w:ascii="Times New Roman" w:hAnsi="Times New Roman"/>
      <w:b/>
      <w:sz w:val="28"/>
    </w:rPr>
  </w:style>
  <w:style w:type="paragraph" w:customStyle="1" w:styleId="AllowPageBreak">
    <w:name w:val="AllowPageBreak"/>
    <w:rsid w:val="0009455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9455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9455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9455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9455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9455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9455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9455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94559"/>
    <w:rPr>
      <w:rFonts w:ascii="Courier New" w:eastAsia="Times New Roman" w:hAnsi="Courier New" w:cs="Times New Roman"/>
      <w:i/>
      <w:szCs w:val="20"/>
      <w:lang w:eastAsia="en-US"/>
    </w:rPr>
  </w:style>
  <w:style w:type="paragraph" w:customStyle="1" w:styleId="HeadingBase">
    <w:name w:val="Heading Base"/>
    <w:rsid w:val="0009455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94559"/>
    <w:pPr>
      <w:tabs>
        <w:tab w:val="right" w:leader="dot" w:pos="9072"/>
      </w:tabs>
      <w:ind w:left="567"/>
    </w:pPr>
    <w:rPr>
      <w:szCs w:val="22"/>
    </w:rPr>
  </w:style>
  <w:style w:type="paragraph" w:customStyle="1" w:styleId="TOCBase">
    <w:name w:val="TOC Base"/>
    <w:rsid w:val="0009455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94559"/>
    <w:pPr>
      <w:tabs>
        <w:tab w:val="right" w:leader="dot" w:pos="9072"/>
      </w:tabs>
      <w:spacing w:before="40" w:after="40"/>
      <w:ind w:left="284"/>
    </w:pPr>
    <w:rPr>
      <w:rFonts w:ascii="Times New Roman" w:hAnsi="Times New Roman"/>
    </w:rPr>
  </w:style>
  <w:style w:type="paragraph" w:styleId="TOC1">
    <w:name w:val="toc 1"/>
    <w:basedOn w:val="TOCBase"/>
    <w:next w:val="Normal"/>
    <w:rsid w:val="0009455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94559"/>
    <w:pPr>
      <w:spacing w:before="5040"/>
      <w:jc w:val="center"/>
    </w:pPr>
    <w:rPr>
      <w:sz w:val="48"/>
      <w:szCs w:val="72"/>
      <w:lang w:val="en-US"/>
    </w:rPr>
  </w:style>
  <w:style w:type="character" w:customStyle="1" w:styleId="TitleChar">
    <w:name w:val="Title Char"/>
    <w:basedOn w:val="DefaultParagraphFont"/>
    <w:link w:val="Title"/>
    <w:rsid w:val="0009455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94559"/>
    <w:pPr>
      <w:tabs>
        <w:tab w:val="left" w:pos="3600"/>
        <w:tab w:val="left" w:pos="3958"/>
      </w:tabs>
    </w:pPr>
  </w:style>
  <w:style w:type="paragraph" w:styleId="List">
    <w:name w:val="List"/>
    <w:basedOn w:val="BodyText"/>
    <w:next w:val="BodyText"/>
    <w:rsid w:val="00094559"/>
    <w:pPr>
      <w:tabs>
        <w:tab w:val="left" w:pos="340"/>
      </w:tabs>
      <w:spacing w:before="60" w:after="60"/>
      <w:ind w:left="340" w:hanging="340"/>
    </w:pPr>
  </w:style>
  <w:style w:type="paragraph" w:customStyle="1" w:styleId="Note">
    <w:name w:val="Note"/>
    <w:basedOn w:val="BodyText"/>
    <w:rsid w:val="0009455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94559"/>
    <w:pPr>
      <w:framePr w:wrap="auto" w:hAnchor="text" w:y="6049"/>
    </w:pPr>
    <w:rPr>
      <w:color w:val="000000"/>
      <w:sz w:val="40"/>
    </w:rPr>
  </w:style>
  <w:style w:type="paragraph" w:customStyle="1" w:styleId="TOCTitle">
    <w:name w:val="TOCTitle"/>
    <w:basedOn w:val="Heading1"/>
    <w:rsid w:val="00094559"/>
    <w:pPr>
      <w:spacing w:after="240"/>
      <w:jc w:val="center"/>
      <w:outlineLvl w:val="9"/>
    </w:pPr>
    <w:rPr>
      <w:caps/>
    </w:rPr>
  </w:style>
  <w:style w:type="paragraph" w:customStyle="1" w:styleId="Version">
    <w:name w:val="Version"/>
    <w:rsid w:val="0009455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94559"/>
    <w:pPr>
      <w:keepNext w:val="0"/>
      <w:tabs>
        <w:tab w:val="right" w:pos="4176"/>
      </w:tabs>
      <w:ind w:left="198" w:hanging="198"/>
    </w:pPr>
    <w:rPr>
      <w:rFonts w:ascii="Garamond" w:hAnsi="Garamond"/>
    </w:rPr>
  </w:style>
  <w:style w:type="paragraph" w:styleId="IndexHeading">
    <w:name w:val="index heading"/>
    <w:basedOn w:val="Normal"/>
    <w:next w:val="Index1"/>
    <w:semiHidden/>
    <w:rsid w:val="00094559"/>
    <w:pPr>
      <w:spacing w:before="120" w:after="120"/>
    </w:pPr>
    <w:rPr>
      <w:rFonts w:ascii="Arial" w:hAnsi="Arial"/>
      <w:b/>
      <w:color w:val="918585"/>
      <w:sz w:val="24"/>
    </w:rPr>
  </w:style>
  <w:style w:type="paragraph" w:styleId="Header">
    <w:name w:val="header"/>
    <w:basedOn w:val="Normal"/>
    <w:link w:val="HeaderChar"/>
    <w:rsid w:val="0009455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94559"/>
    <w:rPr>
      <w:rFonts w:ascii="Times New Roman" w:eastAsia="Times New Roman" w:hAnsi="Times New Roman" w:cs="Times New Roman"/>
      <w:sz w:val="16"/>
      <w:szCs w:val="20"/>
      <w:lang w:val="en-GB" w:eastAsia="en-US"/>
    </w:rPr>
  </w:style>
  <w:style w:type="paragraph" w:customStyle="1" w:styleId="Chapter">
    <w:name w:val="Chapter"/>
    <w:basedOn w:val="Normal"/>
    <w:rsid w:val="00094559"/>
    <w:pPr>
      <w:spacing w:before="240"/>
    </w:pPr>
    <w:rPr>
      <w:rFonts w:ascii="Times New Roman" w:hAnsi="Times New Roman"/>
      <w:smallCaps/>
      <w:spacing w:val="80"/>
      <w:sz w:val="28"/>
    </w:rPr>
  </w:style>
  <w:style w:type="paragraph" w:customStyle="1" w:styleId="InChapter">
    <w:name w:val="InChapter"/>
    <w:basedOn w:val="Heading3"/>
    <w:rsid w:val="00094559"/>
    <w:pPr>
      <w:spacing w:after="240"/>
      <w:outlineLvl w:val="9"/>
    </w:pPr>
    <w:rPr>
      <w:noProof/>
    </w:rPr>
  </w:style>
  <w:style w:type="paragraph" w:styleId="Index2">
    <w:name w:val="index 2"/>
    <w:basedOn w:val="Normal"/>
    <w:next w:val="Normal"/>
    <w:semiHidden/>
    <w:rsid w:val="00094559"/>
    <w:pPr>
      <w:tabs>
        <w:tab w:val="right" w:pos="4176"/>
      </w:tabs>
      <w:ind w:left="568" w:hanging="284"/>
    </w:pPr>
    <w:rPr>
      <w:rFonts w:ascii="Garamond" w:hAnsi="Garamond"/>
    </w:rPr>
  </w:style>
  <w:style w:type="paragraph" w:customStyle="1" w:styleId="Byline">
    <w:name w:val="Byline"/>
    <w:rsid w:val="0009455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94559"/>
    <w:pPr>
      <w:tabs>
        <w:tab w:val="clear" w:pos="3600"/>
        <w:tab w:val="clear" w:pos="3958"/>
      </w:tabs>
      <w:jc w:val="right"/>
    </w:pPr>
  </w:style>
  <w:style w:type="character" w:styleId="Emphasis">
    <w:name w:val="Emphasis"/>
    <w:basedOn w:val="DefaultParagraphFont"/>
    <w:qFormat/>
    <w:rsid w:val="00094559"/>
    <w:rPr>
      <w:i/>
    </w:rPr>
  </w:style>
  <w:style w:type="paragraph" w:styleId="Caption">
    <w:name w:val="caption"/>
    <w:basedOn w:val="BodyText"/>
    <w:next w:val="Normal"/>
    <w:qFormat/>
    <w:rsid w:val="00094559"/>
    <w:pPr>
      <w:framePr w:w="2268" w:hSpace="181" w:vSpace="181" w:wrap="around" w:vAnchor="text" w:hAnchor="page" w:x="1135" w:y="285" w:anchorLock="1"/>
    </w:pPr>
    <w:rPr>
      <w:i/>
    </w:rPr>
  </w:style>
  <w:style w:type="paragraph" w:customStyle="1" w:styleId="MiniTOCTitle">
    <w:name w:val="MiniTOCTitle"/>
    <w:basedOn w:val="Heading4"/>
    <w:rsid w:val="00094559"/>
    <w:pPr>
      <w:spacing w:before="240"/>
      <w:outlineLvl w:val="9"/>
    </w:pPr>
    <w:rPr>
      <w:noProof/>
      <w:sz w:val="24"/>
    </w:rPr>
  </w:style>
  <w:style w:type="paragraph" w:customStyle="1" w:styleId="MiniTOCItem">
    <w:name w:val="MiniTOCItem"/>
    <w:basedOn w:val="ListBullet"/>
    <w:rsid w:val="00094559"/>
    <w:pPr>
      <w:numPr>
        <w:numId w:val="0"/>
      </w:numPr>
      <w:tabs>
        <w:tab w:val="right" w:leader="dot" w:pos="6521"/>
      </w:tabs>
      <w:spacing w:before="0" w:after="0"/>
    </w:pPr>
  </w:style>
  <w:style w:type="paragraph" w:customStyle="1" w:styleId="TOFTitle">
    <w:name w:val="TOFTitle"/>
    <w:basedOn w:val="TOCTitle"/>
    <w:rsid w:val="00094559"/>
  </w:style>
  <w:style w:type="paragraph" w:styleId="TableofFigures">
    <w:name w:val="table of figures"/>
    <w:basedOn w:val="Normal"/>
    <w:next w:val="Normal"/>
    <w:semiHidden/>
    <w:rsid w:val="00094559"/>
    <w:pPr>
      <w:tabs>
        <w:tab w:val="right" w:leader="dot" w:pos="9072"/>
      </w:tabs>
      <w:ind w:left="970" w:hanging="403"/>
    </w:pPr>
    <w:rPr>
      <w:rFonts w:ascii="Times New Roman" w:hAnsi="Times New Roman"/>
      <w:b/>
    </w:rPr>
  </w:style>
  <w:style w:type="paragraph" w:styleId="ListNumber">
    <w:name w:val="List Number"/>
    <w:basedOn w:val="List"/>
    <w:rsid w:val="00094559"/>
    <w:pPr>
      <w:numPr>
        <w:numId w:val="11"/>
      </w:numPr>
    </w:pPr>
  </w:style>
  <w:style w:type="character" w:customStyle="1" w:styleId="WingdingSymbols">
    <w:name w:val="Wingding Symbols"/>
    <w:rsid w:val="00094559"/>
    <w:rPr>
      <w:rFonts w:ascii="Wingdings" w:hAnsi="Wingdings"/>
    </w:rPr>
  </w:style>
  <w:style w:type="paragraph" w:customStyle="1" w:styleId="TableHeading">
    <w:name w:val="Table Heading"/>
    <w:basedOn w:val="HeadingBase"/>
    <w:rsid w:val="00094559"/>
    <w:pPr>
      <w:keepLines/>
      <w:pBdr>
        <w:bottom w:val="single" w:sz="6" w:space="1" w:color="918585"/>
      </w:pBdr>
      <w:spacing w:before="240"/>
    </w:pPr>
  </w:style>
  <w:style w:type="character" w:customStyle="1" w:styleId="HotSpot">
    <w:name w:val="HotSpot"/>
    <w:rsid w:val="00094559"/>
    <w:rPr>
      <w:color w:val="0033CC"/>
      <w:u w:val="none"/>
    </w:rPr>
  </w:style>
  <w:style w:type="paragraph" w:customStyle="1" w:styleId="BodyTextRight">
    <w:name w:val="Body Text Right"/>
    <w:basedOn w:val="BodyText"/>
    <w:rsid w:val="00094559"/>
    <w:pPr>
      <w:spacing w:before="0" w:after="0"/>
      <w:jc w:val="right"/>
    </w:pPr>
  </w:style>
  <w:style w:type="paragraph" w:styleId="Index3">
    <w:name w:val="index 3"/>
    <w:basedOn w:val="ListNumber2"/>
    <w:next w:val="Normal"/>
    <w:semiHidden/>
    <w:rsid w:val="00094559"/>
    <w:pPr>
      <w:numPr>
        <w:numId w:val="0"/>
      </w:numPr>
      <w:tabs>
        <w:tab w:val="right" w:leader="dot" w:pos="4176"/>
      </w:tabs>
    </w:pPr>
  </w:style>
  <w:style w:type="paragraph" w:styleId="ListNumber2">
    <w:name w:val="List Number 2"/>
    <w:basedOn w:val="List2"/>
    <w:rsid w:val="00094559"/>
    <w:pPr>
      <w:numPr>
        <w:numId w:val="10"/>
      </w:numPr>
      <w:tabs>
        <w:tab w:val="clear" w:pos="1060"/>
      </w:tabs>
    </w:pPr>
  </w:style>
  <w:style w:type="paragraph" w:customStyle="1" w:styleId="MarginNote">
    <w:name w:val="Margin Note"/>
    <w:basedOn w:val="BodyText"/>
    <w:rsid w:val="0009455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9455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9455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94559"/>
    <w:rPr>
      <w:sz w:val="32"/>
    </w:rPr>
  </w:style>
  <w:style w:type="paragraph" w:customStyle="1" w:styleId="HeadingProcedure">
    <w:name w:val="Heading Procedure"/>
    <w:basedOn w:val="HeadingBase"/>
    <w:next w:val="Normal"/>
    <w:rsid w:val="00094559"/>
    <w:pPr>
      <w:tabs>
        <w:tab w:val="left" w:pos="0"/>
      </w:tabs>
      <w:spacing w:before="120" w:after="60"/>
    </w:pPr>
    <w:rPr>
      <w:i/>
      <w:color w:val="918585"/>
      <w:sz w:val="22"/>
    </w:rPr>
  </w:style>
  <w:style w:type="paragraph" w:customStyle="1" w:styleId="TableBodyText">
    <w:name w:val="Table Body Text"/>
    <w:basedOn w:val="BodyText"/>
    <w:rsid w:val="00094559"/>
    <w:pPr>
      <w:spacing w:before="60" w:after="60"/>
    </w:pPr>
  </w:style>
  <w:style w:type="paragraph" w:styleId="ListContinue">
    <w:name w:val="List Continue"/>
    <w:basedOn w:val="List"/>
    <w:rsid w:val="00094559"/>
    <w:pPr>
      <w:ind w:firstLine="0"/>
    </w:pPr>
  </w:style>
  <w:style w:type="paragraph" w:customStyle="1" w:styleId="ListNote">
    <w:name w:val="List Note"/>
    <w:basedOn w:val="List"/>
    <w:rsid w:val="00094559"/>
    <w:pPr>
      <w:pBdr>
        <w:top w:val="single" w:sz="6" w:space="2" w:color="918585"/>
        <w:bottom w:val="single" w:sz="6" w:space="2" w:color="918585"/>
      </w:pBdr>
      <w:tabs>
        <w:tab w:val="left" w:pos="1021"/>
      </w:tabs>
      <w:ind w:firstLine="0"/>
    </w:pPr>
  </w:style>
  <w:style w:type="paragraph" w:customStyle="1" w:styleId="Warning">
    <w:name w:val="Warning"/>
    <w:basedOn w:val="BodyText"/>
    <w:rsid w:val="00094559"/>
    <w:pPr>
      <w:shd w:val="clear" w:color="auto" w:fill="D9D9D9"/>
      <w:tabs>
        <w:tab w:val="left" w:pos="992"/>
      </w:tabs>
      <w:ind w:left="119" w:right="119"/>
    </w:pPr>
    <w:rPr>
      <w:sz w:val="20"/>
    </w:rPr>
  </w:style>
  <w:style w:type="paragraph" w:customStyle="1" w:styleId="MarginIcons">
    <w:name w:val="Margin Icons"/>
    <w:basedOn w:val="BodyText"/>
    <w:rsid w:val="0009455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94559"/>
    <w:rPr>
      <w:rFonts w:ascii="Courier New" w:hAnsi="Courier New"/>
    </w:rPr>
  </w:style>
  <w:style w:type="paragraph" w:customStyle="1" w:styleId="NoteBullet">
    <w:name w:val="Note Bullet"/>
    <w:basedOn w:val="Note"/>
    <w:rsid w:val="00094559"/>
    <w:pPr>
      <w:tabs>
        <w:tab w:val="clear" w:pos="680"/>
      </w:tabs>
      <w:spacing w:before="60" w:after="60"/>
    </w:pPr>
  </w:style>
  <w:style w:type="paragraph" w:customStyle="1" w:styleId="SubHeading2">
    <w:name w:val="SubHeading2"/>
    <w:basedOn w:val="HeadingBase"/>
    <w:rsid w:val="00094559"/>
    <w:pPr>
      <w:spacing w:before="240" w:after="60"/>
    </w:pPr>
    <w:rPr>
      <w:sz w:val="20"/>
    </w:rPr>
  </w:style>
  <w:style w:type="paragraph" w:customStyle="1" w:styleId="SubHeading1">
    <w:name w:val="SubHeading1"/>
    <w:basedOn w:val="HeadingBase"/>
    <w:rsid w:val="00094559"/>
    <w:pPr>
      <w:spacing w:before="240" w:after="60"/>
    </w:pPr>
    <w:rPr>
      <w:color w:val="918585"/>
      <w:sz w:val="22"/>
    </w:rPr>
  </w:style>
  <w:style w:type="paragraph" w:customStyle="1" w:styleId="SideHeading">
    <w:name w:val="Side Heading"/>
    <w:basedOn w:val="HeadingBase"/>
    <w:rsid w:val="0009455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94559"/>
    <w:pPr>
      <w:numPr>
        <w:numId w:val="12"/>
      </w:numPr>
    </w:pPr>
  </w:style>
  <w:style w:type="paragraph" w:styleId="PlainText">
    <w:name w:val="Plain Text"/>
    <w:basedOn w:val="Normal"/>
    <w:link w:val="PlainTextChar"/>
    <w:rsid w:val="00094559"/>
    <w:rPr>
      <w:sz w:val="20"/>
    </w:rPr>
  </w:style>
  <w:style w:type="character" w:customStyle="1" w:styleId="PlainTextChar">
    <w:name w:val="Plain Text Char"/>
    <w:basedOn w:val="DefaultParagraphFont"/>
    <w:link w:val="PlainText"/>
    <w:rsid w:val="00094559"/>
    <w:rPr>
      <w:rFonts w:ascii="Courier New" w:eastAsia="Times New Roman" w:hAnsi="Courier New" w:cs="Times New Roman"/>
      <w:sz w:val="20"/>
      <w:szCs w:val="20"/>
      <w:lang w:eastAsia="en-US"/>
    </w:rPr>
  </w:style>
  <w:style w:type="character" w:customStyle="1" w:styleId="MenuOption">
    <w:name w:val="Menu Option"/>
    <w:basedOn w:val="DefaultParagraphFont"/>
    <w:rsid w:val="00094559"/>
    <w:rPr>
      <w:b/>
      <w:smallCaps/>
    </w:rPr>
  </w:style>
  <w:style w:type="paragraph" w:customStyle="1" w:styleId="TableListNumber">
    <w:name w:val="Table List Number"/>
    <w:basedOn w:val="ListNumber"/>
    <w:rsid w:val="00094559"/>
    <w:pPr>
      <w:numPr>
        <w:numId w:val="0"/>
      </w:numPr>
    </w:pPr>
  </w:style>
  <w:style w:type="paragraph" w:styleId="TOC4">
    <w:name w:val="toc 4"/>
    <w:basedOn w:val="TOCBase"/>
    <w:next w:val="Normal"/>
    <w:semiHidden/>
    <w:rsid w:val="00094559"/>
    <w:pPr>
      <w:tabs>
        <w:tab w:val="right" w:leader="dot" w:pos="9071"/>
      </w:tabs>
      <w:ind w:left="1701"/>
    </w:pPr>
  </w:style>
  <w:style w:type="paragraph" w:customStyle="1" w:styleId="ListAlpha">
    <w:name w:val="List Alpha"/>
    <w:basedOn w:val="List"/>
    <w:rsid w:val="00094559"/>
    <w:pPr>
      <w:numPr>
        <w:numId w:val="9"/>
      </w:numPr>
    </w:pPr>
  </w:style>
  <w:style w:type="paragraph" w:customStyle="1" w:styleId="ListAlpha2">
    <w:name w:val="List Alpha 2"/>
    <w:basedOn w:val="List2"/>
    <w:rsid w:val="00094559"/>
    <w:pPr>
      <w:numPr>
        <w:numId w:val="8"/>
      </w:numPr>
    </w:pPr>
  </w:style>
  <w:style w:type="paragraph" w:styleId="List2">
    <w:name w:val="List 2"/>
    <w:basedOn w:val="BodyText"/>
    <w:rsid w:val="00094559"/>
    <w:pPr>
      <w:tabs>
        <w:tab w:val="left" w:pos="680"/>
      </w:tabs>
      <w:spacing w:before="60" w:after="60"/>
      <w:ind w:left="680" w:hanging="340"/>
    </w:pPr>
  </w:style>
  <w:style w:type="paragraph" w:styleId="List3">
    <w:name w:val="List 3"/>
    <w:basedOn w:val="BodyText"/>
    <w:rsid w:val="00094559"/>
    <w:pPr>
      <w:tabs>
        <w:tab w:val="left" w:pos="1021"/>
      </w:tabs>
      <w:spacing w:before="60" w:after="60"/>
      <w:ind w:left="1020" w:hanging="340"/>
    </w:pPr>
  </w:style>
  <w:style w:type="paragraph" w:styleId="List4">
    <w:name w:val="List 4"/>
    <w:basedOn w:val="BodyText"/>
    <w:rsid w:val="00094559"/>
    <w:pPr>
      <w:tabs>
        <w:tab w:val="left" w:pos="1361"/>
      </w:tabs>
      <w:spacing w:before="60" w:after="60"/>
      <w:ind w:left="1361" w:hanging="340"/>
    </w:pPr>
  </w:style>
  <w:style w:type="paragraph" w:styleId="List5">
    <w:name w:val="List 5"/>
    <w:basedOn w:val="BodyText"/>
    <w:rsid w:val="00094559"/>
    <w:pPr>
      <w:tabs>
        <w:tab w:val="left" w:pos="1701"/>
      </w:tabs>
      <w:spacing w:before="60" w:after="60"/>
      <w:ind w:left="1701" w:hanging="340"/>
    </w:pPr>
  </w:style>
  <w:style w:type="paragraph" w:styleId="ListBullet3">
    <w:name w:val="List Bullet 3"/>
    <w:basedOn w:val="List3"/>
    <w:rsid w:val="00094559"/>
    <w:pPr>
      <w:numPr>
        <w:numId w:val="15"/>
      </w:numPr>
      <w:tabs>
        <w:tab w:val="clear" w:pos="1021"/>
      </w:tabs>
      <w:ind w:left="1037" w:hanging="357"/>
    </w:pPr>
  </w:style>
  <w:style w:type="paragraph" w:styleId="ListBullet4">
    <w:name w:val="List Bullet 4"/>
    <w:basedOn w:val="List4"/>
    <w:rsid w:val="00094559"/>
    <w:pPr>
      <w:numPr>
        <w:numId w:val="3"/>
      </w:numPr>
    </w:pPr>
  </w:style>
  <w:style w:type="paragraph" w:styleId="ListBullet5">
    <w:name w:val="List Bullet 5"/>
    <w:basedOn w:val="List5"/>
    <w:rsid w:val="00094559"/>
    <w:pPr>
      <w:numPr>
        <w:numId w:val="4"/>
      </w:numPr>
    </w:pPr>
  </w:style>
  <w:style w:type="paragraph" w:styleId="ListContinue2">
    <w:name w:val="List Continue 2"/>
    <w:basedOn w:val="List2"/>
    <w:rsid w:val="00094559"/>
    <w:pPr>
      <w:ind w:firstLine="0"/>
    </w:pPr>
  </w:style>
  <w:style w:type="paragraph" w:styleId="ListContinue3">
    <w:name w:val="List Continue 3"/>
    <w:basedOn w:val="List3"/>
    <w:rsid w:val="00094559"/>
    <w:pPr>
      <w:ind w:left="1021" w:firstLine="0"/>
    </w:pPr>
  </w:style>
  <w:style w:type="paragraph" w:styleId="ListContinue4">
    <w:name w:val="List Continue 4"/>
    <w:basedOn w:val="List4"/>
    <w:rsid w:val="00094559"/>
    <w:pPr>
      <w:ind w:firstLine="0"/>
    </w:pPr>
  </w:style>
  <w:style w:type="paragraph" w:styleId="ListContinue5">
    <w:name w:val="List Continue 5"/>
    <w:basedOn w:val="List5"/>
    <w:rsid w:val="00094559"/>
    <w:pPr>
      <w:ind w:firstLine="0"/>
    </w:pPr>
  </w:style>
  <w:style w:type="paragraph" w:styleId="ListNumber3">
    <w:name w:val="List Number 3"/>
    <w:basedOn w:val="List3"/>
    <w:rsid w:val="00094559"/>
    <w:pPr>
      <w:numPr>
        <w:numId w:val="5"/>
      </w:numPr>
    </w:pPr>
  </w:style>
  <w:style w:type="paragraph" w:styleId="ListNumber4">
    <w:name w:val="List Number 4"/>
    <w:basedOn w:val="List4"/>
    <w:rsid w:val="00094559"/>
    <w:pPr>
      <w:numPr>
        <w:numId w:val="6"/>
      </w:numPr>
    </w:pPr>
  </w:style>
  <w:style w:type="paragraph" w:styleId="ListNumber5">
    <w:name w:val="List Number 5"/>
    <w:basedOn w:val="List5"/>
    <w:rsid w:val="00094559"/>
    <w:pPr>
      <w:numPr>
        <w:numId w:val="7"/>
      </w:numPr>
    </w:pPr>
  </w:style>
  <w:style w:type="paragraph" w:styleId="BlockText">
    <w:name w:val="Block Text"/>
    <w:basedOn w:val="Normal"/>
    <w:rsid w:val="00094559"/>
    <w:pPr>
      <w:spacing w:after="120"/>
      <w:ind w:left="1440" w:right="1440"/>
    </w:pPr>
  </w:style>
  <w:style w:type="character" w:customStyle="1" w:styleId="Subscript">
    <w:name w:val="Subscript"/>
    <w:basedOn w:val="DefaultParagraphFont"/>
    <w:rsid w:val="00094559"/>
    <w:rPr>
      <w:sz w:val="16"/>
      <w:vertAlign w:val="subscript"/>
    </w:rPr>
  </w:style>
  <w:style w:type="character" w:customStyle="1" w:styleId="Superscript">
    <w:name w:val="Superscript"/>
    <w:basedOn w:val="DefaultParagraphFont"/>
    <w:rsid w:val="00094559"/>
    <w:rPr>
      <w:sz w:val="16"/>
      <w:vertAlign w:val="superscript"/>
    </w:rPr>
  </w:style>
  <w:style w:type="character" w:customStyle="1" w:styleId="Symbols">
    <w:name w:val="Symbols"/>
    <w:basedOn w:val="DefaultParagraphFont"/>
    <w:rsid w:val="00094559"/>
    <w:rPr>
      <w:rFonts w:ascii="Symbol" w:hAnsi="Symbol"/>
    </w:rPr>
  </w:style>
  <w:style w:type="character" w:customStyle="1" w:styleId="MenuOptions">
    <w:name w:val="Menu Options"/>
    <w:basedOn w:val="DefaultParagraphFont"/>
    <w:rsid w:val="00094559"/>
    <w:rPr>
      <w:rFonts w:ascii="Arial Narrow" w:hAnsi="Arial Narrow"/>
      <w:smallCaps/>
    </w:rPr>
  </w:style>
  <w:style w:type="character" w:customStyle="1" w:styleId="Buttons">
    <w:name w:val="Buttons"/>
    <w:basedOn w:val="DefaultParagraphFont"/>
    <w:rsid w:val="00094559"/>
    <w:rPr>
      <w:b/>
    </w:rPr>
  </w:style>
  <w:style w:type="character" w:customStyle="1" w:styleId="Underlined">
    <w:name w:val="Underlined"/>
    <w:basedOn w:val="DefaultParagraphFont"/>
    <w:rsid w:val="00094559"/>
    <w:rPr>
      <w:u w:val="single"/>
    </w:rPr>
  </w:style>
  <w:style w:type="paragraph" w:customStyle="1" w:styleId="TableBodyTextRight">
    <w:name w:val="Table Body Text Right"/>
    <w:basedOn w:val="TableBodyText"/>
    <w:rsid w:val="00094559"/>
    <w:pPr>
      <w:widowControl w:val="0"/>
      <w:autoSpaceDE w:val="0"/>
      <w:autoSpaceDN w:val="0"/>
      <w:adjustRightInd w:val="0"/>
      <w:jc w:val="right"/>
    </w:pPr>
    <w:rPr>
      <w:rFonts w:cs="Arial"/>
      <w:szCs w:val="18"/>
    </w:rPr>
  </w:style>
  <w:style w:type="paragraph" w:customStyle="1" w:styleId="CopyrightText">
    <w:name w:val="Copyright Text"/>
    <w:basedOn w:val="BodyText"/>
    <w:rsid w:val="00094559"/>
    <w:rPr>
      <w:sz w:val="18"/>
    </w:rPr>
  </w:style>
  <w:style w:type="paragraph" w:customStyle="1" w:styleId="BodySmallRight">
    <w:name w:val="Body Small Right"/>
    <w:basedOn w:val="BodyTextRight"/>
    <w:rsid w:val="00094559"/>
    <w:rPr>
      <w:sz w:val="18"/>
      <w:szCs w:val="18"/>
    </w:rPr>
  </w:style>
  <w:style w:type="paragraph" w:customStyle="1" w:styleId="MarginEdition">
    <w:name w:val="Margin Edition"/>
    <w:basedOn w:val="MarginNote"/>
    <w:rsid w:val="00094559"/>
    <w:pPr>
      <w:spacing w:before="0" w:after="0"/>
    </w:pPr>
    <w:rPr>
      <w:rFonts w:ascii="Times New Roman" w:hAnsi="Times New Roman"/>
      <w:color w:val="999999"/>
    </w:rPr>
  </w:style>
  <w:style w:type="paragraph" w:customStyle="1" w:styleId="Spacer">
    <w:name w:val="Spacer"/>
    <w:basedOn w:val="Normal"/>
    <w:rsid w:val="00094559"/>
    <w:rPr>
      <w:sz w:val="2"/>
      <w:szCs w:val="2"/>
    </w:rPr>
  </w:style>
  <w:style w:type="character" w:customStyle="1" w:styleId="Small">
    <w:name w:val="Small"/>
    <w:basedOn w:val="DefaultParagraphFont"/>
    <w:rsid w:val="00094559"/>
    <w:rPr>
      <w:sz w:val="16"/>
    </w:rPr>
  </w:style>
  <w:style w:type="paragraph" w:customStyle="1" w:styleId="WideTable">
    <w:name w:val="Wide Table"/>
    <w:basedOn w:val="Normal"/>
    <w:rsid w:val="00094559"/>
    <w:pPr>
      <w:ind w:left="-1418"/>
    </w:pPr>
    <w:rPr>
      <w:sz w:val="2"/>
      <w:szCs w:val="2"/>
    </w:rPr>
  </w:style>
  <w:style w:type="character" w:styleId="PageNumber">
    <w:name w:val="page number"/>
    <w:basedOn w:val="DefaultParagraphFont"/>
    <w:rsid w:val="00094559"/>
  </w:style>
  <w:style w:type="paragraph" w:styleId="Quote">
    <w:name w:val="Quote"/>
    <w:basedOn w:val="Heading1"/>
    <w:link w:val="QuoteChar"/>
    <w:qFormat/>
    <w:rsid w:val="00094559"/>
    <w:rPr>
      <w:b w:val="0"/>
      <w:sz w:val="72"/>
      <w:szCs w:val="72"/>
      <w:lang w:val="en-NZ"/>
    </w:rPr>
  </w:style>
  <w:style w:type="character" w:customStyle="1" w:styleId="QuoteChar">
    <w:name w:val="Quote Char"/>
    <w:basedOn w:val="DefaultParagraphFont"/>
    <w:link w:val="Quote"/>
    <w:rsid w:val="0009455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94559"/>
    <w:pPr>
      <w:pageBreakBefore/>
    </w:pPr>
  </w:style>
  <w:style w:type="paragraph" w:customStyle="1" w:styleId="Border">
    <w:name w:val="Border"/>
    <w:basedOn w:val="Normal"/>
    <w:qFormat/>
    <w:rsid w:val="0009455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94559"/>
    <w:rPr>
      <w:b/>
      <w:bCs/>
      <w:i/>
      <w:iCs/>
      <w:color w:val="auto"/>
    </w:rPr>
  </w:style>
  <w:style w:type="paragraph" w:styleId="IntenseQuote">
    <w:name w:val="Intense Quote"/>
    <w:basedOn w:val="Normal"/>
    <w:next w:val="Normal"/>
    <w:link w:val="IntenseQuoteChar"/>
    <w:uiPriority w:val="30"/>
    <w:qFormat/>
    <w:rsid w:val="0009455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9455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94559"/>
    <w:rPr>
      <w:smallCaps/>
      <w:color w:val="auto"/>
      <w:u w:val="single"/>
    </w:rPr>
  </w:style>
  <w:style w:type="character" w:styleId="IntenseReference">
    <w:name w:val="Intense Reference"/>
    <w:basedOn w:val="DefaultParagraphFont"/>
    <w:uiPriority w:val="32"/>
    <w:qFormat/>
    <w:rsid w:val="00094559"/>
    <w:rPr>
      <w:b/>
      <w:bCs/>
      <w:smallCaps/>
      <w:color w:val="auto"/>
      <w:spacing w:val="5"/>
      <w:u w:val="single"/>
    </w:rPr>
  </w:style>
  <w:style w:type="paragraph" w:customStyle="1" w:styleId="2ColumnHeading">
    <w:name w:val="2Column Heading"/>
    <w:basedOn w:val="BodyText"/>
    <w:qFormat/>
    <w:rsid w:val="00094559"/>
    <w:pPr>
      <w:spacing w:after="60"/>
      <w:ind w:left="-2268"/>
    </w:pPr>
    <w:rPr>
      <w:b/>
    </w:rPr>
  </w:style>
  <w:style w:type="paragraph" w:customStyle="1" w:styleId="Heading1TOC">
    <w:name w:val="Heading1 TOC"/>
    <w:basedOn w:val="Normal"/>
    <w:qFormat/>
    <w:rsid w:val="00094559"/>
    <w:pPr>
      <w:spacing w:before="240" w:after="120"/>
    </w:pPr>
    <w:rPr>
      <w:rFonts w:ascii="Times New Roman" w:hAnsi="Times New Roman"/>
      <w:b/>
      <w:sz w:val="32"/>
    </w:rPr>
  </w:style>
  <w:style w:type="paragraph" w:customStyle="1" w:styleId="Heading2TOC">
    <w:name w:val="Heading2 TOC"/>
    <w:basedOn w:val="Normal"/>
    <w:qFormat/>
    <w:rsid w:val="00094559"/>
    <w:pPr>
      <w:spacing w:before="240" w:after="60"/>
    </w:pPr>
    <w:rPr>
      <w:rFonts w:ascii="Times New Roman" w:hAnsi="Times New Roman"/>
      <w:b/>
      <w:sz w:val="28"/>
    </w:rPr>
  </w:style>
  <w:style w:type="character" w:customStyle="1" w:styleId="Underline">
    <w:name w:val="Underline"/>
    <w:basedOn w:val="DefaultParagraphFont"/>
    <w:qFormat/>
    <w:rsid w:val="00094559"/>
    <w:rPr>
      <w:u w:val="single"/>
    </w:rPr>
  </w:style>
  <w:style w:type="character" w:customStyle="1" w:styleId="BoldandItalics">
    <w:name w:val="Bold and Italics"/>
    <w:qFormat/>
    <w:rsid w:val="00094559"/>
    <w:rPr>
      <w:b/>
      <w:i/>
      <w:u w:val="none"/>
    </w:rPr>
  </w:style>
  <w:style w:type="paragraph" w:styleId="BalloonText">
    <w:name w:val="Balloon Text"/>
    <w:basedOn w:val="Normal"/>
    <w:link w:val="BalloonTextChar"/>
    <w:rsid w:val="00094559"/>
    <w:rPr>
      <w:rFonts w:ascii="Tahoma" w:hAnsi="Tahoma" w:cs="Tahoma"/>
      <w:sz w:val="16"/>
      <w:szCs w:val="16"/>
    </w:rPr>
  </w:style>
  <w:style w:type="character" w:customStyle="1" w:styleId="BalloonTextChar">
    <w:name w:val="Balloon Text Char"/>
    <w:basedOn w:val="DefaultParagraphFont"/>
    <w:link w:val="BalloonText"/>
    <w:rsid w:val="0009455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9455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9455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94559"/>
    <w:rPr>
      <w:b/>
      <w:color w:val="660033"/>
      <w:spacing w:val="0"/>
    </w:rPr>
  </w:style>
  <w:style w:type="paragraph" w:customStyle="1" w:styleId="Nameditemlist">
    <w:name w:val="Named item list"/>
    <w:basedOn w:val="BodyText"/>
    <w:qFormat/>
    <w:rsid w:val="0009455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1631</Words>
  <Characters>10543</Characters>
  <Application>Microsoft Office Word</Application>
  <DocSecurity>0</DocSecurity>
  <Lines>338</Lines>
  <Paragraphs>158</Paragraphs>
  <ScaleCrop>false</ScaleCrop>
  <Company>Author-it Software Corporation Ltd.</Company>
  <LinksUpToDate>false</LinksUpToDate>
  <CharactersWithSpaces>12102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MEM234030A Provide specialised technical and engineering guidance to other technical employees</dc:title>
  <dc:subject>Approved</dc:subject>
  <dc:creator>Manufacturing Skills Australia</dc:creator>
  <cp:keywords>Release: 1</cp:keywords>
  <dc:description>Copyright © 1996-2007 Author-it Software Corporation Ltd., all rights reserved.</dc:description>
  <cp:lastModifiedBy>TPCMS</cp:lastModifiedBy>
  <cp:revision>3</cp:revision>
  <dcterms:created xsi:type="dcterms:W3CDTF">2012-10-05T10:59:00Z</dcterms:created>
  <dcterms:modified xsi:type="dcterms:W3CDTF">2012-10-05T10:59:00Z</dcterms:modified>
</cp:coreProperties>
</file>