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CC2" w:rsidP="00AB3CC2">
      <w:pPr>
        <w:pStyle w:val="Title"/>
      </w:pPr>
      <w:r>
        <w:fldChar w:fldCharType="begin"/>
      </w:r>
      <w:r>
        <w:instrText xml:space="preserve"> TITLE   \* MERGEFORMAT </w:instrText>
      </w:r>
      <w:r>
        <w:fldChar w:fldCharType="separate"/>
      </w:r>
      <w:r>
        <w:t>MEM234024A Apply advanced mathematics in technology problems</w:t>
      </w:r>
      <w:r>
        <w:fldChar w:fldCharType="end"/>
      </w:r>
    </w:p>
    <w:p w:rsidR="00AB3CC2" w:rsidP="00AB3CC2">
      <w:pPr>
        <w:pStyle w:val="Version"/>
        <w:sectPr w:rsidSect="00A83D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D2E" w:rsidP="00A83D2E">
      <w:pPr>
        <w:pStyle w:val="SuperHeading"/>
      </w:pPr>
      <w:r w:rsidRPr="00A83D2E">
        <w:t>MEM234024A Apply advanced mathematics in technology problems</w:t>
      </w:r>
    </w:p>
    <w:p w:rsidR="00000000" w:rsidRPr="00A83D2E" w:rsidP="00A83D2E">
      <w:pPr>
        <w:pStyle w:val="Heading1"/>
      </w:pPr>
      <w:bookmarkStart w:id="1" w:name="O_397298"/>
      <w:bookmarkEnd w:id="1"/>
      <w:r w:rsidRPr="00A83D2E">
        <w:t>Modification History</w:t>
      </w:r>
    </w:p>
    <w:p w:rsidR="00000000" w:rsidRPr="00A83D2E" w:rsidP="00A83D2E">
      <w:pPr>
        <w:pStyle w:val="BodyText"/>
      </w:pPr>
      <w:r w:rsidRPr="00A83D2E">
        <w:t>New unit</w:t>
      </w:r>
    </w:p>
    <w:p w:rsidR="00000000" w:rsidRPr="00A83D2E" w:rsidP="00A83D2E">
      <w:pPr>
        <w:pStyle w:val="AllowPageBreak"/>
      </w:pPr>
    </w:p>
    <w:p w:rsidR="00000000" w:rsidRPr="00A83D2E" w:rsidP="00A83D2E">
      <w:pPr>
        <w:pStyle w:val="Heading1"/>
      </w:pPr>
      <w:bookmarkStart w:id="2" w:name="O_397299"/>
      <w:bookmarkEnd w:id="2"/>
      <w:r w:rsidRPr="00A83D2E">
        <w:t>Unit Descriptor</w:t>
      </w:r>
    </w:p>
    <w:p w:rsidR="00000000" w:rsidRPr="00A83D2E" w:rsidP="00A83D2E">
      <w:pPr>
        <w:pStyle w:val="BodyText"/>
      </w:pPr>
      <w:r w:rsidRPr="00A83D2E">
        <w:t>This unit of competency covers the application of advanced mathematics in an engineering or relate</w:t>
      </w:r>
      <w:r w:rsidRPr="00A83D2E">
        <w:t>d application. It includes a range of mathematical techniques and covers both the application of theory in simple calculations and the use of relevant software packages for more complex situations.</w:t>
      </w:r>
    </w:p>
    <w:p w:rsidR="00000000" w:rsidRPr="00A83D2E" w:rsidP="00A83D2E">
      <w:pPr>
        <w:pStyle w:val="AllowPageBreak"/>
      </w:pPr>
    </w:p>
    <w:p w:rsidR="00000000" w:rsidRPr="00A83D2E" w:rsidP="00A83D2E">
      <w:pPr>
        <w:pStyle w:val="Heading1"/>
      </w:pPr>
      <w:bookmarkStart w:id="3" w:name="O_397300"/>
      <w:bookmarkEnd w:id="3"/>
      <w:r w:rsidRPr="00A83D2E">
        <w:t>Application of the Unit</w:t>
      </w:r>
    </w:p>
    <w:p w:rsidR="00000000" w:rsidRPr="00A83D2E" w:rsidP="00A83D2E">
      <w:pPr>
        <w:pStyle w:val="BodyText"/>
      </w:pPr>
      <w:r w:rsidRPr="00A83D2E">
        <w:t>This unit applies</w:t>
      </w:r>
      <w:r w:rsidRPr="00A83D2E">
        <w:t xml:space="preserve"> to projects or tasks requiring advanced mathematics, either manually or through use of an appropriate software package. It is suitable for paraprofessionals and technologists required to solve advanced mathematical problems in an engineering or related fi</w:t>
      </w:r>
      <w:r w:rsidRPr="00A83D2E">
        <w:t xml:space="preserve">eld, or those pursuing technologist careers and qualifications. </w:t>
      </w:r>
    </w:p>
    <w:p w:rsidR="00000000" w:rsidRPr="00A83D2E" w:rsidP="00A83D2E">
      <w:pPr>
        <w:pStyle w:val="BodyText"/>
      </w:pPr>
    </w:p>
    <w:p w:rsidR="00000000" w:rsidRPr="00A83D2E" w:rsidP="00A83D2E">
      <w:pPr>
        <w:pStyle w:val="BodyText"/>
      </w:pPr>
      <w:r w:rsidRPr="00A83D2E">
        <w:t>Prior or concurrent experience in mathematics is required.</w:t>
      </w:r>
    </w:p>
    <w:p w:rsidR="00000000" w:rsidRPr="00A83D2E" w:rsidP="00A83D2E">
      <w:pPr>
        <w:pStyle w:val="AllowPageBreak"/>
      </w:pPr>
    </w:p>
    <w:p w:rsidR="00000000" w:rsidRPr="00A83D2E" w:rsidP="00A83D2E">
      <w:pPr>
        <w:pStyle w:val="Heading1"/>
      </w:pPr>
      <w:bookmarkStart w:id="4" w:name="O_397301"/>
      <w:bookmarkEnd w:id="4"/>
      <w:r w:rsidRPr="00A83D2E">
        <w:t>Licensing/Regulatory Information</w:t>
      </w:r>
    </w:p>
    <w:p w:rsidR="00000000" w:rsidRPr="00A83D2E" w:rsidP="00A83D2E">
      <w:pPr>
        <w:pStyle w:val="BodyText"/>
      </w:pPr>
      <w:r w:rsidRPr="00A83D2E">
        <w:t>Not applicable.</w:t>
      </w:r>
    </w:p>
    <w:p w:rsidR="00000000" w:rsidRPr="00A83D2E" w:rsidP="00A83D2E">
      <w:pPr>
        <w:pStyle w:val="AllowPageBreak"/>
      </w:pPr>
    </w:p>
    <w:p w:rsidR="00000000" w:rsidRPr="00A83D2E" w:rsidP="00A83D2E">
      <w:pPr>
        <w:pStyle w:val="Heading1"/>
      </w:pPr>
      <w:bookmarkStart w:id="5" w:name="O_397302"/>
      <w:bookmarkEnd w:id="5"/>
      <w:r w:rsidRPr="00A83D2E">
        <w:t>Pre-Requisites</w:t>
      </w:r>
    </w:p>
    <w:p w:rsidR="00000000" w:rsidRPr="00A83D2E" w:rsidP="00A83D2E">
      <w:pPr>
        <w:pStyle w:val="BodyText"/>
      </w:pPr>
      <w:r w:rsidRPr="00A83D2E">
        <w:t>Not applicable.</w:t>
      </w:r>
    </w:p>
    <w:p w:rsidR="00000000" w:rsidRPr="00A83D2E" w:rsidP="00A83D2E">
      <w:pPr>
        <w:pStyle w:val="AllowPageBreak"/>
      </w:pPr>
    </w:p>
    <w:p w:rsidR="00000000" w:rsidRPr="00A83D2E" w:rsidP="00A83D2E">
      <w:pPr>
        <w:pStyle w:val="Heading1"/>
      </w:pPr>
      <w:bookmarkStart w:id="6" w:name="O_397303"/>
      <w:bookmarkEnd w:id="6"/>
      <w:r w:rsidRPr="00A83D2E">
        <w:t>Employability Skills Information</w:t>
      </w:r>
    </w:p>
    <w:p w:rsidR="00000000" w:rsidRPr="00A83D2E" w:rsidP="00A83D2E">
      <w:pPr>
        <w:pStyle w:val="BodyText"/>
      </w:pPr>
      <w:r w:rsidRPr="00A83D2E">
        <w:t>This unit contains employability skills.</w:t>
      </w:r>
    </w:p>
    <w:p w:rsidR="00000000" w:rsidRPr="00A83D2E" w:rsidP="00A83D2E">
      <w:pPr>
        <w:pStyle w:val="AllowPageBreak"/>
      </w:pPr>
    </w:p>
    <w:p w:rsidR="00000000" w:rsidRPr="00A83D2E" w:rsidP="00A83D2E">
      <w:pPr>
        <w:pStyle w:val="Heading1"/>
      </w:pPr>
      <w:bookmarkStart w:id="7" w:name="O_397304"/>
      <w:bookmarkEnd w:id="7"/>
      <w:r w:rsidRPr="00A83D2E">
        <w:t>Elements and Performance Criteria Pre-Content</w:t>
      </w:r>
    </w:p>
    <w:tbl>
      <w:tblPr>
        <w:tblW w:w="0" w:type="auto"/>
        <w:tblLayout w:type="fixed"/>
        <w:tblCellMar>
          <w:left w:w="62" w:type="dxa"/>
          <w:right w:w="62" w:type="dxa"/>
        </w:tblCellMar>
        <w:tblLook w:val="0000"/>
      </w:tblPr>
      <w:tblGrid>
        <w:gridCol w:w="2640"/>
        <w:gridCol w:w="6380"/>
      </w:tblGrid>
      <w:tr w:rsidTr="00A83D2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83D2E" w:rsidP="00A83D2E">
            <w:pPr>
              <w:pStyle w:val="BodyText"/>
            </w:pPr>
            <w:r w:rsidRPr="00A83D2E">
              <w:t>Performance criteria describe the performance needed to demonstrate achievement of the element. Where bold italicised text is used, further information is detailed in the required skills and knowledge section and the range statement. Assessment of performa</w:t>
            </w:r>
            <w:r w:rsidRPr="00A83D2E">
              <w:t>nce is to be consistent with the evidence guide.</w:t>
            </w:r>
          </w:p>
        </w:tc>
      </w:tr>
    </w:tbl>
    <w:p w:rsidR="00000000" w:rsidRPr="00A83D2E" w:rsidP="00A83D2E">
      <w:pPr>
        <w:pStyle w:val="BodyText"/>
      </w:pPr>
    </w:p>
    <w:p w:rsidR="00000000" w:rsidRPr="00A83D2E" w:rsidP="00A83D2E">
      <w:pPr>
        <w:pStyle w:val="AllowPageBreak"/>
      </w:pPr>
    </w:p>
    <w:p w:rsidR="00000000" w:rsidRPr="00A83D2E" w:rsidP="00A83D2E">
      <w:pPr>
        <w:pStyle w:val="Heading1"/>
      </w:pPr>
      <w:bookmarkStart w:id="8" w:name="O_397305"/>
      <w:bookmarkEnd w:id="8"/>
      <w:r w:rsidRPr="00A83D2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8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1</w:t>
            </w:r>
          </w:p>
        </w:tc>
        <w:tc>
          <w:tcPr>
            <w:tcW w:w="1962" w:type="dxa"/>
            <w:vMerge w:val="restart"/>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Identify a need for the application of advanced mathematics</w:t>
            </w:r>
          </w:p>
        </w:tc>
        <w:tc>
          <w:tcPr>
            <w:tcW w:w="77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1.1</w:t>
            </w:r>
          </w:p>
        </w:tc>
        <w:tc>
          <w:tcPr>
            <w:tcW w:w="561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Identify a problem requiring application of mathematics</w:t>
            </w:r>
          </w:p>
        </w:tc>
      </w:tr>
      <w:tr w:rsidTr="00A8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1.2</w:t>
            </w:r>
          </w:p>
        </w:tc>
        <w:tc>
          <w:tcPr>
            <w:tcW w:w="561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Define the problem</w:t>
            </w:r>
          </w:p>
        </w:tc>
      </w:tr>
      <w:tr w:rsidTr="00A8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1.3</w:t>
            </w:r>
          </w:p>
        </w:tc>
        <w:tc>
          <w:tcPr>
            <w:tcW w:w="561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Determine data currently available for analysis</w:t>
            </w:r>
          </w:p>
        </w:tc>
      </w:tr>
      <w:tr w:rsidTr="00A8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1.4</w:t>
            </w:r>
          </w:p>
        </w:tc>
        <w:tc>
          <w:tcPr>
            <w:tcW w:w="561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Identify ways of obtaining other required data</w:t>
            </w:r>
          </w:p>
        </w:tc>
      </w:tr>
      <w:tr w:rsidTr="00A8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1.5</w:t>
            </w:r>
          </w:p>
        </w:tc>
        <w:tc>
          <w:tcPr>
            <w:tcW w:w="5610" w:type="dxa"/>
            <w:tcBorders>
              <w:top w:val="nil"/>
              <w:left w:val="nil"/>
              <w:bottom w:val="nil"/>
              <w:right w:val="nil"/>
            </w:tcBorders>
            <w:tcMar>
              <w:top w:w="0" w:type="dxa"/>
              <w:left w:w="62" w:type="dxa"/>
              <w:bottom w:w="0" w:type="dxa"/>
              <w:right w:w="62" w:type="dxa"/>
            </w:tcMar>
          </w:tcPr>
          <w:p w:rsidR="00000000" w:rsidRPr="00A83D2E" w:rsidP="00A83D2E">
            <w:pPr>
              <w:pStyle w:val="BodyText"/>
            </w:pPr>
            <w:r w:rsidRPr="00A83D2E">
              <w:t>Determine information required from outcome</w:t>
            </w:r>
          </w:p>
        </w:tc>
      </w:tr>
    </w:tbl>
    <w:p w:rsidR="00000000" w:rsidRPr="00A83D2E" w:rsidP="00A83D2E">
      <w:pPr>
        <w:pStyle w:val="BodyText"/>
      </w:pPr>
    </w:p>
    <w:tbl>
      <w:tblPr>
        <w:tblW w:w="0" w:type="auto"/>
        <w:tblLayout w:type="fixed"/>
        <w:tblCellMar>
          <w:left w:w="62" w:type="dxa"/>
          <w:right w:w="62" w:type="dxa"/>
        </w:tblCellMar>
        <w:tblLook w:val="0000"/>
      </w:tblPr>
      <w:tblGrid>
        <w:gridCol w:w="678"/>
        <w:gridCol w:w="1962"/>
        <w:gridCol w:w="770"/>
        <w:gridCol w:w="5610"/>
      </w:tblGrid>
      <w:tr w:rsidTr="00A8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2</w:t>
            </w:r>
          </w:p>
        </w:tc>
        <w:tc>
          <w:tcPr>
            <w:tcW w:w="1962" w:type="dxa"/>
            <w:vMerge w:val="restart"/>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Prepare to solve problem by advanced mathematics</w:t>
            </w:r>
          </w:p>
        </w:tc>
        <w:tc>
          <w:tcPr>
            <w:tcW w:w="77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2.1</w:t>
            </w:r>
          </w:p>
        </w:tc>
        <w:tc>
          <w:tcPr>
            <w:tcW w:w="561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Determine appropria</w:t>
            </w:r>
            <w:r w:rsidRPr="00A83D2E">
              <w:t>te mathematics to be applied</w:t>
            </w:r>
          </w:p>
        </w:tc>
      </w:tr>
      <w:tr w:rsidTr="00A8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2.2</w:t>
            </w:r>
          </w:p>
        </w:tc>
        <w:tc>
          <w:tcPr>
            <w:tcW w:w="561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Identify and gain access to appropriate computational devices</w:t>
            </w:r>
          </w:p>
        </w:tc>
      </w:tr>
      <w:tr w:rsidTr="00A8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2.3</w:t>
            </w:r>
          </w:p>
        </w:tc>
        <w:tc>
          <w:tcPr>
            <w:tcW w:w="561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Collect required input data</w:t>
            </w:r>
          </w:p>
        </w:tc>
      </w:tr>
      <w:tr w:rsidTr="00A8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2.4</w:t>
            </w:r>
          </w:p>
        </w:tc>
        <w:tc>
          <w:tcPr>
            <w:tcW w:w="561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Analyse collected data for suitability and completeness</w:t>
            </w:r>
          </w:p>
        </w:tc>
      </w:tr>
      <w:tr w:rsidTr="00A8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2.5</w:t>
            </w:r>
          </w:p>
        </w:tc>
        <w:tc>
          <w:tcPr>
            <w:tcW w:w="5610" w:type="dxa"/>
            <w:tcBorders>
              <w:top w:val="nil"/>
              <w:left w:val="nil"/>
              <w:bottom w:val="nil"/>
              <w:right w:val="nil"/>
            </w:tcBorders>
            <w:tcMar>
              <w:top w:w="0" w:type="dxa"/>
              <w:left w:w="62" w:type="dxa"/>
              <w:bottom w:w="0" w:type="dxa"/>
              <w:right w:w="62" w:type="dxa"/>
            </w:tcMar>
          </w:tcPr>
          <w:p w:rsidR="00000000" w:rsidRPr="00A83D2E" w:rsidP="00A83D2E">
            <w:pPr>
              <w:pStyle w:val="BodyText"/>
            </w:pPr>
            <w:r w:rsidRPr="00A83D2E">
              <w:t>Take appropriate action to address any deficiencies found</w:t>
            </w:r>
          </w:p>
        </w:tc>
      </w:tr>
    </w:tbl>
    <w:p w:rsidR="00000000" w:rsidRPr="00A83D2E" w:rsidP="00A83D2E">
      <w:pPr>
        <w:pStyle w:val="BodyText"/>
      </w:pPr>
    </w:p>
    <w:tbl>
      <w:tblPr>
        <w:tblW w:w="0" w:type="auto"/>
        <w:tblLayout w:type="fixed"/>
        <w:tblCellMar>
          <w:left w:w="62" w:type="dxa"/>
          <w:right w:w="62" w:type="dxa"/>
        </w:tblCellMar>
        <w:tblLook w:val="0000"/>
      </w:tblPr>
      <w:tblGrid>
        <w:gridCol w:w="678"/>
        <w:gridCol w:w="1962"/>
        <w:gridCol w:w="770"/>
        <w:gridCol w:w="5610"/>
      </w:tblGrid>
      <w:tr w:rsidTr="00A8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3</w:t>
            </w:r>
          </w:p>
        </w:tc>
        <w:tc>
          <w:tcPr>
            <w:tcW w:w="1962" w:type="dxa"/>
            <w:vMerge w:val="restart"/>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Solve problem using advanced mathematics</w:t>
            </w:r>
          </w:p>
        </w:tc>
        <w:tc>
          <w:tcPr>
            <w:tcW w:w="77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3.1</w:t>
            </w:r>
          </w:p>
        </w:tc>
        <w:tc>
          <w:tcPr>
            <w:tcW w:w="561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Apply appropriate techniques to collected data</w:t>
            </w:r>
          </w:p>
        </w:tc>
      </w:tr>
      <w:tr w:rsidTr="00A8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3.2</w:t>
            </w:r>
          </w:p>
        </w:tc>
        <w:tc>
          <w:tcPr>
            <w:tcW w:w="561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Check answer by appropriate means</w:t>
            </w:r>
          </w:p>
        </w:tc>
      </w:tr>
      <w:tr w:rsidTr="00A8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3.3</w:t>
            </w:r>
          </w:p>
        </w:tc>
        <w:tc>
          <w:tcPr>
            <w:tcW w:w="5610" w:type="dxa"/>
            <w:tcBorders>
              <w:top w:val="nil"/>
              <w:left w:val="nil"/>
              <w:bottom w:val="nil"/>
              <w:right w:val="nil"/>
            </w:tcBorders>
            <w:tcMar>
              <w:top w:w="0" w:type="dxa"/>
              <w:left w:w="62" w:type="dxa"/>
              <w:bottom w:w="0" w:type="dxa"/>
              <w:right w:w="62" w:type="dxa"/>
            </w:tcMar>
          </w:tcPr>
          <w:p w:rsidR="00000000" w:rsidRPr="00A83D2E" w:rsidP="00A83D2E">
            <w:pPr>
              <w:pStyle w:val="BodyText"/>
            </w:pPr>
            <w:r w:rsidRPr="00A83D2E">
              <w:t>Interpret answer to determine information required by problem definition</w:t>
            </w:r>
          </w:p>
        </w:tc>
      </w:tr>
    </w:tbl>
    <w:p w:rsidR="00000000" w:rsidRPr="00A83D2E" w:rsidP="00A83D2E">
      <w:pPr>
        <w:pStyle w:val="BodyText"/>
      </w:pPr>
    </w:p>
    <w:tbl>
      <w:tblPr>
        <w:tblW w:w="0" w:type="auto"/>
        <w:tblLayout w:type="fixed"/>
        <w:tblCellMar>
          <w:left w:w="62" w:type="dxa"/>
          <w:right w:w="62" w:type="dxa"/>
        </w:tblCellMar>
        <w:tblLook w:val="0000"/>
      </w:tblPr>
      <w:tblGrid>
        <w:gridCol w:w="678"/>
        <w:gridCol w:w="1962"/>
        <w:gridCol w:w="770"/>
        <w:gridCol w:w="5610"/>
      </w:tblGrid>
      <w:tr w:rsidTr="00A8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4</w:t>
            </w:r>
          </w:p>
        </w:tc>
        <w:tc>
          <w:tcPr>
            <w:tcW w:w="1962" w:type="dxa"/>
            <w:vMerge w:val="restart"/>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Communicate outcomes</w:t>
            </w:r>
          </w:p>
        </w:tc>
        <w:tc>
          <w:tcPr>
            <w:tcW w:w="77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4.1</w:t>
            </w:r>
          </w:p>
        </w:tc>
        <w:tc>
          <w:tcPr>
            <w:tcW w:w="561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Communicate outcome to relevant stakeholders by appropriate means</w:t>
            </w:r>
          </w:p>
        </w:tc>
      </w:tr>
      <w:tr w:rsidTr="00A8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4.2</w:t>
            </w:r>
          </w:p>
        </w:tc>
        <w:tc>
          <w:tcPr>
            <w:tcW w:w="561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Explain outcome to stakeholders as appropriate</w:t>
            </w:r>
          </w:p>
        </w:tc>
      </w:tr>
      <w:tr w:rsidTr="00A8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4.3</w:t>
            </w:r>
          </w:p>
        </w:tc>
        <w:tc>
          <w:tcPr>
            <w:tcW w:w="5610" w:type="dxa"/>
            <w:tcBorders>
              <w:top w:val="nil"/>
              <w:left w:val="nil"/>
              <w:bottom w:val="nil"/>
              <w:right w:val="nil"/>
            </w:tcBorders>
            <w:tcMar>
              <w:top w:w="0" w:type="dxa"/>
              <w:left w:w="62" w:type="dxa"/>
              <w:bottom w:w="0" w:type="dxa"/>
              <w:right w:w="62" w:type="dxa"/>
            </w:tcMar>
          </w:tcPr>
          <w:p w:rsidR="00000000" w:rsidRPr="00A83D2E" w:rsidP="00A83D2E">
            <w:pPr>
              <w:pStyle w:val="BodyText"/>
            </w:pPr>
            <w:r w:rsidRPr="00A83D2E">
              <w:t>Check outcome has addressed problem</w:t>
            </w:r>
          </w:p>
        </w:tc>
      </w:tr>
    </w:tbl>
    <w:p w:rsidR="00AB3CC2" w:rsidP="00A83D2E">
      <w:pPr>
        <w:pStyle w:val="BodyText"/>
      </w:pPr>
    </w:p>
    <w:p w:rsidR="00AB3CC2" w:rsidP="00A83D2E">
      <w:pPr>
        <w:pStyle w:val="BodyText"/>
      </w:pPr>
    </w:p>
    <w:p w:rsidR="00000000" w:rsidRPr="00A83D2E" w:rsidP="00A83D2E">
      <w:pPr>
        <w:pStyle w:val="Heading1"/>
      </w:pPr>
      <w:bookmarkStart w:id="9" w:name="O_397306"/>
      <w:bookmarkEnd w:id="9"/>
      <w:r w:rsidRPr="00A83D2E">
        <w:t>Required Skills and Knowledge</w:t>
      </w:r>
    </w:p>
    <w:tbl>
      <w:tblPr>
        <w:tblW w:w="9608" w:type="dxa"/>
        <w:tblLayout w:type="fixed"/>
        <w:tblCellMar>
          <w:left w:w="62" w:type="dxa"/>
          <w:right w:w="62" w:type="dxa"/>
        </w:tblCellMar>
        <w:tblLook w:val="0000"/>
      </w:tblPr>
      <w:tblGrid>
        <w:gridCol w:w="9608"/>
      </w:tblGrid>
      <w:tr w:rsidTr="00A83D2E">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t>This section describes the skills and knowledge required for this unit.</w:t>
            </w:r>
          </w:p>
        </w:tc>
      </w:tr>
      <w:tr w:rsidTr="00A83D2E">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rPr>
                <w:rStyle w:val="SpecialBold"/>
              </w:rPr>
              <w:t>Required skills</w:t>
            </w:r>
          </w:p>
        </w:tc>
      </w:tr>
      <w:tr w:rsidTr="00A83D2E">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A83D2E" w:rsidP="00A83D2E">
            <w:pPr>
              <w:pStyle w:val="BodyText"/>
            </w:pPr>
            <w:r w:rsidRPr="00A83D2E">
              <w:t>Required skills include:</w:t>
            </w:r>
          </w:p>
          <w:p w:rsidR="00000000" w:rsidRPr="00A83D2E" w:rsidP="00A83D2E">
            <w:pPr>
              <w:pStyle w:val="ListBullet"/>
            </w:pPr>
            <w:r w:rsidRPr="00A83D2E">
              <w:t>identifying and defining problems</w:t>
            </w:r>
          </w:p>
          <w:p w:rsidR="00000000" w:rsidRPr="00A83D2E" w:rsidP="00A83D2E">
            <w:pPr>
              <w:pStyle w:val="ListBullet"/>
            </w:pPr>
            <w:r w:rsidRPr="00A83D2E">
              <w:t>co</w:t>
            </w:r>
            <w:r w:rsidRPr="00A83D2E">
              <w:t>llecting and analysing data</w:t>
            </w:r>
          </w:p>
          <w:p w:rsidR="00000000" w:rsidRPr="00A83D2E" w:rsidP="00A83D2E">
            <w:pPr>
              <w:pStyle w:val="ListBullet"/>
            </w:pPr>
            <w:r w:rsidRPr="00A83D2E">
              <w:t>reporting and presenting data and quantitative information</w:t>
            </w:r>
          </w:p>
          <w:p w:rsidR="00000000" w:rsidP="00A83D2E">
            <w:pPr>
              <w:pStyle w:val="ListBullet"/>
              <w:rPr>
                <w:lang w:val="en-NZ"/>
              </w:rPr>
            </w:pPr>
            <w:r w:rsidRPr="00A83D2E">
              <w:t>communicating effectively with stakeholders on problem resolution</w:t>
            </w:r>
          </w:p>
        </w:tc>
      </w:tr>
      <w:tr w:rsidTr="00A83D2E">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p>
        </w:tc>
      </w:tr>
      <w:tr w:rsidTr="00A83D2E">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A83D2E">
            <w:pPr>
              <w:pStyle w:val="BodyText"/>
              <w:rPr>
                <w:lang w:val="en-NZ"/>
              </w:rPr>
            </w:pPr>
            <w:r w:rsidRPr="00A83D2E">
              <w:rPr>
                <w:rStyle w:val="SpecialBold"/>
              </w:rPr>
              <w:t>Required knowledge</w:t>
            </w:r>
          </w:p>
        </w:tc>
      </w:tr>
      <w:tr w:rsidTr="00A83D2E">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A83D2E" w:rsidP="00A83D2E">
            <w:pPr>
              <w:pStyle w:val="BodyText"/>
            </w:pPr>
            <w:r w:rsidRPr="00A83D2E">
              <w:t>Required knowledge includes:</w:t>
            </w:r>
          </w:p>
          <w:p w:rsidR="00000000" w:rsidRPr="00A83D2E" w:rsidP="00A83D2E">
            <w:pPr>
              <w:pStyle w:val="ListBullet"/>
            </w:pPr>
            <w:r w:rsidRPr="00A83D2E">
              <w:t>exponential, trigonometric and hyperbolic functions</w:t>
            </w:r>
          </w:p>
          <w:p w:rsidR="00000000" w:rsidRPr="00A83D2E" w:rsidP="00A83D2E">
            <w:pPr>
              <w:pStyle w:val="ListBullet2"/>
            </w:pPr>
            <w:r w:rsidRPr="00A83D2E">
              <w:t>revision - functionality and inverse functions</w:t>
            </w:r>
          </w:p>
          <w:p w:rsidR="00000000" w:rsidRPr="00A83D2E" w:rsidP="00A83D2E">
            <w:pPr>
              <w:pStyle w:val="ListBullet2"/>
            </w:pPr>
            <w:r w:rsidRPr="00A83D2E">
              <w:t>exponential and logarithmic functions;</w:t>
            </w:r>
          </w:p>
          <w:p w:rsidR="00000000" w:rsidRPr="00A83D2E" w:rsidP="00A83D2E">
            <w:pPr>
              <w:pStyle w:val="ListBullet2"/>
            </w:pPr>
            <w:r w:rsidRPr="00A83D2E">
              <w:t>trigonometric and inverse trigonometric functions</w:t>
            </w:r>
          </w:p>
          <w:p w:rsidR="00000000" w:rsidRPr="00A83D2E" w:rsidP="00A83D2E">
            <w:pPr>
              <w:pStyle w:val="ListBullet2"/>
            </w:pPr>
            <w:r w:rsidRPr="00A83D2E">
              <w:t>hyperbolic and inverse hyperbolic functions</w:t>
            </w:r>
          </w:p>
          <w:p w:rsidR="00000000" w:rsidRPr="00A83D2E" w:rsidP="00A83D2E">
            <w:pPr>
              <w:pStyle w:val="ListBullet"/>
            </w:pPr>
            <w:r w:rsidRPr="00A83D2E">
              <w:t>series:</w:t>
            </w:r>
          </w:p>
          <w:p w:rsidR="00000000" w:rsidRPr="00A83D2E" w:rsidP="00A83D2E">
            <w:pPr>
              <w:pStyle w:val="ListBullet2"/>
            </w:pPr>
            <w:r w:rsidRPr="00A83D2E">
              <w:t>revision of arithmetic and geometric progressions</w:t>
            </w:r>
          </w:p>
          <w:p w:rsidR="00000000" w:rsidRPr="00A83D2E" w:rsidP="00A83D2E">
            <w:pPr>
              <w:pStyle w:val="ListBullet2"/>
            </w:pPr>
            <w:r w:rsidRPr="00A83D2E">
              <w:t>limits</w:t>
            </w:r>
          </w:p>
          <w:p w:rsidR="00000000" w:rsidRPr="00A83D2E" w:rsidP="00A83D2E">
            <w:pPr>
              <w:pStyle w:val="ListBullet2"/>
            </w:pPr>
            <w:r w:rsidRPr="00A83D2E">
              <w:t>linear and quadratic approximations (Taylor polynomials)</w:t>
            </w:r>
          </w:p>
          <w:p w:rsidR="00000000" w:rsidRPr="00A83D2E" w:rsidP="00A83D2E">
            <w:pPr>
              <w:pStyle w:val="ListBullet2"/>
            </w:pPr>
            <w:r w:rsidRPr="00A83D2E">
              <w:t>partial sums</w:t>
            </w:r>
          </w:p>
          <w:p w:rsidR="00000000" w:rsidRPr="00A83D2E" w:rsidP="00A83D2E">
            <w:pPr>
              <w:pStyle w:val="ListBullet2"/>
            </w:pPr>
            <w:r w:rsidRPr="00A83D2E">
              <w:t>geometric series</w:t>
            </w:r>
          </w:p>
          <w:p w:rsidR="00000000" w:rsidRPr="00A83D2E" w:rsidP="00A83D2E">
            <w:pPr>
              <w:pStyle w:val="ListBullet2"/>
            </w:pPr>
            <w:r w:rsidRPr="00A83D2E">
              <w:t>power series</w:t>
            </w:r>
          </w:p>
          <w:p w:rsidR="00000000" w:rsidRPr="00A83D2E" w:rsidP="00A83D2E">
            <w:pPr>
              <w:pStyle w:val="ListBullet2"/>
            </w:pPr>
            <w:r w:rsidRPr="00A83D2E">
              <w:t>Maclaurin series</w:t>
            </w:r>
          </w:p>
          <w:p w:rsidR="00000000" w:rsidRPr="00A83D2E" w:rsidP="00A83D2E">
            <w:pPr>
              <w:pStyle w:val="ListBullet"/>
            </w:pPr>
            <w:r w:rsidRPr="00A83D2E">
              <w:t>vectors:</w:t>
            </w:r>
          </w:p>
          <w:p w:rsidR="00000000" w:rsidRPr="00A83D2E" w:rsidP="00A83D2E">
            <w:pPr>
              <w:pStyle w:val="ListBullet2"/>
            </w:pPr>
            <w:r w:rsidRPr="00A83D2E">
              <w:t>vectors in 3-dimensions</w:t>
            </w:r>
          </w:p>
          <w:p w:rsidR="00000000" w:rsidRPr="00A83D2E" w:rsidP="00A83D2E">
            <w:pPr>
              <w:pStyle w:val="ListBullet2"/>
            </w:pPr>
            <w:r w:rsidRPr="00A83D2E">
              <w:t>i  j  k  notation</w:t>
            </w:r>
          </w:p>
          <w:p w:rsidR="00000000" w:rsidRPr="00A83D2E" w:rsidP="00A83D2E">
            <w:pPr>
              <w:pStyle w:val="ListBullet2"/>
            </w:pPr>
            <w:r w:rsidRPr="00A83D2E">
              <w:t>magnitude (or modulus) of a v</w:t>
            </w:r>
            <w:r w:rsidRPr="00A83D2E">
              <w:t>ector</w:t>
            </w:r>
          </w:p>
          <w:p w:rsidR="00000000" w:rsidRPr="00A83D2E" w:rsidP="00A83D2E">
            <w:pPr>
              <w:pStyle w:val="ListBullet2"/>
            </w:pPr>
            <w:r w:rsidRPr="00A83D2E">
              <w:t>unit vectors and direction angles</w:t>
            </w:r>
          </w:p>
          <w:p w:rsidR="00000000" w:rsidRPr="00A83D2E" w:rsidP="00A83D2E">
            <w:pPr>
              <w:pStyle w:val="ListBullet2"/>
            </w:pPr>
            <w:r w:rsidRPr="00A83D2E">
              <w:t>scalar or ‘dot’ product of two vectors</w:t>
            </w:r>
          </w:p>
          <w:p w:rsidR="00000000" w:rsidRPr="00A83D2E" w:rsidP="00A83D2E">
            <w:pPr>
              <w:pStyle w:val="ListBullet2"/>
            </w:pPr>
            <w:r w:rsidRPr="00A83D2E">
              <w:t>vector or ‘cross’ product of two vectors</w:t>
            </w:r>
          </w:p>
          <w:p w:rsidR="00000000" w:rsidRPr="00A83D2E" w:rsidP="00A83D2E">
            <w:pPr>
              <w:pStyle w:val="ListBullet2"/>
            </w:pPr>
            <w:r w:rsidRPr="00A83D2E">
              <w:t>resolution of vectors</w:t>
            </w:r>
          </w:p>
          <w:p w:rsidR="00000000" w:rsidRPr="00A83D2E" w:rsidP="00A83D2E">
            <w:pPr>
              <w:pStyle w:val="ListBullet2"/>
            </w:pPr>
            <w:r w:rsidRPr="00A83D2E">
              <w:t>differentiation and integration of vectors</w:t>
            </w:r>
          </w:p>
          <w:p w:rsidR="00000000" w:rsidRPr="00A83D2E" w:rsidP="00A83D2E">
            <w:pPr>
              <w:pStyle w:val="ListBullet2"/>
            </w:pPr>
            <w:r w:rsidRPr="00A83D2E">
              <w:t>dynamics:</w:t>
            </w:r>
          </w:p>
          <w:p w:rsidR="00000000" w:rsidRPr="00A83D2E" w:rsidP="00A83D2E">
            <w:pPr>
              <w:pStyle w:val="ListBullet3"/>
            </w:pPr>
            <w:r w:rsidRPr="00A83D2E">
              <w:t>Newton's Laws of Motion</w:t>
            </w:r>
          </w:p>
          <w:p w:rsidR="00000000" w:rsidRPr="00A83D2E" w:rsidP="00A83D2E">
            <w:pPr>
              <w:pStyle w:val="ListBullet3"/>
            </w:pPr>
            <w:r w:rsidRPr="00A83D2E">
              <w:t>energy, work and power</w:t>
            </w:r>
          </w:p>
          <w:p w:rsidR="00000000" w:rsidRPr="00A83D2E" w:rsidP="00A83D2E">
            <w:pPr>
              <w:pStyle w:val="ListBullet3"/>
            </w:pPr>
            <w:r w:rsidRPr="00A83D2E">
              <w:t>the work-energy theorem</w:t>
            </w:r>
          </w:p>
          <w:p w:rsidR="00000000" w:rsidRPr="00A83D2E" w:rsidP="00A83D2E">
            <w:pPr>
              <w:pStyle w:val="ListBullet3"/>
            </w:pPr>
            <w:r w:rsidRPr="00A83D2E">
              <w:t>moment of a force</w:t>
            </w:r>
          </w:p>
          <w:p w:rsidR="00000000" w:rsidRPr="00A83D2E" w:rsidP="00A83D2E">
            <w:pPr>
              <w:pStyle w:val="ListBullet"/>
            </w:pPr>
            <w:r w:rsidRPr="00A83D2E">
              <w:t>analytical geometry:</w:t>
            </w:r>
          </w:p>
          <w:p w:rsidR="00000000" w:rsidRPr="00A83D2E" w:rsidP="00A83D2E">
            <w:pPr>
              <w:pStyle w:val="ListBullet2"/>
            </w:pPr>
            <w:r w:rsidRPr="00A83D2E">
              <w:t>equation of a plane</w:t>
            </w:r>
          </w:p>
          <w:p w:rsidR="00000000" w:rsidRPr="00A83D2E" w:rsidP="00A83D2E">
            <w:pPr>
              <w:pStyle w:val="ListBullet2"/>
            </w:pPr>
            <w:r w:rsidRPr="00A83D2E">
              <w:t>the angle between two planes</w:t>
            </w:r>
          </w:p>
          <w:p w:rsidR="00000000" w:rsidRPr="00A83D2E" w:rsidP="00A83D2E">
            <w:pPr>
              <w:pStyle w:val="ListBullet2"/>
            </w:pPr>
            <w:r w:rsidRPr="00A83D2E">
              <w:t>the distance from a point to a plane</w:t>
            </w:r>
          </w:p>
          <w:p w:rsidR="00000000" w:rsidRPr="00A83D2E" w:rsidP="00A83D2E">
            <w:pPr>
              <w:pStyle w:val="ListBullet2"/>
            </w:pPr>
            <w:r w:rsidRPr="00A83D2E">
              <w:t>lines in 3-dimensional space</w:t>
            </w:r>
          </w:p>
          <w:p w:rsidR="00000000" w:rsidRPr="00A83D2E" w:rsidP="00A83D2E">
            <w:pPr>
              <w:pStyle w:val="ListBullet"/>
            </w:pPr>
            <w:r w:rsidRPr="00A83D2E">
              <w:t>graphing techniques:</w:t>
            </w:r>
          </w:p>
          <w:p w:rsidR="00000000" w:rsidRPr="00A83D2E" w:rsidP="00A83D2E">
            <w:pPr>
              <w:pStyle w:val="ListBullet2"/>
            </w:pPr>
            <w:r w:rsidRPr="00A83D2E">
              <w:t>coordinate geometry</w:t>
            </w:r>
          </w:p>
          <w:p w:rsidR="00000000" w:rsidRPr="00A83D2E" w:rsidP="00A83D2E">
            <w:pPr>
              <w:pStyle w:val="ListBullet2"/>
            </w:pPr>
            <w:r w:rsidRPr="00A83D2E">
              <w:t>graphs of exponential growth and decay</w:t>
            </w:r>
          </w:p>
          <w:p w:rsidR="00000000" w:rsidRPr="00A83D2E" w:rsidP="00A83D2E">
            <w:pPr>
              <w:pStyle w:val="ListBullet2"/>
            </w:pPr>
            <w:r w:rsidRPr="00A83D2E">
              <w:t>graphs with logarithmic scales</w:t>
            </w:r>
          </w:p>
          <w:p w:rsidR="00000000" w:rsidRPr="00A83D2E" w:rsidP="00A83D2E">
            <w:pPr>
              <w:pStyle w:val="ListBullet2"/>
            </w:pPr>
            <w:r w:rsidRPr="00A83D2E">
              <w:t>method of least squares</w:t>
            </w:r>
          </w:p>
          <w:p w:rsidR="00000000" w:rsidRPr="00A83D2E" w:rsidP="00A83D2E">
            <w:pPr>
              <w:pStyle w:val="ListBullet2"/>
            </w:pPr>
            <w:r w:rsidRPr="00A83D2E">
              <w:t>polar coordinates and polar graphs</w:t>
            </w:r>
          </w:p>
          <w:p w:rsidR="00000000" w:rsidRPr="00A83D2E" w:rsidP="00A83D2E">
            <w:pPr>
              <w:pStyle w:val="ListBullet2"/>
            </w:pPr>
            <w:r w:rsidRPr="00A83D2E">
              <w:t>graphs of functions of two variables</w:t>
            </w:r>
          </w:p>
          <w:p w:rsidR="00000000" w:rsidRPr="00A83D2E" w:rsidP="00A83D2E">
            <w:pPr>
              <w:pStyle w:val="ListBullet2"/>
            </w:pPr>
            <w:r w:rsidRPr="00A83D2E">
              <w:t>quadric surfaces</w:t>
            </w:r>
          </w:p>
          <w:p w:rsidR="00000000" w:rsidRPr="00A83D2E" w:rsidP="00A83D2E">
            <w:pPr>
              <w:pStyle w:val="ListBullet"/>
            </w:pPr>
            <w:r w:rsidRPr="00A83D2E">
              <w:t>complex numbers:</w:t>
            </w:r>
          </w:p>
          <w:p w:rsidR="00000000" w:rsidRPr="00A83D2E" w:rsidP="00A83D2E">
            <w:pPr>
              <w:pStyle w:val="ListBullet2"/>
            </w:pPr>
            <w:r w:rsidRPr="00A83D2E">
              <w:t>introduction to complex numbers:</w:t>
            </w:r>
          </w:p>
          <w:p w:rsidR="00000000" w:rsidRPr="00A83D2E" w:rsidP="00A83D2E">
            <w:pPr>
              <w:pStyle w:val="ListBullet3"/>
            </w:pPr>
            <w:r w:rsidRPr="00A83D2E">
              <w:t>Cartesian form</w:t>
            </w:r>
          </w:p>
          <w:p w:rsidR="00000000" w:rsidRPr="00A83D2E" w:rsidP="00A83D2E">
            <w:pPr>
              <w:pStyle w:val="ListBullet3"/>
            </w:pPr>
            <w:r w:rsidRPr="00A83D2E">
              <w:t>the Argand plane</w:t>
            </w:r>
          </w:p>
          <w:p w:rsidR="00000000" w:rsidRPr="00A83D2E" w:rsidP="00A83D2E">
            <w:pPr>
              <w:pStyle w:val="ListBullet3"/>
            </w:pPr>
            <w:r w:rsidRPr="00A83D2E">
              <w:t>trigonometric and polar form</w:t>
            </w:r>
          </w:p>
          <w:p w:rsidR="00000000" w:rsidRPr="00A83D2E" w:rsidP="00A83D2E">
            <w:pPr>
              <w:pStyle w:val="ListBullet3"/>
            </w:pPr>
            <w:r w:rsidRPr="00A83D2E">
              <w:t>subsets of the complex plane</w:t>
            </w:r>
          </w:p>
          <w:p w:rsidR="00000000" w:rsidRPr="00A83D2E" w:rsidP="00A83D2E">
            <w:pPr>
              <w:pStyle w:val="ListBullet3"/>
            </w:pPr>
            <w:r w:rsidRPr="00A83D2E">
              <w:t>De Moivre's Theorem</w:t>
            </w:r>
          </w:p>
          <w:p w:rsidR="00000000" w:rsidRPr="00A83D2E" w:rsidP="00A83D2E">
            <w:pPr>
              <w:pStyle w:val="ListBullet2"/>
            </w:pPr>
            <w:r w:rsidRPr="00A83D2E">
              <w:t>exponential form of complex numbers</w:t>
            </w:r>
          </w:p>
          <w:p w:rsidR="00000000" w:rsidRPr="00A83D2E" w:rsidP="00A83D2E">
            <w:pPr>
              <w:pStyle w:val="ListBullet2"/>
            </w:pPr>
            <w:r w:rsidRPr="00A83D2E">
              <w:t>applications to mesh current network analysis</w:t>
            </w:r>
          </w:p>
          <w:p w:rsidR="00000000" w:rsidRPr="00A83D2E" w:rsidP="00A83D2E">
            <w:pPr>
              <w:pStyle w:val="ListBullet"/>
            </w:pPr>
            <w:r w:rsidRPr="00A83D2E">
              <w:t>linear algebra:</w:t>
            </w:r>
          </w:p>
          <w:p w:rsidR="00000000" w:rsidRPr="00A83D2E" w:rsidP="00A83D2E">
            <w:pPr>
              <w:pStyle w:val="ListBullet2"/>
            </w:pPr>
            <w:r w:rsidRPr="00A83D2E">
              <w:t>matrix algebra:</w:t>
            </w:r>
          </w:p>
          <w:p w:rsidR="00000000" w:rsidRPr="00A83D2E" w:rsidP="00A83D2E">
            <w:pPr>
              <w:pStyle w:val="ListBullet3"/>
            </w:pPr>
            <w:r w:rsidRPr="00A83D2E">
              <w:t>basic operations</w:t>
            </w:r>
          </w:p>
          <w:p w:rsidR="00000000" w:rsidRPr="00A83D2E" w:rsidP="00A83D2E">
            <w:pPr>
              <w:pStyle w:val="ListBullet3"/>
            </w:pPr>
            <w:r w:rsidRPr="00A83D2E">
              <w:t>applications</w:t>
            </w:r>
          </w:p>
          <w:p w:rsidR="00000000" w:rsidRPr="00A83D2E" w:rsidP="00A83D2E">
            <w:pPr>
              <w:pStyle w:val="ListBullet3"/>
            </w:pPr>
            <w:r w:rsidRPr="00A83D2E">
              <w:t>transformations</w:t>
            </w:r>
          </w:p>
          <w:p w:rsidR="00000000" w:rsidRPr="00A83D2E" w:rsidP="00A83D2E">
            <w:pPr>
              <w:pStyle w:val="ListBullet2"/>
            </w:pPr>
            <w:r w:rsidRPr="00A83D2E">
              <w:t>determinants</w:t>
            </w:r>
          </w:p>
          <w:p w:rsidR="00000000" w:rsidRPr="00A83D2E" w:rsidP="00A83D2E">
            <w:pPr>
              <w:pStyle w:val="ListBullet2"/>
            </w:pPr>
            <w:r w:rsidRPr="00A83D2E">
              <w:t>systems of equations I:</w:t>
            </w:r>
          </w:p>
          <w:p w:rsidR="00000000" w:rsidRPr="00A83D2E" w:rsidP="00A83D2E">
            <w:pPr>
              <w:pStyle w:val="ListBullet3"/>
            </w:pPr>
            <w:r w:rsidRPr="00A83D2E">
              <w:t>solutions and inverses</w:t>
            </w:r>
          </w:p>
          <w:p w:rsidR="00000000" w:rsidRPr="00A83D2E" w:rsidP="00A83D2E">
            <w:pPr>
              <w:pStyle w:val="ListBullet3"/>
            </w:pPr>
            <w:r w:rsidRPr="00A83D2E">
              <w:t>applications</w:t>
            </w:r>
          </w:p>
          <w:p w:rsidR="00000000" w:rsidRPr="00A83D2E" w:rsidP="00A83D2E">
            <w:pPr>
              <w:pStyle w:val="ListBullet2"/>
            </w:pPr>
            <w:r w:rsidRPr="00A83D2E">
              <w:t>systems of equations II  (numerical techniques)</w:t>
            </w:r>
          </w:p>
          <w:p w:rsidR="00000000" w:rsidRPr="00A83D2E" w:rsidP="00A83D2E">
            <w:pPr>
              <w:pStyle w:val="ListBullet2"/>
            </w:pPr>
            <w:r w:rsidRPr="00A83D2E">
              <w:t>systems of equations III (other systems)</w:t>
            </w:r>
          </w:p>
        </w:tc>
      </w:tr>
    </w:tbl>
    <w:p w:rsidR="00AB3CC2" w:rsidP="00A83D2E">
      <w:pPr>
        <w:pStyle w:val="BodyText"/>
      </w:pPr>
    </w:p>
    <w:p w:rsidR="00AB3CC2" w:rsidP="00A83D2E">
      <w:pPr>
        <w:pStyle w:val="BodyText"/>
      </w:pPr>
    </w:p>
    <w:p w:rsidR="00000000" w:rsidRPr="00A83D2E" w:rsidP="00A83D2E">
      <w:pPr>
        <w:pStyle w:val="Heading1"/>
      </w:pPr>
      <w:bookmarkStart w:id="10" w:name="O_397307"/>
      <w:bookmarkEnd w:id="10"/>
      <w:r w:rsidRPr="00A83D2E">
        <w:t>Evidence Guide</w:t>
      </w:r>
    </w:p>
    <w:tbl>
      <w:tblPr>
        <w:tblW w:w="9608" w:type="dxa"/>
        <w:tblLayout w:type="fixed"/>
        <w:tblCellMar>
          <w:left w:w="62" w:type="dxa"/>
          <w:right w:w="62" w:type="dxa"/>
        </w:tblCellMar>
        <w:tblLook w:val="0000"/>
      </w:tblPr>
      <w:tblGrid>
        <w:gridCol w:w="2832"/>
        <w:gridCol w:w="6776"/>
      </w:tblGrid>
      <w:tr w:rsidTr="00A83D2E">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83D2E">
            <w:pPr>
              <w:pStyle w:val="BodyText"/>
              <w:rPr>
                <w:lang w:val="en-NZ"/>
              </w:rPr>
            </w:pPr>
            <w:r w:rsidRPr="00A83D2E">
              <w:t>The evidence guide provides advice on assessment and must be read in conjunction with the performance criteria, required skills and knowledge, range statement and the Assessment Guidelines for the Training Package.</w:t>
            </w:r>
          </w:p>
        </w:tc>
      </w:tr>
      <w:tr w:rsidTr="00A83D2E">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t>Critical aspects for assessment and evi</w:t>
            </w:r>
            <w:r w:rsidRPr="00A83D2E">
              <w:t>dence required to demonstrate competency in this unit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E" w:rsidP="00A83D2E">
            <w:pPr>
              <w:pStyle w:val="BodyText"/>
            </w:pPr>
            <w:r w:rsidRPr="00A83D2E">
              <w:t>Assessors must be satisfied that the candidate can competently and consistently:</w:t>
            </w:r>
          </w:p>
          <w:p w:rsidR="00000000" w:rsidRPr="00A83D2E" w:rsidP="00A83D2E">
            <w:pPr>
              <w:pStyle w:val="ListBullet"/>
            </w:pPr>
            <w:r w:rsidRPr="00A83D2E">
              <w:t>identify appropriate mathematical techniques for engineering or related problems</w:t>
            </w:r>
          </w:p>
          <w:p w:rsidR="00000000" w:rsidRPr="00A83D2E" w:rsidP="00A83D2E">
            <w:pPr>
              <w:pStyle w:val="ListBullet"/>
            </w:pPr>
            <w:r w:rsidRPr="00A83D2E">
              <w:t>apply the appropriate technique to the problem</w:t>
            </w:r>
          </w:p>
          <w:p w:rsidR="00000000" w:rsidRPr="00A83D2E" w:rsidP="00A83D2E">
            <w:pPr>
              <w:pStyle w:val="ListBullet"/>
            </w:pPr>
            <w:r w:rsidRPr="00A83D2E">
              <w:t>check answer has addressed problem</w:t>
            </w:r>
          </w:p>
          <w:p w:rsidR="00000000" w:rsidP="00A83D2E">
            <w:pPr>
              <w:pStyle w:val="ListBullet"/>
              <w:rPr>
                <w:lang w:val="en-NZ"/>
              </w:rPr>
            </w:pPr>
            <w:r w:rsidRPr="00A83D2E">
              <w:t>communicate the outcome of the analysis in an appropriate way.</w:t>
            </w:r>
          </w:p>
        </w:tc>
      </w:tr>
      <w:tr w:rsidTr="00A83D2E">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t>Context of and specific resources for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E" w:rsidP="00A83D2E">
            <w:pPr>
              <w:pStyle w:val="ListBullet"/>
            </w:pPr>
            <w:r w:rsidRPr="00A83D2E">
              <w:t>This unit may be assessed on the job, off the job or a combi</w:t>
            </w:r>
            <w:r w:rsidRPr="00A83D2E">
              <w:t>nation of both on and off the job. Where assessment occurs off the job, that is, the candidate is not in productive work, then a simulated working environment must be used where the range of conditions reflects realistic workplace situations. The competenc</w:t>
            </w:r>
            <w:r w:rsidRPr="00A83D2E">
              <w:t xml:space="preserve">y covered by this unit would be demonstrated by an individual working alone or as part of a team. </w:t>
            </w:r>
          </w:p>
          <w:p w:rsidR="00000000" w:rsidRPr="00A83D2E" w:rsidP="00A83D2E">
            <w:pPr>
              <w:pStyle w:val="ListBullet"/>
            </w:pPr>
            <w:r w:rsidRPr="00A83D2E">
              <w:t>Where applicable, reasonable adjustment must be made to work environments and training situations to accommodate ethnicity, age, gender, demographics and dis</w:t>
            </w:r>
            <w:r w:rsidRPr="00A83D2E">
              <w:t>ability.</w:t>
            </w:r>
          </w:p>
          <w:p w:rsidR="00000000" w:rsidP="00A83D2E">
            <w:pPr>
              <w:pStyle w:val="ListBullet"/>
              <w:rPr>
                <w:lang w:val="en-NZ"/>
              </w:rPr>
            </w:pPr>
            <w:r w:rsidRPr="00A83D2E">
              <w:t>Access must be provided to appropriate learning and/or assessment support when required. Where applicable, physical resources should include equipment modified for people with disabilities.</w:t>
            </w:r>
          </w:p>
        </w:tc>
      </w:tr>
      <w:tr w:rsidTr="00A83D2E">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t>Method of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E" w:rsidP="00A83D2E">
            <w:pPr>
              <w:pStyle w:val="ListBullet"/>
            </w:pPr>
            <w:r w:rsidRPr="00A83D2E">
              <w:t>Assessment must satisfy the endors</w:t>
            </w:r>
            <w:r w:rsidRPr="00A83D2E">
              <w:t>ed Assessment Guidelines of the MEM05 Metal and Engineering Training Package.</w:t>
            </w:r>
          </w:p>
          <w:p w:rsidR="00000000" w:rsidRPr="00A83D2E" w:rsidP="00A83D2E">
            <w:pPr>
              <w:pStyle w:val="ListBullet"/>
            </w:pPr>
            <w:r w:rsidRPr="00A83D2E">
              <w:t>Assessment methods must confirm consistency and accuracy of performance (over time and in a range of workplace relevant contexts) together with application of underpinning knowle</w:t>
            </w:r>
            <w:r w:rsidRPr="00A83D2E">
              <w:t>dge.</w:t>
            </w:r>
          </w:p>
          <w:p w:rsidR="00000000" w:rsidRPr="00A83D2E" w:rsidP="00A83D2E">
            <w:pPr>
              <w:pStyle w:val="ListBullet"/>
            </w:pPr>
            <w:r w:rsidRPr="00A83D2E">
              <w:t>Assessment methods must be by direct observation of tasks and include questioning on underpinning knowledge to ensure its correct interpretation and application.</w:t>
            </w:r>
          </w:p>
          <w:p w:rsidR="00000000" w:rsidRPr="00A83D2E" w:rsidP="00A83D2E">
            <w:pPr>
              <w:pStyle w:val="ListBullet"/>
            </w:pPr>
            <w:r w:rsidRPr="00A83D2E">
              <w:t>Assessment may be applied under project-related conditions (real or simulated) and requir</w:t>
            </w:r>
            <w:r w:rsidRPr="00A83D2E">
              <w:t>e evidence of process.</w:t>
            </w:r>
          </w:p>
          <w:p w:rsidR="00000000" w:rsidRPr="00A83D2E" w:rsidP="00A83D2E">
            <w:pPr>
              <w:pStyle w:val="ListBullet"/>
            </w:pPr>
            <w:r w:rsidRPr="00A83D2E">
              <w:t>Assessment must confirm a reasonable inference that competency is able not only to be satisfied under the particular circumstance, but is able to be transferred to other circumstances.</w:t>
            </w:r>
          </w:p>
          <w:p w:rsidR="00000000" w:rsidP="00A83D2E">
            <w:pPr>
              <w:pStyle w:val="ListBullet"/>
              <w:rPr>
                <w:lang w:val="en-NZ"/>
              </w:rPr>
            </w:pPr>
            <w:r w:rsidRPr="00A83D2E">
              <w:t>Assessment may be in conjunction with assessment of other units of competency where required.</w:t>
            </w:r>
          </w:p>
        </w:tc>
      </w:tr>
      <w:tr w:rsidTr="00A83D2E">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t>Guidance information for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E" w:rsidP="00A83D2E">
            <w:pPr>
              <w:pStyle w:val="BodyText"/>
            </w:pPr>
            <w:r w:rsidRPr="00A83D2E">
              <w:t>Assessment processes and techniques must be culturally appropriate and appropriate to the language and literacy capacity of t</w:t>
            </w:r>
            <w:r w:rsidRPr="00A83D2E">
              <w:t>he candidate and the work being performed.</w:t>
            </w:r>
          </w:p>
        </w:tc>
      </w:tr>
    </w:tbl>
    <w:p w:rsidR="00AB3CC2" w:rsidP="00A83D2E">
      <w:pPr>
        <w:pStyle w:val="BodyText"/>
      </w:pPr>
    </w:p>
    <w:p w:rsidR="00AB3CC2" w:rsidP="00A83D2E">
      <w:pPr>
        <w:pStyle w:val="BodyText"/>
      </w:pPr>
    </w:p>
    <w:p w:rsidR="00000000" w:rsidRPr="00A83D2E" w:rsidP="00A83D2E">
      <w:pPr>
        <w:pStyle w:val="Heading1"/>
      </w:pPr>
      <w:bookmarkStart w:id="11" w:name="O_397308"/>
      <w:bookmarkEnd w:id="11"/>
      <w:r w:rsidRPr="00A83D2E">
        <w:t>Range Statement</w:t>
      </w:r>
    </w:p>
    <w:tbl>
      <w:tblPr>
        <w:tblW w:w="9608" w:type="dxa"/>
        <w:tblLayout w:type="fixed"/>
        <w:tblCellMar>
          <w:left w:w="62" w:type="dxa"/>
          <w:right w:w="62" w:type="dxa"/>
        </w:tblCellMar>
        <w:tblLook w:val="0000"/>
      </w:tblPr>
      <w:tblGrid>
        <w:gridCol w:w="2630"/>
        <w:gridCol w:w="6978"/>
      </w:tblGrid>
      <w:tr w:rsidTr="00A83D2E">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83D2E">
            <w:pPr>
              <w:pStyle w:val="BodyText"/>
              <w:rPr>
                <w:lang w:val="en-NZ"/>
              </w:rPr>
            </w:pPr>
            <w:r w:rsidRPr="00A83D2E">
              <w:t>The range statement relates to the unit of competency as a whole. It allows for different work environments and situations that may affect performance. Essential operating condi</w:t>
            </w:r>
            <w:r w:rsidRPr="00A83D2E">
              <w:t>tions that may be present with training and assessment (depending on the work situation, needs of the candidate, accessibility of the item, and local industry and regional contexts) may also be included.</w:t>
            </w:r>
          </w:p>
        </w:tc>
      </w:tr>
      <w:tr w:rsidTr="00A83D2E">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rPr>
                <w:rStyle w:val="SpecialBold"/>
              </w:rPr>
              <w:t>Data available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E" w:rsidP="00A83D2E">
            <w:pPr>
              <w:pStyle w:val="BodyText"/>
            </w:pPr>
            <w:r w:rsidRPr="00A83D2E">
              <w:t>Data currently available includes:</w:t>
            </w:r>
          </w:p>
          <w:p w:rsidR="00000000" w:rsidP="00A83D2E">
            <w:pPr>
              <w:pStyle w:val="ListBullet"/>
              <w:rPr>
                <w:lang w:val="en-NZ"/>
              </w:rPr>
            </w:pPr>
            <w:r w:rsidRPr="00A83D2E">
              <w:t>all relevant data which is currently available within the organisation or could be readily obtained</w:t>
            </w:r>
          </w:p>
        </w:tc>
      </w:tr>
      <w:tr w:rsidTr="00A83D2E">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rPr>
                <w:rStyle w:val="SpecialBold"/>
              </w:rPr>
              <w:t>Information required</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t>Information required is the outcome which needs to be produced in order to solve/assist in resolving the defined problem</w:t>
            </w:r>
          </w:p>
        </w:tc>
      </w:tr>
      <w:tr w:rsidTr="00A83D2E">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rPr>
                <w:rStyle w:val="SpecialBold"/>
              </w:rPr>
              <w:t>Mathematics</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E" w:rsidP="00A83D2E">
            <w:pPr>
              <w:pStyle w:val="BodyText"/>
            </w:pPr>
            <w:r w:rsidRPr="00A83D2E">
              <w:t xml:space="preserve">Mathematics may include: </w:t>
            </w:r>
          </w:p>
          <w:p w:rsidR="00000000" w:rsidRPr="00A83D2E" w:rsidP="00A83D2E">
            <w:pPr>
              <w:pStyle w:val="ListBullet"/>
            </w:pPr>
            <w:r w:rsidRPr="00A83D2E">
              <w:t>one or more or any of the techniques listed under ‘required knowledge’</w:t>
            </w:r>
          </w:p>
          <w:p w:rsidR="00000000" w:rsidP="00A83D2E">
            <w:pPr>
              <w:pStyle w:val="ListBullet"/>
              <w:rPr>
                <w:lang w:val="en-NZ"/>
              </w:rPr>
            </w:pPr>
            <w:r w:rsidRPr="00A83D2E">
              <w:t>a related technique</w:t>
            </w:r>
          </w:p>
        </w:tc>
      </w:tr>
      <w:tr w:rsidTr="00A83D2E">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rPr>
                <w:rStyle w:val="SpecialBold"/>
              </w:rPr>
              <w:t>Computational device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E" w:rsidP="00A83D2E">
            <w:pPr>
              <w:pStyle w:val="BodyText"/>
            </w:pPr>
            <w:r w:rsidRPr="00A83D2E">
              <w:t xml:space="preserve">Computational devices include: </w:t>
            </w:r>
          </w:p>
          <w:p w:rsidR="00000000" w:rsidRPr="00A83D2E" w:rsidP="00A83D2E">
            <w:pPr>
              <w:pStyle w:val="ListBullet"/>
            </w:pPr>
            <w:r w:rsidRPr="00A83D2E">
              <w:t xml:space="preserve">calculators with appropriate mathematical functions </w:t>
            </w:r>
          </w:p>
          <w:p w:rsidR="00000000" w:rsidP="00A83D2E">
            <w:pPr>
              <w:pStyle w:val="ListBullet"/>
              <w:rPr>
                <w:lang w:val="en-NZ"/>
              </w:rPr>
            </w:pPr>
            <w:r w:rsidRPr="00A83D2E">
              <w:t>computer software packages</w:t>
            </w:r>
          </w:p>
        </w:tc>
      </w:tr>
      <w:tr w:rsidTr="00A83D2E">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rPr>
                <w:rStyle w:val="SpecialBold"/>
              </w:rPr>
              <w:t>Appropriate action</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E" w:rsidP="00A83D2E">
            <w:pPr>
              <w:pStyle w:val="BodyText"/>
            </w:pPr>
            <w:r w:rsidRPr="00A83D2E">
              <w:t>Appropriate action may include:</w:t>
            </w:r>
          </w:p>
          <w:p w:rsidR="00000000" w:rsidRPr="00A83D2E" w:rsidP="00A83D2E">
            <w:pPr>
              <w:pStyle w:val="ListBullet"/>
            </w:pPr>
            <w:r w:rsidRPr="00A83D2E">
              <w:t>taking necessary steps to obtain required data</w:t>
            </w:r>
          </w:p>
          <w:p w:rsidR="00000000" w:rsidRPr="00A83D2E" w:rsidP="00A83D2E">
            <w:pPr>
              <w:pStyle w:val="ListBullet"/>
            </w:pPr>
            <w:r w:rsidRPr="00A83D2E">
              <w:t>obtaining some relevant proxy for the desired data</w:t>
            </w:r>
          </w:p>
          <w:p w:rsidR="00000000" w:rsidP="00A83D2E">
            <w:pPr>
              <w:pStyle w:val="ListBullet"/>
              <w:rPr>
                <w:lang w:val="en-NZ"/>
              </w:rPr>
            </w:pPr>
            <w:r w:rsidRPr="00A83D2E">
              <w:t>choosing a different mathematical/computational device which will function with available data</w:t>
            </w:r>
          </w:p>
        </w:tc>
      </w:tr>
      <w:tr w:rsidTr="00A83D2E">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rPr>
                <w:rStyle w:val="SpecialBold"/>
              </w:rPr>
              <w:t>Appropriate technique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E" w:rsidP="00A83D2E">
            <w:pPr>
              <w:pStyle w:val="BodyText"/>
            </w:pPr>
            <w:r w:rsidRPr="00A83D2E">
              <w:t>Appropriate technique includes:</w:t>
            </w:r>
          </w:p>
          <w:p w:rsidR="00000000" w:rsidRPr="00A83D2E" w:rsidP="00A83D2E">
            <w:pPr>
              <w:pStyle w:val="ListBullet"/>
            </w:pPr>
            <w:r w:rsidRPr="00A83D2E">
              <w:t>selected mathematical technique which will yield required outcome</w:t>
            </w:r>
          </w:p>
          <w:p w:rsidR="00000000" w:rsidP="00A83D2E">
            <w:pPr>
              <w:pStyle w:val="ListBullet"/>
              <w:rPr>
                <w:lang w:val="en-NZ"/>
              </w:rPr>
            </w:pPr>
            <w:r w:rsidRPr="00A83D2E">
              <w:t>a technique which is appropriate for the available data and which is relevant to the problem</w:t>
            </w:r>
          </w:p>
        </w:tc>
      </w:tr>
      <w:tr w:rsidTr="00A83D2E">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rPr>
                <w:rStyle w:val="SpecialBold"/>
              </w:rPr>
              <w:t>Check answer</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t>Checking answer means examin</w:t>
            </w:r>
            <w:r w:rsidRPr="00A83D2E">
              <w:t>ing the answer to ensure it is within the range of expected logical results</w:t>
            </w:r>
          </w:p>
        </w:tc>
      </w:tr>
      <w:tr w:rsidTr="00A83D2E">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rPr>
                <w:rStyle w:val="SpecialBold"/>
              </w:rPr>
              <w:t>Interpret answer</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t>Interpret answer means translating the result of the mathematical solution into a form which is useable by the relevant stakeholders</w:t>
            </w:r>
          </w:p>
        </w:tc>
      </w:tr>
      <w:tr w:rsidTr="00A83D2E">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rPr>
                <w:rStyle w:val="SpecialBold"/>
              </w:rPr>
              <w:t>Appropriate communication</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E" w:rsidP="00A83D2E">
            <w:pPr>
              <w:pStyle w:val="BodyText"/>
            </w:pPr>
            <w:r w:rsidRPr="00A83D2E">
              <w:t>Ap</w:t>
            </w:r>
            <w:r w:rsidRPr="00A83D2E">
              <w:t>propriate communication may include:</w:t>
            </w:r>
          </w:p>
          <w:p w:rsidR="00000000" w:rsidRPr="00A83D2E" w:rsidP="00A83D2E">
            <w:pPr>
              <w:pStyle w:val="ListBullet"/>
            </w:pPr>
            <w:r w:rsidRPr="00A83D2E">
              <w:t>report</w:t>
            </w:r>
          </w:p>
          <w:p w:rsidR="00000000" w:rsidRPr="00A83D2E" w:rsidP="00A83D2E">
            <w:pPr>
              <w:pStyle w:val="ListBullet"/>
            </w:pPr>
            <w:r w:rsidRPr="00A83D2E">
              <w:t>presentation</w:t>
            </w:r>
          </w:p>
          <w:p w:rsidR="00000000" w:rsidRPr="00A83D2E" w:rsidP="00A83D2E">
            <w:pPr>
              <w:pStyle w:val="ListBullet"/>
            </w:pPr>
            <w:r w:rsidRPr="00A83D2E">
              <w:t>verbal communication</w:t>
            </w:r>
          </w:p>
          <w:p w:rsidR="00000000" w:rsidRPr="00A83D2E" w:rsidP="00A83D2E">
            <w:pPr>
              <w:pStyle w:val="ListBullet"/>
            </w:pPr>
            <w:r w:rsidRPr="00A83D2E">
              <w:t>web-based</w:t>
            </w:r>
          </w:p>
          <w:p w:rsidR="00000000" w:rsidP="00A83D2E">
            <w:pPr>
              <w:pStyle w:val="ListBullet"/>
              <w:rPr>
                <w:lang w:val="en-NZ"/>
              </w:rPr>
            </w:pPr>
            <w:r w:rsidRPr="00A83D2E">
              <w:t>electronic or hard copy</w:t>
            </w:r>
          </w:p>
        </w:tc>
      </w:tr>
      <w:tr w:rsidTr="00A83D2E">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E">
            <w:pPr>
              <w:pStyle w:val="BodyText"/>
              <w:rPr>
                <w:lang w:val="en-NZ"/>
              </w:rPr>
            </w:pPr>
            <w:r w:rsidRPr="00A83D2E">
              <w:rPr>
                <w:rStyle w:val="SpecialBold"/>
              </w:rPr>
              <w:t>Check outcome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E" w:rsidP="00A83D2E">
            <w:pPr>
              <w:pStyle w:val="BodyText"/>
            </w:pPr>
            <w:r w:rsidRPr="00A83D2E">
              <w:t>Check outcome includes:</w:t>
            </w:r>
          </w:p>
          <w:p w:rsidR="00000000" w:rsidRPr="00A83D2E" w:rsidP="00A83D2E">
            <w:pPr>
              <w:pStyle w:val="ListBullet"/>
            </w:pPr>
            <w:r w:rsidRPr="00A83D2E">
              <w:t>ensuring that the result of the analysis does assist in the resolution of the problem</w:t>
            </w:r>
          </w:p>
        </w:tc>
      </w:tr>
    </w:tbl>
    <w:p w:rsidR="00AB3CC2" w:rsidP="00A83D2E">
      <w:pPr>
        <w:pStyle w:val="BodyText"/>
      </w:pPr>
    </w:p>
    <w:p w:rsidR="00AB3CC2" w:rsidP="00A83D2E">
      <w:pPr>
        <w:pStyle w:val="BodyText"/>
      </w:pPr>
    </w:p>
    <w:p w:rsidR="00000000" w:rsidRPr="00A83D2E" w:rsidP="00A83D2E">
      <w:pPr>
        <w:pStyle w:val="Heading1"/>
      </w:pPr>
      <w:bookmarkStart w:id="12" w:name="O_397309"/>
      <w:bookmarkEnd w:id="12"/>
      <w:r w:rsidRPr="00A83D2E">
        <w:t>Unit Sector(s)</w:t>
      </w:r>
    </w:p>
    <w:p w:rsidR="00000000" w:rsidRPr="00A83D2E" w:rsidP="00A83D2E">
      <w:pPr>
        <w:pStyle w:val="BodyText"/>
      </w:pPr>
      <w:r w:rsidRPr="00A83D2E">
        <w:t>Engineering practice</w:t>
      </w:r>
    </w:p>
    <w:p w:rsidR="00000000" w:rsidRPr="00A83D2E" w:rsidP="00A83D2E">
      <w:pPr>
        <w:pStyle w:val="AllowPageBreak"/>
      </w:pPr>
    </w:p>
    <w:p w:rsidR="00000000" w:rsidRPr="00A83D2E" w:rsidP="00A83D2E">
      <w:pPr>
        <w:pStyle w:val="Heading1"/>
      </w:pPr>
      <w:bookmarkStart w:id="13" w:name="O_397310"/>
      <w:bookmarkEnd w:id="13"/>
      <w:r w:rsidRPr="00A83D2E">
        <w:t>Custom Content Section</w:t>
      </w:r>
    </w:p>
    <w:p w:rsidR="00000000" w:rsidRPr="00A83D2E" w:rsidP="00A83D2E">
      <w:pPr>
        <w:pStyle w:val="BodyText"/>
      </w:pPr>
      <w:r w:rsidRPr="00A83D2E">
        <w:t>Not applicable.</w:t>
      </w:r>
    </w:p>
    <w:p w:rsidR="00000000" w:rsidRPr="00A83D2E" w:rsidP="00A83D2E"/>
    <w:sectPr w:rsidSect="00A83D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D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CC2" w:rsidP="00AB3C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D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CC2" w:rsidP="00A83D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3CC2" w:rsidP="00A83D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B3CC2" w:rsidP="00A83D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D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CC2" w:rsidP="00AB3C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D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CC2" w:rsidP="00A83D2E">
    <w:pPr>
      <w:pStyle w:val="Header"/>
      <w:framePr w:wrap="around"/>
    </w:pPr>
    <w:r>
      <w:fldChar w:fldCharType="begin"/>
    </w:r>
    <w:r>
      <w:instrText xml:space="preserve"> TITLE   \* MERGEFORMAT </w:instrText>
    </w:r>
    <w:r>
      <w:fldChar w:fldCharType="separate"/>
    </w:r>
    <w:r>
      <w:t>MEM234024A Apply advanced mathematics in 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3CC2" w:rsidP="00A83D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7EB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CEA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EA6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D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3D2E"/>
    <w:pPr>
      <w:spacing w:before="360" w:after="60"/>
      <w:outlineLvl w:val="0"/>
    </w:pPr>
    <w:rPr>
      <w:sz w:val="32"/>
    </w:rPr>
  </w:style>
  <w:style w:type="paragraph" w:styleId="Heading2">
    <w:name w:val="heading 2"/>
    <w:basedOn w:val="HeadingBase"/>
    <w:next w:val="BodyText"/>
    <w:link w:val="Heading2Char"/>
    <w:qFormat/>
    <w:rsid w:val="00A83D2E"/>
    <w:pPr>
      <w:keepLines/>
      <w:spacing w:before="240" w:after="120"/>
      <w:outlineLvl w:val="1"/>
    </w:pPr>
    <w:rPr>
      <w:sz w:val="28"/>
      <w:szCs w:val="40"/>
    </w:rPr>
  </w:style>
  <w:style w:type="paragraph" w:styleId="Heading3">
    <w:name w:val="heading 3"/>
    <w:basedOn w:val="HeadingBase"/>
    <w:next w:val="BodyText"/>
    <w:link w:val="Heading3Char"/>
    <w:qFormat/>
    <w:rsid w:val="00A83D2E"/>
    <w:pPr>
      <w:spacing w:before="180" w:after="120"/>
      <w:outlineLvl w:val="2"/>
    </w:pPr>
    <w:rPr>
      <w:spacing w:val="-10"/>
      <w:kern w:val="32"/>
    </w:rPr>
  </w:style>
  <w:style w:type="paragraph" w:styleId="Heading4">
    <w:name w:val="heading 4"/>
    <w:basedOn w:val="HeadingBase"/>
    <w:next w:val="BodyText"/>
    <w:link w:val="Heading4Char"/>
    <w:qFormat/>
    <w:rsid w:val="00A83D2E"/>
    <w:pPr>
      <w:spacing w:before="160" w:after="120"/>
      <w:outlineLvl w:val="3"/>
    </w:pPr>
    <w:rPr>
      <w:sz w:val="22"/>
    </w:rPr>
  </w:style>
  <w:style w:type="paragraph" w:styleId="Heading5">
    <w:name w:val="heading 5"/>
    <w:basedOn w:val="HeadingBase"/>
    <w:next w:val="Normal"/>
    <w:link w:val="Heading5Char"/>
    <w:qFormat/>
    <w:rsid w:val="00A83D2E"/>
    <w:pPr>
      <w:spacing w:before="80"/>
      <w:outlineLvl w:val="4"/>
    </w:pPr>
    <w:rPr>
      <w:color w:val="918585"/>
      <w:sz w:val="20"/>
    </w:rPr>
  </w:style>
  <w:style w:type="paragraph" w:styleId="Heading6">
    <w:name w:val="heading 6"/>
    <w:basedOn w:val="HeadingBase"/>
    <w:next w:val="Normal"/>
    <w:link w:val="Heading6Char"/>
    <w:qFormat/>
    <w:rsid w:val="00A83D2E"/>
    <w:pPr>
      <w:spacing w:before="60"/>
      <w:outlineLvl w:val="5"/>
    </w:pPr>
    <w:rPr>
      <w:color w:val="918585"/>
      <w:sz w:val="20"/>
    </w:rPr>
  </w:style>
  <w:style w:type="paragraph" w:styleId="Heading7">
    <w:name w:val="heading 7"/>
    <w:basedOn w:val="Normal"/>
    <w:next w:val="Normal"/>
    <w:link w:val="Heading7Char"/>
    <w:qFormat/>
    <w:rsid w:val="00A83D2E"/>
    <w:pPr>
      <w:ind w:left="720"/>
      <w:outlineLvl w:val="6"/>
    </w:pPr>
    <w:rPr>
      <w:i/>
    </w:rPr>
  </w:style>
  <w:style w:type="paragraph" w:styleId="Heading8">
    <w:name w:val="heading 8"/>
    <w:basedOn w:val="Normal"/>
    <w:next w:val="Normal"/>
    <w:link w:val="Heading8Char"/>
    <w:qFormat/>
    <w:rsid w:val="00A83D2E"/>
    <w:pPr>
      <w:ind w:left="720"/>
      <w:outlineLvl w:val="7"/>
    </w:pPr>
    <w:rPr>
      <w:i/>
    </w:rPr>
  </w:style>
  <w:style w:type="paragraph" w:styleId="Heading9">
    <w:name w:val="heading 9"/>
    <w:basedOn w:val="Normal"/>
    <w:next w:val="Normal"/>
    <w:link w:val="Heading9Char"/>
    <w:qFormat/>
    <w:rsid w:val="00A83D2E"/>
    <w:pPr>
      <w:ind w:left="720"/>
      <w:outlineLvl w:val="8"/>
    </w:pPr>
    <w:rPr>
      <w:i/>
    </w:rPr>
  </w:style>
  <w:style w:type="character" w:default="1" w:styleId="DefaultParagraphFont">
    <w:name w:val="Default Paragraph Font"/>
    <w:uiPriority w:val="1"/>
    <w:unhideWhenUsed/>
    <w:rsid w:val="00A83D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D2E"/>
  </w:style>
  <w:style w:type="character" w:customStyle="1" w:styleId="Heading1Char">
    <w:name w:val="Heading 1 Char"/>
    <w:basedOn w:val="DefaultParagraphFont"/>
    <w:link w:val="Heading1"/>
    <w:rsid w:val="00A83D2E"/>
    <w:rPr>
      <w:rFonts w:ascii="Times New Roman" w:eastAsia="Times New Roman" w:hAnsi="Times New Roman" w:cs="Times New Roman"/>
      <w:b/>
      <w:sz w:val="32"/>
      <w:szCs w:val="20"/>
      <w:lang w:eastAsia="en-US"/>
    </w:rPr>
  </w:style>
  <w:style w:type="paragraph" w:styleId="BodyText">
    <w:name w:val="Body Text"/>
    <w:basedOn w:val="Normal"/>
    <w:link w:val="BodyTextChar"/>
    <w:rsid w:val="00A83D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3D2E"/>
    <w:rPr>
      <w:rFonts w:ascii="Times New Roman" w:eastAsia="Times New Roman" w:hAnsi="Times New Roman" w:cs="Times New Roman"/>
      <w:sz w:val="24"/>
      <w:lang w:val="en-US" w:eastAsia="en-US"/>
    </w:rPr>
  </w:style>
  <w:style w:type="paragraph" w:styleId="Footer">
    <w:name w:val="footer"/>
    <w:basedOn w:val="Normal"/>
    <w:link w:val="FooterChar"/>
    <w:rsid w:val="00A83D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D2E"/>
    <w:rPr>
      <w:rFonts w:ascii="Times New Roman" w:eastAsia="Times New Roman" w:hAnsi="Times New Roman" w:cs="Times New Roman"/>
      <w:sz w:val="16"/>
      <w:lang w:val="en-US" w:eastAsia="en-US"/>
    </w:rPr>
  </w:style>
  <w:style w:type="paragraph" w:styleId="ListBullet">
    <w:name w:val="List Bullet"/>
    <w:basedOn w:val="List"/>
    <w:rsid w:val="00A83D2E"/>
    <w:pPr>
      <w:numPr>
        <w:numId w:val="14"/>
      </w:numPr>
      <w:tabs>
        <w:tab w:val="clear" w:pos="340"/>
      </w:tabs>
      <w:spacing w:before="40" w:after="40"/>
    </w:pPr>
  </w:style>
  <w:style w:type="character" w:customStyle="1" w:styleId="SpecialBold">
    <w:name w:val="Special Bold"/>
    <w:basedOn w:val="DefaultParagraphFont"/>
    <w:rsid w:val="00A83D2E"/>
    <w:rPr>
      <w:b/>
      <w:spacing w:val="0"/>
    </w:rPr>
  </w:style>
  <w:style w:type="paragraph" w:styleId="ListBullet2">
    <w:name w:val="List Bullet 2"/>
    <w:basedOn w:val="List2"/>
    <w:rsid w:val="00A83D2E"/>
    <w:pPr>
      <w:numPr>
        <w:numId w:val="15"/>
      </w:numPr>
      <w:tabs>
        <w:tab w:val="clear" w:pos="680"/>
      </w:tabs>
    </w:pPr>
  </w:style>
  <w:style w:type="paragraph" w:styleId="Header">
    <w:name w:val="header"/>
    <w:basedOn w:val="Normal"/>
    <w:link w:val="HeaderChar"/>
    <w:rsid w:val="00A83D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D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3D2E"/>
    <w:pPr>
      <w:spacing w:before="240" w:after="120"/>
      <w:outlineLvl w:val="0"/>
    </w:pPr>
    <w:rPr>
      <w:rFonts w:ascii="Times New Roman" w:hAnsi="Times New Roman"/>
      <w:b/>
      <w:sz w:val="28"/>
    </w:rPr>
  </w:style>
  <w:style w:type="paragraph" w:customStyle="1" w:styleId="AllowPageBreak">
    <w:name w:val="AllowPageBreak"/>
    <w:rsid w:val="00A83D2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3D2E"/>
    <w:pPr>
      <w:numPr>
        <w:numId w:val="3"/>
      </w:numPr>
      <w:tabs>
        <w:tab w:val="clear" w:pos="1021"/>
      </w:tabs>
      <w:ind w:left="1037" w:hanging="357"/>
    </w:pPr>
  </w:style>
  <w:style w:type="character" w:customStyle="1" w:styleId="Heading2Char">
    <w:name w:val="Heading 2 Char"/>
    <w:basedOn w:val="DefaultParagraphFont"/>
    <w:link w:val="Heading2"/>
    <w:rsid w:val="00A83D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D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D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D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D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D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3D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3D2E"/>
    <w:rPr>
      <w:rFonts w:ascii="Courier New" w:eastAsia="Times New Roman" w:hAnsi="Courier New" w:cs="Times New Roman"/>
      <w:i/>
      <w:szCs w:val="20"/>
      <w:lang w:val="en-US" w:eastAsia="en-US"/>
    </w:rPr>
  </w:style>
  <w:style w:type="paragraph" w:customStyle="1" w:styleId="HeadingBase">
    <w:name w:val="Heading Base"/>
    <w:rsid w:val="00A83D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D2E"/>
    <w:pPr>
      <w:tabs>
        <w:tab w:val="right" w:leader="dot" w:pos="9072"/>
      </w:tabs>
      <w:ind w:left="567"/>
    </w:pPr>
    <w:rPr>
      <w:szCs w:val="22"/>
    </w:rPr>
  </w:style>
  <w:style w:type="paragraph" w:customStyle="1" w:styleId="TOCBase">
    <w:name w:val="TOC Base"/>
    <w:rsid w:val="00A83D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D2E"/>
    <w:pPr>
      <w:tabs>
        <w:tab w:val="right" w:leader="dot" w:pos="9072"/>
      </w:tabs>
      <w:spacing w:before="40" w:after="40"/>
      <w:ind w:left="284"/>
    </w:pPr>
    <w:rPr>
      <w:rFonts w:ascii="Times New Roman" w:hAnsi="Times New Roman"/>
    </w:rPr>
  </w:style>
  <w:style w:type="paragraph" w:styleId="TOC1">
    <w:name w:val="toc 1"/>
    <w:basedOn w:val="TOCBase"/>
    <w:next w:val="Normal"/>
    <w:rsid w:val="00A83D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3D2E"/>
    <w:pPr>
      <w:spacing w:before="5040"/>
      <w:jc w:val="center"/>
    </w:pPr>
    <w:rPr>
      <w:sz w:val="48"/>
      <w:szCs w:val="72"/>
      <w:lang w:val="en-US"/>
    </w:rPr>
  </w:style>
  <w:style w:type="character" w:customStyle="1" w:styleId="TitleChar">
    <w:name w:val="Title Char"/>
    <w:basedOn w:val="DefaultParagraphFont"/>
    <w:link w:val="Title"/>
    <w:rsid w:val="00A83D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D2E"/>
    <w:pPr>
      <w:tabs>
        <w:tab w:val="left" w:pos="3600"/>
        <w:tab w:val="left" w:pos="3958"/>
      </w:tabs>
    </w:pPr>
  </w:style>
  <w:style w:type="paragraph" w:styleId="List">
    <w:name w:val="List"/>
    <w:basedOn w:val="BodyText"/>
    <w:next w:val="BodyText"/>
    <w:rsid w:val="00A83D2E"/>
    <w:pPr>
      <w:tabs>
        <w:tab w:val="left" w:pos="340"/>
      </w:tabs>
      <w:spacing w:before="60" w:after="60"/>
      <w:ind w:left="340" w:hanging="340"/>
    </w:pPr>
  </w:style>
  <w:style w:type="paragraph" w:customStyle="1" w:styleId="Note">
    <w:name w:val="Note"/>
    <w:basedOn w:val="BodyText"/>
    <w:rsid w:val="00A83D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D2E"/>
    <w:pPr>
      <w:framePr w:wrap="auto" w:hAnchor="text" w:y="6049"/>
    </w:pPr>
    <w:rPr>
      <w:color w:val="000000"/>
      <w:sz w:val="40"/>
    </w:rPr>
  </w:style>
  <w:style w:type="paragraph" w:customStyle="1" w:styleId="TOCTitle">
    <w:name w:val="TOCTitle"/>
    <w:basedOn w:val="Heading1"/>
    <w:rsid w:val="00A83D2E"/>
    <w:pPr>
      <w:spacing w:after="240"/>
      <w:jc w:val="center"/>
      <w:outlineLvl w:val="9"/>
    </w:pPr>
    <w:rPr>
      <w:caps/>
    </w:rPr>
  </w:style>
  <w:style w:type="paragraph" w:customStyle="1" w:styleId="Version">
    <w:name w:val="Version"/>
    <w:rsid w:val="00A83D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D2E"/>
    <w:pPr>
      <w:keepNext w:val="0"/>
      <w:tabs>
        <w:tab w:val="right" w:pos="4176"/>
      </w:tabs>
      <w:ind w:left="198" w:hanging="198"/>
    </w:pPr>
    <w:rPr>
      <w:rFonts w:ascii="Garamond" w:hAnsi="Garamond"/>
    </w:rPr>
  </w:style>
  <w:style w:type="paragraph" w:styleId="IndexHeading">
    <w:name w:val="index heading"/>
    <w:basedOn w:val="Normal"/>
    <w:next w:val="Index1"/>
    <w:semiHidden/>
    <w:rsid w:val="00A83D2E"/>
    <w:pPr>
      <w:spacing w:before="120" w:after="120"/>
    </w:pPr>
    <w:rPr>
      <w:rFonts w:ascii="Arial" w:hAnsi="Arial"/>
      <w:b/>
      <w:color w:val="918585"/>
      <w:sz w:val="24"/>
    </w:rPr>
  </w:style>
  <w:style w:type="paragraph" w:customStyle="1" w:styleId="Chapter">
    <w:name w:val="Chapter"/>
    <w:basedOn w:val="Normal"/>
    <w:rsid w:val="00A83D2E"/>
    <w:pPr>
      <w:spacing w:before="240"/>
    </w:pPr>
    <w:rPr>
      <w:rFonts w:ascii="Times New Roman" w:hAnsi="Times New Roman"/>
      <w:smallCaps/>
      <w:spacing w:val="80"/>
      <w:sz w:val="28"/>
    </w:rPr>
  </w:style>
  <w:style w:type="paragraph" w:customStyle="1" w:styleId="InChapter">
    <w:name w:val="InChapter"/>
    <w:basedOn w:val="Heading3"/>
    <w:rsid w:val="00A83D2E"/>
    <w:pPr>
      <w:spacing w:after="240"/>
      <w:outlineLvl w:val="9"/>
    </w:pPr>
    <w:rPr>
      <w:noProof/>
    </w:rPr>
  </w:style>
  <w:style w:type="paragraph" w:styleId="Index2">
    <w:name w:val="index 2"/>
    <w:basedOn w:val="Normal"/>
    <w:next w:val="Normal"/>
    <w:semiHidden/>
    <w:rsid w:val="00A83D2E"/>
    <w:pPr>
      <w:tabs>
        <w:tab w:val="right" w:pos="4176"/>
      </w:tabs>
      <w:ind w:left="568" w:hanging="284"/>
    </w:pPr>
    <w:rPr>
      <w:rFonts w:ascii="Garamond" w:hAnsi="Garamond"/>
    </w:rPr>
  </w:style>
  <w:style w:type="paragraph" w:customStyle="1" w:styleId="Byline">
    <w:name w:val="Byline"/>
    <w:rsid w:val="00A83D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D2E"/>
    <w:pPr>
      <w:tabs>
        <w:tab w:val="clear" w:pos="3600"/>
        <w:tab w:val="clear" w:pos="3958"/>
      </w:tabs>
      <w:jc w:val="right"/>
    </w:pPr>
  </w:style>
  <w:style w:type="character" w:styleId="Emphasis">
    <w:name w:val="Emphasis"/>
    <w:basedOn w:val="DefaultParagraphFont"/>
    <w:qFormat/>
    <w:rsid w:val="00A83D2E"/>
    <w:rPr>
      <w:i/>
    </w:rPr>
  </w:style>
  <w:style w:type="paragraph" w:styleId="Caption">
    <w:name w:val="caption"/>
    <w:basedOn w:val="BodyText"/>
    <w:next w:val="Normal"/>
    <w:qFormat/>
    <w:rsid w:val="00A83D2E"/>
    <w:pPr>
      <w:framePr w:w="2268" w:hSpace="181" w:vSpace="181" w:wrap="around" w:vAnchor="text" w:hAnchor="page" w:x="1135" w:y="285" w:anchorLock="1"/>
    </w:pPr>
    <w:rPr>
      <w:i/>
    </w:rPr>
  </w:style>
  <w:style w:type="paragraph" w:customStyle="1" w:styleId="MiniTOCTitle">
    <w:name w:val="MiniTOCTitle"/>
    <w:basedOn w:val="Heading4"/>
    <w:rsid w:val="00A83D2E"/>
    <w:pPr>
      <w:spacing w:before="240"/>
      <w:outlineLvl w:val="9"/>
    </w:pPr>
    <w:rPr>
      <w:noProof/>
      <w:sz w:val="24"/>
    </w:rPr>
  </w:style>
  <w:style w:type="paragraph" w:customStyle="1" w:styleId="MiniTOCItem">
    <w:name w:val="MiniTOCItem"/>
    <w:basedOn w:val="ListBullet"/>
    <w:rsid w:val="00A83D2E"/>
    <w:pPr>
      <w:numPr>
        <w:numId w:val="0"/>
      </w:numPr>
      <w:tabs>
        <w:tab w:val="right" w:leader="dot" w:pos="6521"/>
      </w:tabs>
      <w:spacing w:before="0" w:after="0"/>
    </w:pPr>
  </w:style>
  <w:style w:type="paragraph" w:customStyle="1" w:styleId="TOFTitle">
    <w:name w:val="TOFTitle"/>
    <w:basedOn w:val="TOCTitle"/>
    <w:rsid w:val="00A83D2E"/>
  </w:style>
  <w:style w:type="paragraph" w:styleId="TableofFigures">
    <w:name w:val="table of figures"/>
    <w:basedOn w:val="Normal"/>
    <w:next w:val="Normal"/>
    <w:semiHidden/>
    <w:rsid w:val="00A83D2E"/>
    <w:pPr>
      <w:tabs>
        <w:tab w:val="right" w:leader="dot" w:pos="9072"/>
      </w:tabs>
      <w:ind w:left="970" w:hanging="403"/>
    </w:pPr>
    <w:rPr>
      <w:rFonts w:ascii="Times New Roman" w:hAnsi="Times New Roman"/>
      <w:b/>
    </w:rPr>
  </w:style>
  <w:style w:type="paragraph" w:styleId="ListNumber">
    <w:name w:val="List Number"/>
    <w:basedOn w:val="List"/>
    <w:rsid w:val="00A83D2E"/>
    <w:pPr>
      <w:numPr>
        <w:numId w:val="12"/>
      </w:numPr>
    </w:pPr>
  </w:style>
  <w:style w:type="character" w:customStyle="1" w:styleId="WingdingSymbols">
    <w:name w:val="Wingding Symbols"/>
    <w:rsid w:val="00A83D2E"/>
    <w:rPr>
      <w:rFonts w:ascii="Wingdings" w:hAnsi="Wingdings"/>
    </w:rPr>
  </w:style>
  <w:style w:type="paragraph" w:customStyle="1" w:styleId="TableHeading">
    <w:name w:val="Table Heading"/>
    <w:basedOn w:val="HeadingBase"/>
    <w:rsid w:val="00A83D2E"/>
    <w:pPr>
      <w:keepLines/>
      <w:pBdr>
        <w:bottom w:val="single" w:sz="6" w:space="1" w:color="918585"/>
      </w:pBdr>
      <w:spacing w:before="240"/>
    </w:pPr>
  </w:style>
  <w:style w:type="character" w:customStyle="1" w:styleId="HotSpot">
    <w:name w:val="HotSpot"/>
    <w:rsid w:val="00A83D2E"/>
    <w:rPr>
      <w:color w:val="0033CC"/>
      <w:u w:val="none"/>
    </w:rPr>
  </w:style>
  <w:style w:type="paragraph" w:customStyle="1" w:styleId="BodyTextRight">
    <w:name w:val="Body Text Right"/>
    <w:basedOn w:val="BodyText"/>
    <w:rsid w:val="00A83D2E"/>
    <w:pPr>
      <w:spacing w:before="0" w:after="0"/>
      <w:jc w:val="right"/>
    </w:pPr>
  </w:style>
  <w:style w:type="paragraph" w:styleId="Index3">
    <w:name w:val="index 3"/>
    <w:basedOn w:val="ListNumber2"/>
    <w:next w:val="Normal"/>
    <w:semiHidden/>
    <w:rsid w:val="00A83D2E"/>
    <w:pPr>
      <w:numPr>
        <w:numId w:val="0"/>
      </w:numPr>
      <w:tabs>
        <w:tab w:val="right" w:leader="dot" w:pos="4176"/>
      </w:tabs>
    </w:pPr>
  </w:style>
  <w:style w:type="paragraph" w:styleId="ListNumber2">
    <w:name w:val="List Number 2"/>
    <w:basedOn w:val="List2"/>
    <w:rsid w:val="00A83D2E"/>
    <w:pPr>
      <w:numPr>
        <w:numId w:val="11"/>
      </w:numPr>
      <w:tabs>
        <w:tab w:val="clear" w:pos="1060"/>
      </w:tabs>
    </w:pPr>
  </w:style>
  <w:style w:type="paragraph" w:customStyle="1" w:styleId="MarginNote">
    <w:name w:val="Margin Note"/>
    <w:basedOn w:val="BodyText"/>
    <w:rsid w:val="00A83D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D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D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3D2E"/>
    <w:rPr>
      <w:sz w:val="32"/>
    </w:rPr>
  </w:style>
  <w:style w:type="paragraph" w:customStyle="1" w:styleId="HeadingProcedure">
    <w:name w:val="Heading Procedure"/>
    <w:basedOn w:val="HeadingBase"/>
    <w:next w:val="Normal"/>
    <w:rsid w:val="00A83D2E"/>
    <w:pPr>
      <w:tabs>
        <w:tab w:val="left" w:pos="0"/>
      </w:tabs>
      <w:spacing w:before="120" w:after="60"/>
    </w:pPr>
    <w:rPr>
      <w:i/>
      <w:color w:val="918585"/>
      <w:sz w:val="22"/>
    </w:rPr>
  </w:style>
  <w:style w:type="paragraph" w:customStyle="1" w:styleId="TableBodyText">
    <w:name w:val="Table Body Text"/>
    <w:basedOn w:val="BodyText"/>
    <w:rsid w:val="00A83D2E"/>
    <w:pPr>
      <w:spacing w:before="60" w:after="60"/>
    </w:pPr>
  </w:style>
  <w:style w:type="paragraph" w:styleId="ListContinue">
    <w:name w:val="List Continue"/>
    <w:basedOn w:val="List"/>
    <w:rsid w:val="00A83D2E"/>
    <w:pPr>
      <w:ind w:firstLine="0"/>
    </w:pPr>
  </w:style>
  <w:style w:type="paragraph" w:customStyle="1" w:styleId="ListNote">
    <w:name w:val="List Note"/>
    <w:basedOn w:val="List"/>
    <w:rsid w:val="00A83D2E"/>
    <w:pPr>
      <w:pBdr>
        <w:top w:val="single" w:sz="6" w:space="2" w:color="918585"/>
        <w:bottom w:val="single" w:sz="6" w:space="2" w:color="918585"/>
      </w:pBdr>
      <w:tabs>
        <w:tab w:val="left" w:pos="1021"/>
      </w:tabs>
      <w:ind w:firstLine="0"/>
    </w:pPr>
  </w:style>
  <w:style w:type="paragraph" w:customStyle="1" w:styleId="Warning">
    <w:name w:val="Warning"/>
    <w:basedOn w:val="BodyText"/>
    <w:rsid w:val="00A83D2E"/>
    <w:pPr>
      <w:shd w:val="clear" w:color="auto" w:fill="D9D9D9"/>
      <w:tabs>
        <w:tab w:val="left" w:pos="992"/>
      </w:tabs>
      <w:ind w:left="119" w:right="119"/>
    </w:pPr>
    <w:rPr>
      <w:sz w:val="20"/>
    </w:rPr>
  </w:style>
  <w:style w:type="paragraph" w:customStyle="1" w:styleId="MarginIcons">
    <w:name w:val="Margin Icons"/>
    <w:basedOn w:val="BodyText"/>
    <w:rsid w:val="00A83D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D2E"/>
    <w:rPr>
      <w:rFonts w:ascii="Courier New" w:hAnsi="Courier New"/>
    </w:rPr>
  </w:style>
  <w:style w:type="paragraph" w:customStyle="1" w:styleId="NoteBullet">
    <w:name w:val="Note Bullet"/>
    <w:basedOn w:val="Note"/>
    <w:rsid w:val="00A83D2E"/>
    <w:pPr>
      <w:tabs>
        <w:tab w:val="clear" w:pos="680"/>
      </w:tabs>
      <w:spacing w:before="60" w:after="60"/>
    </w:pPr>
  </w:style>
  <w:style w:type="paragraph" w:customStyle="1" w:styleId="SubHeading2">
    <w:name w:val="SubHeading2"/>
    <w:basedOn w:val="HeadingBase"/>
    <w:rsid w:val="00A83D2E"/>
    <w:pPr>
      <w:spacing w:before="240" w:after="60"/>
    </w:pPr>
    <w:rPr>
      <w:sz w:val="20"/>
    </w:rPr>
  </w:style>
  <w:style w:type="paragraph" w:customStyle="1" w:styleId="SubHeading1">
    <w:name w:val="SubHeading1"/>
    <w:basedOn w:val="HeadingBase"/>
    <w:rsid w:val="00A83D2E"/>
    <w:pPr>
      <w:spacing w:before="240" w:after="60"/>
    </w:pPr>
    <w:rPr>
      <w:color w:val="918585"/>
      <w:sz w:val="22"/>
    </w:rPr>
  </w:style>
  <w:style w:type="paragraph" w:customStyle="1" w:styleId="SideHeading">
    <w:name w:val="Side Heading"/>
    <w:basedOn w:val="HeadingBase"/>
    <w:rsid w:val="00A83D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D2E"/>
    <w:pPr>
      <w:numPr>
        <w:numId w:val="13"/>
      </w:numPr>
    </w:pPr>
  </w:style>
  <w:style w:type="paragraph" w:styleId="PlainText">
    <w:name w:val="Plain Text"/>
    <w:basedOn w:val="Normal"/>
    <w:link w:val="PlainTextChar"/>
    <w:rsid w:val="00A83D2E"/>
    <w:rPr>
      <w:sz w:val="20"/>
    </w:rPr>
  </w:style>
  <w:style w:type="character" w:customStyle="1" w:styleId="PlainTextChar">
    <w:name w:val="Plain Text Char"/>
    <w:basedOn w:val="DefaultParagraphFont"/>
    <w:link w:val="PlainText"/>
    <w:rsid w:val="00A83D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3D2E"/>
    <w:rPr>
      <w:b/>
      <w:smallCaps/>
    </w:rPr>
  </w:style>
  <w:style w:type="paragraph" w:customStyle="1" w:styleId="TableListNumber">
    <w:name w:val="Table List Number"/>
    <w:basedOn w:val="ListNumber"/>
    <w:rsid w:val="00A83D2E"/>
    <w:pPr>
      <w:numPr>
        <w:numId w:val="0"/>
      </w:numPr>
    </w:pPr>
  </w:style>
  <w:style w:type="paragraph" w:styleId="TOC4">
    <w:name w:val="toc 4"/>
    <w:basedOn w:val="TOCBase"/>
    <w:next w:val="Normal"/>
    <w:semiHidden/>
    <w:rsid w:val="00A83D2E"/>
    <w:pPr>
      <w:tabs>
        <w:tab w:val="right" w:leader="dot" w:pos="9071"/>
      </w:tabs>
      <w:ind w:left="1701"/>
    </w:pPr>
  </w:style>
  <w:style w:type="paragraph" w:customStyle="1" w:styleId="ListAlpha">
    <w:name w:val="List Alpha"/>
    <w:basedOn w:val="List"/>
    <w:rsid w:val="00A83D2E"/>
    <w:pPr>
      <w:numPr>
        <w:numId w:val="10"/>
      </w:numPr>
    </w:pPr>
  </w:style>
  <w:style w:type="paragraph" w:customStyle="1" w:styleId="ListAlpha2">
    <w:name w:val="List Alpha 2"/>
    <w:basedOn w:val="List2"/>
    <w:rsid w:val="00A83D2E"/>
    <w:pPr>
      <w:numPr>
        <w:numId w:val="9"/>
      </w:numPr>
    </w:pPr>
  </w:style>
  <w:style w:type="paragraph" w:styleId="List2">
    <w:name w:val="List 2"/>
    <w:basedOn w:val="BodyText"/>
    <w:rsid w:val="00A83D2E"/>
    <w:pPr>
      <w:tabs>
        <w:tab w:val="left" w:pos="680"/>
      </w:tabs>
      <w:spacing w:before="60" w:after="60"/>
      <w:ind w:left="680" w:hanging="340"/>
    </w:pPr>
  </w:style>
  <w:style w:type="paragraph" w:styleId="List3">
    <w:name w:val="List 3"/>
    <w:basedOn w:val="BodyText"/>
    <w:rsid w:val="00A83D2E"/>
    <w:pPr>
      <w:tabs>
        <w:tab w:val="left" w:pos="1021"/>
      </w:tabs>
      <w:spacing w:before="60" w:after="60"/>
      <w:ind w:left="1020" w:hanging="340"/>
    </w:pPr>
  </w:style>
  <w:style w:type="paragraph" w:styleId="List4">
    <w:name w:val="List 4"/>
    <w:basedOn w:val="BodyText"/>
    <w:rsid w:val="00A83D2E"/>
    <w:pPr>
      <w:tabs>
        <w:tab w:val="left" w:pos="1361"/>
      </w:tabs>
      <w:spacing w:before="60" w:after="60"/>
      <w:ind w:left="1361" w:hanging="340"/>
    </w:pPr>
  </w:style>
  <w:style w:type="paragraph" w:styleId="List5">
    <w:name w:val="List 5"/>
    <w:basedOn w:val="BodyText"/>
    <w:rsid w:val="00A83D2E"/>
    <w:pPr>
      <w:tabs>
        <w:tab w:val="left" w:pos="1701"/>
      </w:tabs>
      <w:spacing w:before="60" w:after="60"/>
      <w:ind w:left="1701" w:hanging="340"/>
    </w:pPr>
  </w:style>
  <w:style w:type="paragraph" w:styleId="ListBullet4">
    <w:name w:val="List Bullet 4"/>
    <w:basedOn w:val="List4"/>
    <w:rsid w:val="00A83D2E"/>
    <w:pPr>
      <w:numPr>
        <w:numId w:val="4"/>
      </w:numPr>
    </w:pPr>
  </w:style>
  <w:style w:type="paragraph" w:styleId="ListBullet5">
    <w:name w:val="List Bullet 5"/>
    <w:basedOn w:val="List5"/>
    <w:rsid w:val="00A83D2E"/>
    <w:pPr>
      <w:numPr>
        <w:numId w:val="5"/>
      </w:numPr>
    </w:pPr>
  </w:style>
  <w:style w:type="paragraph" w:styleId="ListContinue2">
    <w:name w:val="List Continue 2"/>
    <w:basedOn w:val="List2"/>
    <w:rsid w:val="00A83D2E"/>
    <w:pPr>
      <w:ind w:firstLine="0"/>
    </w:pPr>
  </w:style>
  <w:style w:type="paragraph" w:styleId="ListContinue3">
    <w:name w:val="List Continue 3"/>
    <w:basedOn w:val="List3"/>
    <w:rsid w:val="00A83D2E"/>
    <w:pPr>
      <w:ind w:left="1021" w:firstLine="0"/>
    </w:pPr>
  </w:style>
  <w:style w:type="paragraph" w:styleId="ListContinue4">
    <w:name w:val="List Continue 4"/>
    <w:basedOn w:val="List4"/>
    <w:rsid w:val="00A83D2E"/>
    <w:pPr>
      <w:ind w:firstLine="0"/>
    </w:pPr>
  </w:style>
  <w:style w:type="paragraph" w:styleId="ListContinue5">
    <w:name w:val="List Continue 5"/>
    <w:basedOn w:val="List5"/>
    <w:rsid w:val="00A83D2E"/>
    <w:pPr>
      <w:ind w:firstLine="0"/>
    </w:pPr>
  </w:style>
  <w:style w:type="paragraph" w:styleId="ListNumber3">
    <w:name w:val="List Number 3"/>
    <w:basedOn w:val="List3"/>
    <w:rsid w:val="00A83D2E"/>
    <w:pPr>
      <w:numPr>
        <w:numId w:val="6"/>
      </w:numPr>
    </w:pPr>
  </w:style>
  <w:style w:type="paragraph" w:styleId="ListNumber4">
    <w:name w:val="List Number 4"/>
    <w:basedOn w:val="List4"/>
    <w:rsid w:val="00A83D2E"/>
    <w:pPr>
      <w:numPr>
        <w:numId w:val="7"/>
      </w:numPr>
    </w:pPr>
  </w:style>
  <w:style w:type="paragraph" w:styleId="ListNumber5">
    <w:name w:val="List Number 5"/>
    <w:basedOn w:val="List5"/>
    <w:rsid w:val="00A83D2E"/>
    <w:pPr>
      <w:numPr>
        <w:numId w:val="8"/>
      </w:numPr>
    </w:pPr>
  </w:style>
  <w:style w:type="paragraph" w:styleId="BlockText">
    <w:name w:val="Block Text"/>
    <w:basedOn w:val="Normal"/>
    <w:rsid w:val="00A83D2E"/>
    <w:pPr>
      <w:spacing w:after="120"/>
      <w:ind w:left="1440" w:right="1440"/>
    </w:pPr>
  </w:style>
  <w:style w:type="character" w:customStyle="1" w:styleId="Subscript">
    <w:name w:val="Subscript"/>
    <w:basedOn w:val="DefaultParagraphFont"/>
    <w:rsid w:val="00A83D2E"/>
    <w:rPr>
      <w:sz w:val="16"/>
      <w:vertAlign w:val="subscript"/>
    </w:rPr>
  </w:style>
  <w:style w:type="character" w:customStyle="1" w:styleId="Superscript">
    <w:name w:val="Superscript"/>
    <w:basedOn w:val="DefaultParagraphFont"/>
    <w:rsid w:val="00A83D2E"/>
    <w:rPr>
      <w:sz w:val="16"/>
      <w:vertAlign w:val="superscript"/>
    </w:rPr>
  </w:style>
  <w:style w:type="character" w:customStyle="1" w:styleId="Symbols">
    <w:name w:val="Symbols"/>
    <w:basedOn w:val="DefaultParagraphFont"/>
    <w:rsid w:val="00A83D2E"/>
    <w:rPr>
      <w:rFonts w:ascii="Symbol" w:hAnsi="Symbol"/>
    </w:rPr>
  </w:style>
  <w:style w:type="character" w:customStyle="1" w:styleId="MenuOptions">
    <w:name w:val="Menu Options"/>
    <w:basedOn w:val="DefaultParagraphFont"/>
    <w:rsid w:val="00A83D2E"/>
    <w:rPr>
      <w:rFonts w:ascii="Arial Narrow" w:hAnsi="Arial Narrow"/>
      <w:smallCaps/>
    </w:rPr>
  </w:style>
  <w:style w:type="character" w:customStyle="1" w:styleId="Buttons">
    <w:name w:val="Buttons"/>
    <w:basedOn w:val="DefaultParagraphFont"/>
    <w:rsid w:val="00A83D2E"/>
    <w:rPr>
      <w:b/>
    </w:rPr>
  </w:style>
  <w:style w:type="character" w:customStyle="1" w:styleId="Underlined">
    <w:name w:val="Underlined"/>
    <w:basedOn w:val="DefaultParagraphFont"/>
    <w:rsid w:val="00A83D2E"/>
    <w:rPr>
      <w:u w:val="single"/>
    </w:rPr>
  </w:style>
  <w:style w:type="paragraph" w:customStyle="1" w:styleId="TableBodyTextRight">
    <w:name w:val="Table Body Text Right"/>
    <w:basedOn w:val="TableBodyText"/>
    <w:rsid w:val="00A83D2E"/>
    <w:pPr>
      <w:widowControl w:val="0"/>
      <w:autoSpaceDE w:val="0"/>
      <w:autoSpaceDN w:val="0"/>
      <w:adjustRightInd w:val="0"/>
      <w:jc w:val="right"/>
    </w:pPr>
    <w:rPr>
      <w:rFonts w:cs="Arial"/>
      <w:szCs w:val="18"/>
    </w:rPr>
  </w:style>
  <w:style w:type="paragraph" w:customStyle="1" w:styleId="CopyrightText">
    <w:name w:val="Copyright Text"/>
    <w:basedOn w:val="BodyText"/>
    <w:rsid w:val="00A83D2E"/>
    <w:rPr>
      <w:sz w:val="18"/>
    </w:rPr>
  </w:style>
  <w:style w:type="paragraph" w:customStyle="1" w:styleId="BodySmallRight">
    <w:name w:val="Body Small Right"/>
    <w:basedOn w:val="BodyTextRight"/>
    <w:rsid w:val="00A83D2E"/>
    <w:rPr>
      <w:sz w:val="18"/>
      <w:szCs w:val="18"/>
    </w:rPr>
  </w:style>
  <w:style w:type="paragraph" w:customStyle="1" w:styleId="MarginEdition">
    <w:name w:val="Margin Edition"/>
    <w:basedOn w:val="MarginNote"/>
    <w:rsid w:val="00A83D2E"/>
    <w:pPr>
      <w:spacing w:before="0" w:after="0"/>
    </w:pPr>
    <w:rPr>
      <w:rFonts w:ascii="Times New Roman" w:hAnsi="Times New Roman"/>
      <w:color w:val="999999"/>
    </w:rPr>
  </w:style>
  <w:style w:type="paragraph" w:customStyle="1" w:styleId="Spacer">
    <w:name w:val="Spacer"/>
    <w:basedOn w:val="Normal"/>
    <w:rsid w:val="00A83D2E"/>
    <w:rPr>
      <w:sz w:val="2"/>
      <w:szCs w:val="2"/>
    </w:rPr>
  </w:style>
  <w:style w:type="character" w:customStyle="1" w:styleId="Small">
    <w:name w:val="Small"/>
    <w:basedOn w:val="DefaultParagraphFont"/>
    <w:rsid w:val="00A83D2E"/>
    <w:rPr>
      <w:sz w:val="16"/>
    </w:rPr>
  </w:style>
  <w:style w:type="paragraph" w:customStyle="1" w:styleId="WideTable">
    <w:name w:val="Wide Table"/>
    <w:basedOn w:val="Normal"/>
    <w:rsid w:val="00A83D2E"/>
    <w:pPr>
      <w:ind w:left="-1418"/>
    </w:pPr>
    <w:rPr>
      <w:sz w:val="2"/>
      <w:szCs w:val="2"/>
    </w:rPr>
  </w:style>
  <w:style w:type="character" w:styleId="PageNumber">
    <w:name w:val="page number"/>
    <w:basedOn w:val="DefaultParagraphFont"/>
    <w:rsid w:val="00A83D2E"/>
  </w:style>
  <w:style w:type="paragraph" w:styleId="Quote">
    <w:name w:val="Quote"/>
    <w:basedOn w:val="Heading1"/>
    <w:link w:val="QuoteChar"/>
    <w:qFormat/>
    <w:rsid w:val="00A83D2E"/>
    <w:rPr>
      <w:b w:val="0"/>
      <w:sz w:val="72"/>
      <w:szCs w:val="72"/>
      <w:lang w:val="en-NZ"/>
    </w:rPr>
  </w:style>
  <w:style w:type="character" w:customStyle="1" w:styleId="QuoteChar">
    <w:name w:val="Quote Char"/>
    <w:basedOn w:val="DefaultParagraphFont"/>
    <w:link w:val="Quote"/>
    <w:rsid w:val="00A83D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D2E"/>
    <w:pPr>
      <w:pageBreakBefore/>
    </w:pPr>
  </w:style>
  <w:style w:type="paragraph" w:customStyle="1" w:styleId="Border">
    <w:name w:val="Border"/>
    <w:basedOn w:val="Normal"/>
    <w:qFormat/>
    <w:rsid w:val="00A83D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D2E"/>
    <w:rPr>
      <w:b/>
      <w:bCs/>
      <w:i/>
      <w:iCs/>
      <w:color w:val="auto"/>
    </w:rPr>
  </w:style>
  <w:style w:type="paragraph" w:styleId="IntenseQuote">
    <w:name w:val="Intense Quote"/>
    <w:basedOn w:val="Normal"/>
    <w:next w:val="Normal"/>
    <w:link w:val="IntenseQuoteChar"/>
    <w:uiPriority w:val="30"/>
    <w:qFormat/>
    <w:rsid w:val="00A83D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D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3D2E"/>
    <w:rPr>
      <w:smallCaps/>
      <w:color w:val="auto"/>
      <w:u w:val="single"/>
    </w:rPr>
  </w:style>
  <w:style w:type="character" w:styleId="IntenseReference">
    <w:name w:val="Intense Reference"/>
    <w:basedOn w:val="DefaultParagraphFont"/>
    <w:uiPriority w:val="32"/>
    <w:qFormat/>
    <w:rsid w:val="00A83D2E"/>
    <w:rPr>
      <w:b/>
      <w:bCs/>
      <w:smallCaps/>
      <w:color w:val="auto"/>
      <w:spacing w:val="5"/>
      <w:u w:val="single"/>
    </w:rPr>
  </w:style>
  <w:style w:type="paragraph" w:customStyle="1" w:styleId="2ColumnHeading">
    <w:name w:val="2Column Heading"/>
    <w:basedOn w:val="BodyText"/>
    <w:qFormat/>
    <w:rsid w:val="00A83D2E"/>
    <w:pPr>
      <w:spacing w:after="60"/>
      <w:ind w:left="-2268"/>
    </w:pPr>
    <w:rPr>
      <w:b/>
    </w:rPr>
  </w:style>
  <w:style w:type="paragraph" w:customStyle="1" w:styleId="Heading1TOC">
    <w:name w:val="Heading1 TOC"/>
    <w:basedOn w:val="Normal"/>
    <w:qFormat/>
    <w:rsid w:val="00A83D2E"/>
    <w:pPr>
      <w:spacing w:before="240" w:after="120"/>
    </w:pPr>
    <w:rPr>
      <w:rFonts w:ascii="Times New Roman" w:hAnsi="Times New Roman"/>
      <w:b/>
      <w:sz w:val="32"/>
    </w:rPr>
  </w:style>
  <w:style w:type="paragraph" w:customStyle="1" w:styleId="Heading2TOC">
    <w:name w:val="Heading2 TOC"/>
    <w:basedOn w:val="Normal"/>
    <w:qFormat/>
    <w:rsid w:val="00A83D2E"/>
    <w:pPr>
      <w:spacing w:before="240" w:after="60"/>
    </w:pPr>
    <w:rPr>
      <w:rFonts w:ascii="Times New Roman" w:hAnsi="Times New Roman"/>
      <w:b/>
      <w:sz w:val="28"/>
    </w:rPr>
  </w:style>
  <w:style w:type="character" w:customStyle="1" w:styleId="Underline">
    <w:name w:val="Underline"/>
    <w:basedOn w:val="DefaultParagraphFont"/>
    <w:qFormat/>
    <w:rsid w:val="00A83D2E"/>
    <w:rPr>
      <w:u w:val="single"/>
    </w:rPr>
  </w:style>
  <w:style w:type="character" w:customStyle="1" w:styleId="BoldandItalics">
    <w:name w:val="Bold and Italics"/>
    <w:qFormat/>
    <w:rsid w:val="00A83D2E"/>
    <w:rPr>
      <w:b/>
      <w:i/>
      <w:u w:val="none"/>
    </w:rPr>
  </w:style>
  <w:style w:type="paragraph" w:styleId="BalloonText">
    <w:name w:val="Balloon Text"/>
    <w:basedOn w:val="Normal"/>
    <w:link w:val="BalloonTextChar"/>
    <w:rsid w:val="00A83D2E"/>
    <w:rPr>
      <w:rFonts w:ascii="Tahoma" w:hAnsi="Tahoma" w:cs="Tahoma"/>
      <w:sz w:val="16"/>
      <w:szCs w:val="16"/>
    </w:rPr>
  </w:style>
  <w:style w:type="character" w:customStyle="1" w:styleId="BalloonTextChar">
    <w:name w:val="Balloon Text Char"/>
    <w:basedOn w:val="DefaultParagraphFont"/>
    <w:link w:val="BalloonText"/>
    <w:rsid w:val="00A83D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3D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3D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1256</Words>
  <Characters>7878</Characters>
  <Application>Microsoft Office Word</Application>
  <DocSecurity>0</DocSecurity>
  <Lines>309</Lines>
  <Paragraphs>193</Paragraphs>
  <ScaleCrop>false</ScaleCrop>
  <Company>Author-it Software Corporation Ltd.</Company>
  <LinksUpToDate>false</LinksUpToDate>
  <CharactersWithSpaces>9042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MEM234024A Apply advanced mathematics in technology problems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2012-05-26T18:20:00Z</dcterms:created>
  <dcterms:modified xsi:type="dcterms:W3CDTF">2012-05-26T18:20:00Z</dcterms:modified>
</cp:coreProperties>
</file>