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31C6" w:rsidP="00CA31C6">
      <w:pPr>
        <w:pStyle w:val="Title"/>
      </w:pPr>
      <w:r>
        <w:fldChar w:fldCharType="begin"/>
      </w:r>
      <w:r>
        <w:instrText xml:space="preserve"> TITLE   \* MERGEFORMAT </w:instrText>
      </w:r>
      <w:r>
        <w:fldChar w:fldCharType="separate"/>
      </w:r>
      <w:r>
        <w:t>MEM234023A Apply differential equations to technology problems</w:t>
      </w:r>
      <w:r>
        <w:fldChar w:fldCharType="end"/>
      </w:r>
    </w:p>
    <w:p w:rsidR="00CA31C6" w:rsidP="00CA31C6">
      <w:pPr>
        <w:pStyle w:val="Version"/>
        <w:sectPr w:rsidSect="002C1CA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1CA0" w:rsidP="002C1CA0">
      <w:pPr>
        <w:pStyle w:val="SuperHeading"/>
      </w:pPr>
      <w:r w:rsidRPr="002C1CA0">
        <w:t>MEM234023A Apply differential equations to technology problems</w:t>
      </w:r>
    </w:p>
    <w:p w:rsidR="00000000" w:rsidRPr="002C1CA0" w:rsidP="002C1CA0">
      <w:pPr>
        <w:pStyle w:val="Heading1"/>
      </w:pPr>
      <w:bookmarkStart w:id="1" w:name="O_397278"/>
      <w:bookmarkEnd w:id="1"/>
      <w:r w:rsidRPr="002C1CA0">
        <w:t>Modification History</w:t>
      </w:r>
    </w:p>
    <w:p w:rsidR="00000000" w:rsidRPr="002C1CA0" w:rsidP="002C1CA0">
      <w:pPr>
        <w:pStyle w:val="BodyText"/>
      </w:pPr>
      <w:r w:rsidRPr="002C1CA0">
        <w:t>New unit</w:t>
      </w:r>
    </w:p>
    <w:p w:rsidR="00000000" w:rsidRPr="002C1CA0" w:rsidP="002C1CA0">
      <w:pPr>
        <w:pStyle w:val="AllowPageBreak"/>
      </w:pPr>
    </w:p>
    <w:p w:rsidR="00000000" w:rsidRPr="002C1CA0" w:rsidP="002C1CA0">
      <w:pPr>
        <w:pStyle w:val="Heading1"/>
      </w:pPr>
      <w:bookmarkStart w:id="2" w:name="O_397279"/>
      <w:bookmarkEnd w:id="2"/>
      <w:r w:rsidRPr="002C1CA0">
        <w:t>Unit Descriptor</w:t>
      </w:r>
    </w:p>
    <w:p w:rsidR="00000000" w:rsidRPr="002C1CA0" w:rsidP="002C1CA0">
      <w:pPr>
        <w:pStyle w:val="BodyText"/>
      </w:pPr>
      <w:r w:rsidRPr="002C1CA0">
        <w:t>This unit of competency covers the application of differential equations in an engineering or rela</w:t>
      </w:r>
      <w:r w:rsidRPr="002C1CA0">
        <w:t>ted application. It includes first and second order differential equations (DE’s) and covers both the application of theory in simple calculations and the use of relevant software packages for more complex situations.</w:t>
      </w:r>
    </w:p>
    <w:p w:rsidR="00000000" w:rsidRPr="002C1CA0" w:rsidP="002C1CA0">
      <w:pPr>
        <w:pStyle w:val="AllowPageBreak"/>
      </w:pPr>
    </w:p>
    <w:p w:rsidR="00000000" w:rsidRPr="002C1CA0" w:rsidP="002C1CA0">
      <w:pPr>
        <w:pStyle w:val="Heading1"/>
      </w:pPr>
      <w:bookmarkStart w:id="3" w:name="O_397280"/>
      <w:bookmarkEnd w:id="3"/>
      <w:r w:rsidRPr="002C1CA0">
        <w:t>Application of the Un</w:t>
      </w:r>
      <w:r w:rsidRPr="002C1CA0">
        <w:t>it</w:t>
      </w:r>
    </w:p>
    <w:p w:rsidR="00000000" w:rsidRPr="002C1CA0" w:rsidP="002C1CA0">
      <w:pPr>
        <w:pStyle w:val="BodyText"/>
      </w:pPr>
      <w:r w:rsidRPr="002C1CA0">
        <w:t>This unit applies to projects or tasks requiring solving DE’s, either manually or through use of an appropriate software package. It is suitable for paraprofessionals and technologists required to solve advanced mathematical problems in an engineering o</w:t>
      </w:r>
      <w:r w:rsidRPr="002C1CA0">
        <w:t xml:space="preserve">r related field, or those pursuing technologist careers and qualifications.  </w:t>
      </w:r>
    </w:p>
    <w:p w:rsidR="00000000" w:rsidRPr="002C1CA0" w:rsidP="002C1CA0">
      <w:pPr>
        <w:pStyle w:val="BodyText"/>
      </w:pPr>
    </w:p>
    <w:p w:rsidR="00000000" w:rsidRPr="002C1CA0" w:rsidP="002C1CA0">
      <w:pPr>
        <w:pStyle w:val="BodyText"/>
      </w:pPr>
      <w:r w:rsidRPr="002C1CA0">
        <w:t>Prior or concurrent experience in mathematics covering calculus and differentials is required.</w:t>
      </w:r>
    </w:p>
    <w:p w:rsidR="00000000" w:rsidRPr="002C1CA0" w:rsidP="002C1CA0">
      <w:pPr>
        <w:pStyle w:val="AllowPageBreak"/>
      </w:pPr>
    </w:p>
    <w:p w:rsidR="00000000" w:rsidRPr="002C1CA0" w:rsidP="002C1CA0">
      <w:pPr>
        <w:pStyle w:val="Heading1"/>
      </w:pPr>
      <w:bookmarkStart w:id="4" w:name="O_397281"/>
      <w:bookmarkEnd w:id="4"/>
      <w:r w:rsidRPr="002C1CA0">
        <w:t>Licensing/Regulatory Information</w:t>
      </w:r>
    </w:p>
    <w:p w:rsidR="00000000" w:rsidRPr="002C1CA0" w:rsidP="002C1CA0">
      <w:pPr>
        <w:pStyle w:val="BodyText"/>
      </w:pPr>
      <w:r w:rsidRPr="002C1CA0">
        <w:t>Not applicable.</w:t>
      </w:r>
    </w:p>
    <w:p w:rsidR="00000000" w:rsidRPr="002C1CA0" w:rsidP="002C1CA0">
      <w:pPr>
        <w:pStyle w:val="AllowPageBreak"/>
      </w:pPr>
    </w:p>
    <w:p w:rsidR="00000000" w:rsidRPr="002C1CA0" w:rsidP="002C1CA0">
      <w:pPr>
        <w:pStyle w:val="Heading1"/>
      </w:pPr>
      <w:bookmarkStart w:id="5" w:name="O_397282"/>
      <w:bookmarkEnd w:id="5"/>
      <w:r w:rsidRPr="002C1CA0">
        <w:t>Pre-Requisites</w:t>
      </w:r>
    </w:p>
    <w:p w:rsidR="00000000" w:rsidRPr="002C1CA0" w:rsidP="002C1CA0">
      <w:pPr>
        <w:pStyle w:val="BodyText"/>
      </w:pPr>
      <w:r w:rsidRPr="002C1CA0">
        <w:t>Not applicable.</w:t>
      </w:r>
    </w:p>
    <w:p w:rsidR="00000000" w:rsidRPr="002C1CA0" w:rsidP="002C1CA0">
      <w:pPr>
        <w:pStyle w:val="AllowPageBreak"/>
      </w:pPr>
    </w:p>
    <w:p w:rsidR="00000000" w:rsidRPr="002C1CA0" w:rsidP="002C1CA0">
      <w:pPr>
        <w:pStyle w:val="Heading1"/>
      </w:pPr>
      <w:bookmarkStart w:id="6" w:name="O_397283"/>
      <w:bookmarkEnd w:id="6"/>
      <w:r w:rsidRPr="002C1CA0">
        <w:t>Employability Skills Information</w:t>
      </w:r>
    </w:p>
    <w:p w:rsidR="00000000" w:rsidRPr="002C1CA0" w:rsidP="002C1CA0">
      <w:pPr>
        <w:pStyle w:val="BodyText"/>
      </w:pPr>
      <w:r w:rsidRPr="002C1CA0">
        <w:t>This unit contains employability skills.</w:t>
      </w:r>
    </w:p>
    <w:p w:rsidR="00000000" w:rsidRPr="002C1CA0" w:rsidP="002C1CA0">
      <w:pPr>
        <w:pStyle w:val="AllowPageBreak"/>
      </w:pPr>
    </w:p>
    <w:p w:rsidR="00000000" w:rsidRPr="002C1CA0" w:rsidP="002C1CA0">
      <w:pPr>
        <w:pStyle w:val="Heading1"/>
      </w:pPr>
      <w:bookmarkStart w:id="7" w:name="O_397284"/>
      <w:bookmarkEnd w:id="7"/>
      <w:r w:rsidRPr="002C1CA0">
        <w:t>Elements and Performance Criteria Pre-Content</w:t>
      </w:r>
    </w:p>
    <w:tbl>
      <w:tblPr>
        <w:tblW w:w="0" w:type="auto"/>
        <w:tblLayout w:type="fixed"/>
        <w:tblCellMar>
          <w:left w:w="62" w:type="dxa"/>
          <w:right w:w="62" w:type="dxa"/>
        </w:tblCellMar>
        <w:tblLook w:val="0000"/>
      </w:tblPr>
      <w:tblGrid>
        <w:gridCol w:w="2640"/>
        <w:gridCol w:w="6380"/>
      </w:tblGrid>
      <w:tr w:rsidTr="002C1CA0">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C1CA0" w:rsidP="002C1CA0">
            <w:pPr>
              <w:pStyle w:val="BodyText"/>
            </w:pPr>
            <w:r w:rsidRPr="002C1CA0">
              <w:t>Performance criteria describe the performance needed to demonstrate achievement of the element. Where bold italicised text is used, further information is detailed in the required skills and</w:t>
            </w:r>
            <w:r w:rsidRPr="002C1CA0">
              <w:t xml:space="preserve"> knowledge section and the range statement. Assessment of performance is to be consistent with the evidence guide.</w:t>
            </w:r>
          </w:p>
        </w:tc>
      </w:tr>
    </w:tbl>
    <w:p w:rsidR="00000000" w:rsidRPr="002C1CA0" w:rsidP="002C1CA0">
      <w:pPr>
        <w:pStyle w:val="BodyText"/>
      </w:pPr>
    </w:p>
    <w:p w:rsidR="00000000" w:rsidRPr="002C1CA0" w:rsidP="002C1CA0">
      <w:pPr>
        <w:pStyle w:val="AllowPageBreak"/>
      </w:pPr>
    </w:p>
    <w:p w:rsidR="00000000" w:rsidRPr="002C1CA0" w:rsidP="002C1CA0">
      <w:pPr>
        <w:pStyle w:val="Heading1"/>
      </w:pPr>
      <w:bookmarkStart w:id="8" w:name="O_397285"/>
      <w:bookmarkEnd w:id="8"/>
      <w:r w:rsidRPr="002C1CA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C1C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1</w:t>
            </w:r>
          </w:p>
        </w:tc>
        <w:tc>
          <w:tcPr>
            <w:tcW w:w="1962" w:type="dxa"/>
            <w:vMerge w:val="restart"/>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Identify a need for the application of DE’s</w:t>
            </w:r>
          </w:p>
        </w:tc>
        <w:tc>
          <w:tcPr>
            <w:tcW w:w="77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1.1</w:t>
            </w:r>
          </w:p>
        </w:tc>
        <w:tc>
          <w:tcPr>
            <w:tcW w:w="561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Identify a problem requiring applicati</w:t>
            </w:r>
            <w:r w:rsidRPr="002C1CA0">
              <w:t>on of DE’s</w:t>
            </w:r>
          </w:p>
        </w:tc>
      </w:tr>
      <w:tr w:rsidTr="002C1C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1.2</w:t>
            </w:r>
          </w:p>
        </w:tc>
        <w:tc>
          <w:tcPr>
            <w:tcW w:w="561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Define the problem</w:t>
            </w:r>
          </w:p>
        </w:tc>
      </w:tr>
      <w:tr w:rsidTr="002C1C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1.3</w:t>
            </w:r>
          </w:p>
        </w:tc>
        <w:tc>
          <w:tcPr>
            <w:tcW w:w="561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Determine data currently available for analysis</w:t>
            </w:r>
          </w:p>
        </w:tc>
      </w:tr>
      <w:tr w:rsidTr="002C1C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1.4</w:t>
            </w:r>
          </w:p>
        </w:tc>
        <w:tc>
          <w:tcPr>
            <w:tcW w:w="561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Identify ways of obtaining other required data</w:t>
            </w:r>
          </w:p>
        </w:tc>
      </w:tr>
      <w:tr w:rsidTr="002C1C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1.5</w:t>
            </w:r>
          </w:p>
        </w:tc>
        <w:tc>
          <w:tcPr>
            <w:tcW w:w="5610" w:type="dxa"/>
            <w:tcBorders>
              <w:top w:val="nil"/>
              <w:left w:val="nil"/>
              <w:bottom w:val="nil"/>
              <w:right w:val="nil"/>
            </w:tcBorders>
            <w:tcMar>
              <w:top w:w="0" w:type="dxa"/>
              <w:left w:w="62" w:type="dxa"/>
              <w:bottom w:w="0" w:type="dxa"/>
              <w:right w:w="62" w:type="dxa"/>
            </w:tcMar>
          </w:tcPr>
          <w:p w:rsidR="00000000" w:rsidRPr="002C1CA0" w:rsidP="002C1CA0">
            <w:pPr>
              <w:pStyle w:val="BodyText"/>
            </w:pPr>
            <w:r w:rsidRPr="002C1CA0">
              <w:t>Determine information required from outcome</w:t>
            </w:r>
          </w:p>
        </w:tc>
      </w:tr>
    </w:tbl>
    <w:p w:rsidR="00000000" w:rsidRPr="002C1CA0" w:rsidP="002C1CA0">
      <w:pPr>
        <w:pStyle w:val="BodyText"/>
      </w:pPr>
    </w:p>
    <w:tbl>
      <w:tblPr>
        <w:tblW w:w="0" w:type="auto"/>
        <w:tblLayout w:type="fixed"/>
        <w:tblCellMar>
          <w:left w:w="62" w:type="dxa"/>
          <w:right w:w="62" w:type="dxa"/>
        </w:tblCellMar>
        <w:tblLook w:val="0000"/>
      </w:tblPr>
      <w:tblGrid>
        <w:gridCol w:w="678"/>
        <w:gridCol w:w="1962"/>
        <w:gridCol w:w="770"/>
        <w:gridCol w:w="5610"/>
      </w:tblGrid>
      <w:tr w:rsidTr="002C1C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2</w:t>
            </w:r>
          </w:p>
        </w:tc>
        <w:tc>
          <w:tcPr>
            <w:tcW w:w="1962" w:type="dxa"/>
            <w:vMerge w:val="restart"/>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Prepare to solve problem by DE’s</w:t>
            </w:r>
          </w:p>
        </w:tc>
        <w:tc>
          <w:tcPr>
            <w:tcW w:w="77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2.1</w:t>
            </w:r>
          </w:p>
        </w:tc>
        <w:tc>
          <w:tcPr>
            <w:tcW w:w="561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Determine appropriate DE to be applied</w:t>
            </w:r>
          </w:p>
        </w:tc>
      </w:tr>
      <w:tr w:rsidTr="002C1C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2.2</w:t>
            </w:r>
          </w:p>
        </w:tc>
        <w:tc>
          <w:tcPr>
            <w:tcW w:w="561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Identify and gain access to appropriate computational devices</w:t>
            </w:r>
          </w:p>
        </w:tc>
      </w:tr>
      <w:tr w:rsidTr="002C1C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2.3</w:t>
            </w:r>
          </w:p>
        </w:tc>
        <w:tc>
          <w:tcPr>
            <w:tcW w:w="561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Collect required input data</w:t>
            </w:r>
          </w:p>
        </w:tc>
      </w:tr>
      <w:tr w:rsidTr="002C1C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2.4</w:t>
            </w:r>
          </w:p>
        </w:tc>
        <w:tc>
          <w:tcPr>
            <w:tcW w:w="561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Analyse collected data for suitability and completeness</w:t>
            </w:r>
          </w:p>
        </w:tc>
      </w:tr>
      <w:tr w:rsidTr="002C1C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2.5</w:t>
            </w:r>
          </w:p>
        </w:tc>
        <w:tc>
          <w:tcPr>
            <w:tcW w:w="5610" w:type="dxa"/>
            <w:tcBorders>
              <w:top w:val="nil"/>
              <w:left w:val="nil"/>
              <w:bottom w:val="nil"/>
              <w:right w:val="nil"/>
            </w:tcBorders>
            <w:tcMar>
              <w:top w:w="0" w:type="dxa"/>
              <w:left w:w="62" w:type="dxa"/>
              <w:bottom w:w="0" w:type="dxa"/>
              <w:right w:w="62" w:type="dxa"/>
            </w:tcMar>
          </w:tcPr>
          <w:p w:rsidR="00000000" w:rsidRPr="002C1CA0" w:rsidP="002C1CA0">
            <w:pPr>
              <w:pStyle w:val="BodyText"/>
            </w:pPr>
            <w:r w:rsidRPr="002C1CA0">
              <w:t>Take appropriate action to address any deficiencies found</w:t>
            </w:r>
          </w:p>
        </w:tc>
      </w:tr>
    </w:tbl>
    <w:p w:rsidR="00000000" w:rsidRPr="002C1CA0" w:rsidP="002C1CA0">
      <w:pPr>
        <w:pStyle w:val="BodyText"/>
      </w:pPr>
    </w:p>
    <w:tbl>
      <w:tblPr>
        <w:tblW w:w="0" w:type="auto"/>
        <w:tblLayout w:type="fixed"/>
        <w:tblCellMar>
          <w:left w:w="62" w:type="dxa"/>
          <w:right w:w="62" w:type="dxa"/>
        </w:tblCellMar>
        <w:tblLook w:val="0000"/>
      </w:tblPr>
      <w:tblGrid>
        <w:gridCol w:w="678"/>
        <w:gridCol w:w="1962"/>
        <w:gridCol w:w="770"/>
        <w:gridCol w:w="5610"/>
      </w:tblGrid>
      <w:tr w:rsidTr="002C1C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3</w:t>
            </w:r>
          </w:p>
        </w:tc>
        <w:tc>
          <w:tcPr>
            <w:tcW w:w="1962" w:type="dxa"/>
            <w:vMerge w:val="restart"/>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Solve problem using DE’s</w:t>
            </w:r>
          </w:p>
        </w:tc>
        <w:tc>
          <w:tcPr>
            <w:tcW w:w="77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3.1</w:t>
            </w:r>
          </w:p>
        </w:tc>
        <w:tc>
          <w:tcPr>
            <w:tcW w:w="561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Apply appropriate technique to collected data</w:t>
            </w:r>
          </w:p>
        </w:tc>
      </w:tr>
      <w:tr w:rsidTr="002C1C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3.2</w:t>
            </w:r>
          </w:p>
        </w:tc>
        <w:tc>
          <w:tcPr>
            <w:tcW w:w="561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Check answer by appropriate means</w:t>
            </w:r>
          </w:p>
        </w:tc>
      </w:tr>
      <w:tr w:rsidTr="002C1C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3.3</w:t>
            </w:r>
          </w:p>
        </w:tc>
        <w:tc>
          <w:tcPr>
            <w:tcW w:w="5610" w:type="dxa"/>
            <w:tcBorders>
              <w:top w:val="nil"/>
              <w:left w:val="nil"/>
              <w:bottom w:val="nil"/>
              <w:right w:val="nil"/>
            </w:tcBorders>
            <w:tcMar>
              <w:top w:w="0" w:type="dxa"/>
              <w:left w:w="62" w:type="dxa"/>
              <w:bottom w:w="0" w:type="dxa"/>
              <w:right w:w="62" w:type="dxa"/>
            </w:tcMar>
          </w:tcPr>
          <w:p w:rsidR="00000000" w:rsidRPr="002C1CA0" w:rsidP="002C1CA0">
            <w:pPr>
              <w:pStyle w:val="BodyText"/>
            </w:pPr>
            <w:r w:rsidRPr="002C1CA0">
              <w:t>Interpret answer to determine information required by problem definition</w:t>
            </w:r>
          </w:p>
        </w:tc>
      </w:tr>
    </w:tbl>
    <w:p w:rsidR="00000000" w:rsidRPr="002C1CA0" w:rsidP="002C1CA0">
      <w:pPr>
        <w:pStyle w:val="BodyText"/>
      </w:pPr>
    </w:p>
    <w:tbl>
      <w:tblPr>
        <w:tblW w:w="0" w:type="auto"/>
        <w:tblLayout w:type="fixed"/>
        <w:tblCellMar>
          <w:left w:w="62" w:type="dxa"/>
          <w:right w:w="62" w:type="dxa"/>
        </w:tblCellMar>
        <w:tblLook w:val="0000"/>
      </w:tblPr>
      <w:tblGrid>
        <w:gridCol w:w="678"/>
        <w:gridCol w:w="1962"/>
        <w:gridCol w:w="770"/>
        <w:gridCol w:w="5610"/>
      </w:tblGrid>
      <w:tr w:rsidTr="002C1C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4</w:t>
            </w:r>
          </w:p>
        </w:tc>
        <w:tc>
          <w:tcPr>
            <w:tcW w:w="1962" w:type="dxa"/>
            <w:vMerge w:val="restart"/>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Communicate outcomes</w:t>
            </w:r>
          </w:p>
        </w:tc>
        <w:tc>
          <w:tcPr>
            <w:tcW w:w="77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4.1</w:t>
            </w:r>
          </w:p>
        </w:tc>
        <w:tc>
          <w:tcPr>
            <w:tcW w:w="561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Communicate outcome to relevant stakeholders by appropriate means</w:t>
            </w:r>
          </w:p>
        </w:tc>
      </w:tr>
      <w:tr w:rsidTr="002C1C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4.2</w:t>
            </w:r>
          </w:p>
        </w:tc>
        <w:tc>
          <w:tcPr>
            <w:tcW w:w="561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Explain outcome to stakeholders, as appropriate</w:t>
            </w:r>
          </w:p>
        </w:tc>
      </w:tr>
      <w:tr w:rsidTr="002C1CA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4.3</w:t>
            </w:r>
          </w:p>
        </w:tc>
        <w:tc>
          <w:tcPr>
            <w:tcW w:w="5610" w:type="dxa"/>
            <w:tcBorders>
              <w:top w:val="nil"/>
              <w:left w:val="nil"/>
              <w:bottom w:val="nil"/>
              <w:right w:val="nil"/>
            </w:tcBorders>
            <w:tcMar>
              <w:top w:w="0" w:type="dxa"/>
              <w:left w:w="62" w:type="dxa"/>
              <w:bottom w:w="0" w:type="dxa"/>
              <w:right w:w="62" w:type="dxa"/>
            </w:tcMar>
          </w:tcPr>
          <w:p w:rsidR="00000000" w:rsidRPr="002C1CA0" w:rsidP="002C1CA0">
            <w:pPr>
              <w:pStyle w:val="BodyText"/>
            </w:pPr>
            <w:r w:rsidRPr="002C1CA0">
              <w:t>Check outcome has addressed problem</w:t>
            </w:r>
          </w:p>
        </w:tc>
      </w:tr>
    </w:tbl>
    <w:p w:rsidR="00CA31C6" w:rsidP="002C1CA0">
      <w:pPr>
        <w:pStyle w:val="BodyText"/>
      </w:pPr>
    </w:p>
    <w:p w:rsidR="00CA31C6" w:rsidP="002C1CA0">
      <w:pPr>
        <w:pStyle w:val="BodyText"/>
      </w:pPr>
    </w:p>
    <w:p w:rsidR="00000000" w:rsidRPr="002C1CA0" w:rsidP="002C1CA0">
      <w:pPr>
        <w:pStyle w:val="Heading1"/>
      </w:pPr>
      <w:bookmarkStart w:id="9" w:name="O_397286"/>
      <w:bookmarkEnd w:id="9"/>
      <w:r w:rsidRPr="002C1CA0">
        <w:t>Required Skills and Knowledge</w:t>
      </w:r>
    </w:p>
    <w:tbl>
      <w:tblPr>
        <w:tblW w:w="9608" w:type="dxa"/>
        <w:tblLayout w:type="fixed"/>
        <w:tblCellMar>
          <w:left w:w="62" w:type="dxa"/>
          <w:right w:w="62" w:type="dxa"/>
        </w:tblCellMar>
        <w:tblLook w:val="0000"/>
      </w:tblPr>
      <w:tblGrid>
        <w:gridCol w:w="9608"/>
      </w:tblGrid>
      <w:tr w:rsidTr="002C1CA0">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t>This section describes the skills and knowledge required for this unit.</w:t>
            </w:r>
          </w:p>
        </w:tc>
      </w:tr>
      <w:tr w:rsidTr="002C1CA0">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rPr>
                <w:rStyle w:val="SpecialBold"/>
              </w:rPr>
              <w:t>Required skills</w:t>
            </w:r>
          </w:p>
        </w:tc>
      </w:tr>
      <w:tr w:rsidTr="002C1CA0">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RPr="002C1CA0" w:rsidP="002C1CA0">
            <w:pPr>
              <w:pStyle w:val="BodyText"/>
            </w:pPr>
            <w:r w:rsidRPr="002C1CA0">
              <w:t>Required skills include:</w:t>
            </w:r>
          </w:p>
          <w:p w:rsidR="00000000" w:rsidRPr="002C1CA0" w:rsidP="002C1CA0">
            <w:pPr>
              <w:pStyle w:val="ListBullet"/>
            </w:pPr>
            <w:r w:rsidRPr="002C1CA0">
              <w:t>identifying and defining problems</w:t>
            </w:r>
          </w:p>
          <w:p w:rsidR="00000000" w:rsidRPr="002C1CA0" w:rsidP="002C1CA0">
            <w:pPr>
              <w:pStyle w:val="ListBullet"/>
            </w:pPr>
            <w:r w:rsidRPr="002C1CA0">
              <w:t>collecting and analysing data</w:t>
            </w:r>
          </w:p>
          <w:p w:rsidR="00000000" w:rsidRPr="002C1CA0" w:rsidP="002C1CA0">
            <w:pPr>
              <w:pStyle w:val="ListBullet"/>
            </w:pPr>
            <w:r w:rsidRPr="002C1CA0">
              <w:t>reporting and presenting data and quantitative information</w:t>
            </w:r>
          </w:p>
          <w:p w:rsidR="00000000" w:rsidP="002C1CA0">
            <w:pPr>
              <w:pStyle w:val="ListBullet"/>
              <w:rPr>
                <w:lang w:val="en-NZ"/>
              </w:rPr>
            </w:pPr>
            <w:r w:rsidRPr="002C1CA0">
              <w:t>communicating effectively with stakeholders on problem resolution</w:t>
            </w:r>
          </w:p>
        </w:tc>
      </w:tr>
      <w:tr w:rsidTr="002C1CA0">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p>
        </w:tc>
      </w:tr>
      <w:tr w:rsidTr="002C1CA0">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P="002C1CA0">
            <w:pPr>
              <w:pStyle w:val="BodyText"/>
              <w:rPr>
                <w:lang w:val="en-NZ"/>
              </w:rPr>
            </w:pPr>
            <w:r w:rsidRPr="002C1CA0">
              <w:rPr>
                <w:rStyle w:val="SpecialBold"/>
              </w:rPr>
              <w:t>Required knowledge</w:t>
            </w:r>
          </w:p>
        </w:tc>
      </w:tr>
      <w:tr w:rsidTr="002C1CA0">
        <w:tblPrEx>
          <w:tblW w:w="9608" w:type="dxa"/>
          <w:tblLayout w:type="fixed"/>
          <w:tblCellMar>
            <w:left w:w="62" w:type="dxa"/>
            <w:right w:w="62" w:type="dxa"/>
          </w:tblCellMar>
          <w:tblLook w:val="0000"/>
        </w:tblPrEx>
        <w:tc>
          <w:tcPr>
            <w:tcW w:w="9608" w:type="dxa"/>
            <w:tcBorders>
              <w:top w:val="nil"/>
              <w:left w:val="nil"/>
              <w:bottom w:val="nil"/>
              <w:right w:val="nil"/>
            </w:tcBorders>
            <w:tcMar>
              <w:top w:w="0" w:type="dxa"/>
              <w:left w:w="62" w:type="dxa"/>
              <w:bottom w:w="0" w:type="dxa"/>
              <w:right w:w="62" w:type="dxa"/>
            </w:tcMar>
          </w:tcPr>
          <w:p w:rsidR="00000000" w:rsidRPr="002C1CA0" w:rsidP="002C1CA0">
            <w:pPr>
              <w:pStyle w:val="BodyText"/>
            </w:pPr>
            <w:r w:rsidRPr="002C1CA0">
              <w:t>Required knowledge includes:</w:t>
            </w:r>
          </w:p>
          <w:p w:rsidR="00000000" w:rsidRPr="002C1CA0" w:rsidP="002C1CA0">
            <w:pPr>
              <w:pStyle w:val="ListBullet"/>
            </w:pPr>
            <w:r w:rsidRPr="002C1CA0">
              <w:t>ordinary DE’s</w:t>
            </w:r>
          </w:p>
          <w:p w:rsidR="00000000" w:rsidRPr="002C1CA0" w:rsidP="002C1CA0">
            <w:pPr>
              <w:pStyle w:val="ListBullet"/>
            </w:pPr>
            <w:r w:rsidRPr="002C1CA0">
              <w:t>first order separable DE’s</w:t>
            </w:r>
          </w:p>
          <w:p w:rsidR="00000000" w:rsidRPr="002C1CA0" w:rsidP="002C1CA0">
            <w:pPr>
              <w:pStyle w:val="ListBullet"/>
            </w:pPr>
            <w:r w:rsidRPr="002C1CA0">
              <w:t>first order linear DE’s</w:t>
            </w:r>
          </w:p>
          <w:p w:rsidR="00000000" w:rsidRPr="002C1CA0" w:rsidP="002C1CA0">
            <w:pPr>
              <w:pStyle w:val="ListBullet"/>
            </w:pPr>
            <w:r w:rsidRPr="002C1CA0">
              <w:t>first order exact DE’s</w:t>
            </w:r>
          </w:p>
          <w:p w:rsidR="00000000" w:rsidRPr="002C1CA0" w:rsidP="002C1CA0">
            <w:pPr>
              <w:pStyle w:val="ListBullet"/>
            </w:pPr>
            <w:r w:rsidRPr="002C1CA0">
              <w:t>second order linear homogeneous DE’s with constant coefficients</w:t>
            </w:r>
          </w:p>
          <w:p w:rsidR="00000000" w:rsidRPr="002C1CA0" w:rsidP="002C1CA0">
            <w:pPr>
              <w:pStyle w:val="ListBullet"/>
            </w:pPr>
            <w:r w:rsidRPr="002C1CA0">
              <w:t>second order linear non-homogeneous DE’s with constant coefficients</w:t>
            </w:r>
          </w:p>
          <w:p w:rsidR="00000000" w:rsidRPr="002C1CA0" w:rsidP="002C1CA0">
            <w:pPr>
              <w:pStyle w:val="ListBullet"/>
            </w:pPr>
            <w:r w:rsidRPr="002C1CA0">
              <w:t>DE’s</w:t>
            </w:r>
          </w:p>
          <w:p w:rsidR="00000000" w:rsidRPr="002C1CA0" w:rsidP="002C1CA0">
            <w:pPr>
              <w:pStyle w:val="ListBullet2"/>
            </w:pPr>
            <w:r w:rsidRPr="002C1CA0">
              <w:t>definition of a DE</w:t>
            </w:r>
          </w:p>
          <w:p w:rsidR="00000000" w:rsidRPr="002C1CA0" w:rsidP="002C1CA0">
            <w:pPr>
              <w:pStyle w:val="ListBullet2"/>
            </w:pPr>
            <w:r w:rsidRPr="002C1CA0">
              <w:t>first order DE's –</w:t>
            </w:r>
            <w:r w:rsidRPr="002C1CA0">
              <w:t xml:space="preserve"> separation of variables and applications</w:t>
            </w:r>
          </w:p>
          <w:p w:rsidR="00000000" w:rsidRPr="002C1CA0" w:rsidP="002C1CA0">
            <w:pPr>
              <w:pStyle w:val="ListBullet2"/>
            </w:pPr>
            <w:r w:rsidRPr="002C1CA0">
              <w:t xml:space="preserve">second order DE's of the form: </w:t>
            </w:r>
            <w:bookmarkStart w:id="10" w:name="O_397292"/>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33pt;width:60pt">
                  <v:imagedata r:id="rId10" o:title=""/>
                </v:shape>
              </w:pict>
            </w:r>
            <w:bookmarkEnd w:id="10"/>
          </w:p>
          <w:p w:rsidR="00000000" w:rsidRPr="002C1CA0" w:rsidP="002C1CA0">
            <w:pPr>
              <w:pStyle w:val="ListBullet2"/>
            </w:pPr>
            <w:r w:rsidRPr="002C1CA0">
              <w:t xml:space="preserve">second order DE's of the form: </w:t>
            </w:r>
            <w:bookmarkStart w:id="11" w:name="O_397293"/>
            <w:r>
              <w:pict>
                <v:shape id="_x0000_i1026" type="#_x0000_t75" style="height:33pt;width:60pt">
                  <v:imagedata r:id="rId11" o:title=""/>
                </v:shape>
              </w:pict>
            </w:r>
            <w:bookmarkEnd w:id="11"/>
          </w:p>
          <w:p w:rsidR="00000000" w:rsidRPr="002C1CA0" w:rsidP="002C1CA0">
            <w:pPr>
              <w:pStyle w:val="ListBullet2"/>
            </w:pPr>
            <w:r w:rsidRPr="002C1CA0">
              <w:t xml:space="preserve">first order DE's of the form: </w:t>
            </w:r>
            <w:bookmarkStart w:id="12" w:name="O_397294"/>
            <w:r>
              <w:pict>
                <v:shape id="_x0000_i1027" type="#_x0000_t75" style="height:30.75pt;width:65.25pt">
                  <v:imagedata r:id="rId12" o:title=""/>
                </v:shape>
              </w:pict>
            </w:r>
            <w:bookmarkEnd w:id="12"/>
          </w:p>
          <w:p w:rsidR="00000000" w:rsidRPr="002C1CA0" w:rsidP="002C1CA0">
            <w:pPr>
              <w:pStyle w:val="ListBullet2"/>
            </w:pPr>
            <w:r w:rsidRPr="002C1CA0">
              <w:t xml:space="preserve">second order DE's of the form: </w:t>
            </w:r>
            <w:bookmarkStart w:id="13" w:name="O_397295"/>
            <w:r>
              <w:pict>
                <v:shape id="_x0000_i1028" type="#_x0000_t75" style="height:33pt;width:105pt">
                  <v:imagedata r:id="rId13" o:title=""/>
                </v:shape>
              </w:pict>
            </w:r>
            <w:bookmarkEnd w:id="13"/>
          </w:p>
          <w:p w:rsidR="00000000" w:rsidRPr="002C1CA0" w:rsidP="002C1CA0">
            <w:pPr>
              <w:pStyle w:val="ListBullet2"/>
            </w:pPr>
            <w:r w:rsidRPr="002C1CA0">
              <w:t xml:space="preserve">second order DE's of the form: </w:t>
            </w:r>
            <w:bookmarkStart w:id="14" w:name="O_397296"/>
            <w:r>
              <w:pict>
                <v:shape id="_x0000_i1029" type="#_x0000_t75" style="height:33pt;width:121.5pt">
                  <v:imagedata r:id="rId14" o:title=""/>
                </v:shape>
              </w:pict>
            </w:r>
            <w:bookmarkEnd w:id="14"/>
          </w:p>
          <w:p w:rsidR="00000000" w:rsidRPr="002C1CA0" w:rsidP="002C1CA0">
            <w:pPr>
              <w:pStyle w:val="ListBullet"/>
            </w:pPr>
            <w:r w:rsidRPr="002C1CA0">
              <w:t>motion</w:t>
            </w:r>
          </w:p>
          <w:p w:rsidR="00000000" w:rsidRPr="002C1CA0" w:rsidP="002C1CA0">
            <w:pPr>
              <w:pStyle w:val="ListBullet"/>
            </w:pPr>
            <w:r w:rsidRPr="002C1CA0">
              <w:t>kinematics</w:t>
            </w:r>
          </w:p>
          <w:p w:rsidR="00000000" w:rsidRPr="002C1CA0" w:rsidP="002C1CA0">
            <w:pPr>
              <w:pStyle w:val="ListBullet"/>
            </w:pPr>
            <w:r w:rsidRPr="002C1CA0">
              <w:t>resisted gravitational motion</w:t>
            </w:r>
          </w:p>
          <w:p w:rsidR="00000000" w:rsidRPr="002C1CA0" w:rsidP="002C1CA0">
            <w:pPr>
              <w:pStyle w:val="ListBullet"/>
            </w:pPr>
            <w:r w:rsidRPr="002C1CA0">
              <w:t>simple harmonic motion</w:t>
            </w:r>
          </w:p>
          <w:p w:rsidR="00000000" w:rsidRPr="002C1CA0" w:rsidP="002C1CA0">
            <w:pPr>
              <w:pStyle w:val="ListBullet"/>
            </w:pPr>
            <w:r w:rsidRPr="002C1CA0">
              <w:t>vibratory motion</w:t>
            </w:r>
          </w:p>
        </w:tc>
      </w:tr>
    </w:tbl>
    <w:p w:rsidR="00CA31C6" w:rsidP="002C1CA0">
      <w:pPr>
        <w:pStyle w:val="BodyText"/>
      </w:pPr>
    </w:p>
    <w:p w:rsidR="00CA31C6" w:rsidP="002C1CA0">
      <w:pPr>
        <w:pStyle w:val="BodyText"/>
      </w:pPr>
    </w:p>
    <w:p w:rsidR="00000000" w:rsidRPr="002C1CA0" w:rsidP="002C1CA0">
      <w:pPr>
        <w:pStyle w:val="Heading1"/>
      </w:pPr>
      <w:bookmarkStart w:id="15" w:name="O_397287"/>
      <w:bookmarkEnd w:id="15"/>
      <w:r w:rsidRPr="002C1CA0">
        <w:t>Evidence Guide</w:t>
      </w:r>
    </w:p>
    <w:tbl>
      <w:tblPr>
        <w:tblW w:w="9608" w:type="dxa"/>
        <w:tblLayout w:type="fixed"/>
        <w:tblCellMar>
          <w:left w:w="62" w:type="dxa"/>
          <w:right w:w="62" w:type="dxa"/>
        </w:tblCellMar>
        <w:tblLook w:val="0000"/>
      </w:tblPr>
      <w:tblGrid>
        <w:gridCol w:w="2832"/>
        <w:gridCol w:w="6776"/>
      </w:tblGrid>
      <w:tr w:rsidTr="002C1CA0">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C1CA0">
            <w:pPr>
              <w:pStyle w:val="BodyText"/>
              <w:rPr>
                <w:lang w:val="en-NZ"/>
              </w:rPr>
            </w:pPr>
            <w:r w:rsidRPr="002C1CA0">
              <w:t>The evidence guide provides advice on assessment and must be read in conjunction with the performance criteria, required skills and knowledge, range statement and the Assessment Guidelines for the Training Package.</w:t>
            </w:r>
          </w:p>
        </w:tc>
      </w:tr>
      <w:tr w:rsidTr="002C1CA0">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CA0">
            <w:pPr>
              <w:pStyle w:val="BodyText"/>
              <w:rPr>
                <w:lang w:val="en-NZ"/>
              </w:rPr>
            </w:pPr>
            <w:r w:rsidRPr="002C1CA0">
              <w:t>Critical aspects for assessment and evi</w:t>
            </w:r>
            <w:r w:rsidRPr="002C1CA0">
              <w:t>dence required to demonstrate competency in this unit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CA0" w:rsidP="002C1CA0">
            <w:pPr>
              <w:pStyle w:val="BodyText"/>
            </w:pPr>
            <w:r w:rsidRPr="002C1CA0">
              <w:t>Assessors must be satisfied that the candidate can competently and consistently:</w:t>
            </w:r>
          </w:p>
          <w:p w:rsidR="00000000" w:rsidRPr="002C1CA0" w:rsidP="002C1CA0">
            <w:pPr>
              <w:pStyle w:val="ListBullet"/>
            </w:pPr>
            <w:r w:rsidRPr="002C1CA0">
              <w:t>identify appropriate differential equations for engineering or related problems</w:t>
            </w:r>
          </w:p>
          <w:p w:rsidR="00000000" w:rsidRPr="002C1CA0" w:rsidP="002C1CA0">
            <w:pPr>
              <w:pStyle w:val="ListBullet"/>
            </w:pPr>
            <w:r w:rsidRPr="002C1CA0">
              <w:t>apply the appropriate technique to the problem</w:t>
            </w:r>
          </w:p>
          <w:p w:rsidR="00000000" w:rsidRPr="002C1CA0" w:rsidP="002C1CA0">
            <w:pPr>
              <w:pStyle w:val="ListBullet"/>
            </w:pPr>
            <w:r w:rsidRPr="002C1CA0">
              <w:t>check answer has addressed problem</w:t>
            </w:r>
          </w:p>
          <w:p w:rsidR="00000000" w:rsidP="002C1CA0">
            <w:pPr>
              <w:pStyle w:val="ListBullet"/>
              <w:rPr>
                <w:lang w:val="en-NZ"/>
              </w:rPr>
            </w:pPr>
            <w:r w:rsidRPr="002C1CA0">
              <w:t>communicate the outcome of the analysis in an appropriate way.</w:t>
            </w:r>
          </w:p>
        </w:tc>
      </w:tr>
      <w:tr w:rsidTr="002C1CA0">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CA0">
            <w:pPr>
              <w:pStyle w:val="BodyText"/>
              <w:rPr>
                <w:lang w:val="en-NZ"/>
              </w:rPr>
            </w:pPr>
            <w:r w:rsidRPr="002C1CA0">
              <w:t>Context of and specific resources for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CA0" w:rsidP="002C1CA0">
            <w:pPr>
              <w:pStyle w:val="ListBullet"/>
            </w:pPr>
            <w:r w:rsidRPr="002C1CA0">
              <w:t>This unit may be assessed on the job, off the job or a combi</w:t>
            </w:r>
            <w:r w:rsidRPr="002C1CA0">
              <w:t>nation of both on and off the job. Where assessment occurs off the job, that is, the candidate is not in productive work, then a simulated working environment must be used where the range of conditions reflects realistic workplace situations. The competenc</w:t>
            </w:r>
            <w:r w:rsidRPr="002C1CA0">
              <w:t xml:space="preserve">y covered by this unit would be demonstrated by an individual working alone or as part of a team. </w:t>
            </w:r>
          </w:p>
          <w:p w:rsidR="00000000" w:rsidRPr="002C1CA0" w:rsidP="002C1CA0">
            <w:pPr>
              <w:pStyle w:val="ListBullet"/>
            </w:pPr>
            <w:r w:rsidRPr="002C1CA0">
              <w:t>Where applicable, reasonable adjustment must be made to work environments and training situations to accommodate ethnicity, age, gender, demographics and dis</w:t>
            </w:r>
            <w:r w:rsidRPr="002C1CA0">
              <w:t>ability.</w:t>
            </w:r>
          </w:p>
          <w:p w:rsidR="00000000" w:rsidP="002C1CA0">
            <w:pPr>
              <w:pStyle w:val="ListBullet"/>
              <w:rPr>
                <w:lang w:val="en-NZ"/>
              </w:rPr>
            </w:pPr>
            <w:r w:rsidRPr="002C1CA0">
              <w:t>Access must be provided to appropriate learning and/or assessment support when required. Where applicable, physical resources should include equipment modified for people with disabilities.</w:t>
            </w:r>
          </w:p>
        </w:tc>
      </w:tr>
      <w:tr w:rsidTr="002C1CA0">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CA0">
            <w:pPr>
              <w:pStyle w:val="BodyText"/>
              <w:rPr>
                <w:lang w:val="en-NZ"/>
              </w:rPr>
            </w:pPr>
            <w:r w:rsidRPr="002C1CA0">
              <w:t>Method of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CA0" w:rsidP="002C1CA0">
            <w:pPr>
              <w:pStyle w:val="ListBullet"/>
            </w:pPr>
            <w:r w:rsidRPr="002C1CA0">
              <w:t>Assessment must satisfy the endors</w:t>
            </w:r>
            <w:r w:rsidRPr="002C1CA0">
              <w:t>ed Assessment Guidelines of the MEM05 Metal and Engineering Training Package.</w:t>
            </w:r>
          </w:p>
          <w:p w:rsidR="00000000" w:rsidRPr="002C1CA0" w:rsidP="002C1CA0">
            <w:pPr>
              <w:pStyle w:val="ListBullet"/>
            </w:pPr>
            <w:r w:rsidRPr="002C1CA0">
              <w:t>Assessment methods must confirm consistency and accuracy of performance (over time and in a range of workplace relevant contexts) together with application of underpinning knowle</w:t>
            </w:r>
            <w:r w:rsidRPr="002C1CA0">
              <w:t>dge.</w:t>
            </w:r>
          </w:p>
          <w:p w:rsidR="00000000" w:rsidRPr="002C1CA0" w:rsidP="002C1CA0">
            <w:pPr>
              <w:pStyle w:val="ListBullet"/>
            </w:pPr>
            <w:r w:rsidRPr="002C1CA0">
              <w:t>Assessment methods must be by direct observation of tasks and include questioning on underpinning knowledge to ensure its correct interpretation and application.</w:t>
            </w:r>
          </w:p>
          <w:p w:rsidR="00000000" w:rsidRPr="002C1CA0" w:rsidP="002C1CA0">
            <w:pPr>
              <w:pStyle w:val="ListBullet"/>
            </w:pPr>
            <w:r w:rsidRPr="002C1CA0">
              <w:t>Assessment may be applied under project-related conditions (real or simulated) and requir</w:t>
            </w:r>
            <w:r w:rsidRPr="002C1CA0">
              <w:t>e evidence of process.</w:t>
            </w:r>
          </w:p>
          <w:p w:rsidR="00000000" w:rsidRPr="002C1CA0" w:rsidP="002C1CA0">
            <w:pPr>
              <w:pStyle w:val="ListBullet"/>
            </w:pPr>
            <w:r w:rsidRPr="002C1CA0">
              <w:t>Assessment must confirm a reasonable inference that competency is able not only to be satisfied under the particular circumstance, but is able to be transferred to other circumstances.</w:t>
            </w:r>
          </w:p>
          <w:p w:rsidR="00000000" w:rsidP="002C1CA0">
            <w:pPr>
              <w:pStyle w:val="ListBullet"/>
              <w:rPr>
                <w:lang w:val="en-NZ"/>
              </w:rPr>
            </w:pPr>
            <w:r w:rsidRPr="002C1CA0">
              <w:t>Assessment may be in conjunction with assessment of other units of competency where required.</w:t>
            </w:r>
          </w:p>
        </w:tc>
      </w:tr>
      <w:tr w:rsidTr="002C1CA0">
        <w:tblPrEx>
          <w:tblW w:w="9608" w:type="dxa"/>
          <w:tblLayout w:type="fixed"/>
          <w:tblCellMar>
            <w:left w:w="62" w:type="dxa"/>
            <w:right w:w="62" w:type="dxa"/>
          </w:tblCellMar>
          <w:tblLook w:val="0000"/>
        </w:tblPrEx>
        <w:tc>
          <w:tcPr>
            <w:tcW w:w="28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CA0">
            <w:pPr>
              <w:pStyle w:val="BodyText"/>
              <w:rPr>
                <w:lang w:val="en-NZ"/>
              </w:rPr>
            </w:pPr>
            <w:r w:rsidRPr="002C1CA0">
              <w:t>Guidance information for assessment</w:t>
            </w:r>
          </w:p>
        </w:tc>
        <w:tc>
          <w:tcPr>
            <w:tcW w:w="67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CA0" w:rsidP="002C1CA0">
            <w:pPr>
              <w:pStyle w:val="BodyText"/>
            </w:pPr>
            <w:r w:rsidRPr="002C1CA0">
              <w:t>Assessment processes and techniques must be culturally appropriate and appropriate to the language and literacy capacity of t</w:t>
            </w:r>
            <w:r w:rsidRPr="002C1CA0">
              <w:t>he candidate and the work being performed.</w:t>
            </w:r>
          </w:p>
        </w:tc>
      </w:tr>
    </w:tbl>
    <w:p w:rsidR="00CA31C6" w:rsidP="002C1CA0">
      <w:pPr>
        <w:pStyle w:val="BodyText"/>
      </w:pPr>
    </w:p>
    <w:p w:rsidR="00CA31C6" w:rsidP="002C1CA0">
      <w:pPr>
        <w:pStyle w:val="BodyText"/>
      </w:pPr>
    </w:p>
    <w:p w:rsidR="00000000" w:rsidRPr="002C1CA0" w:rsidP="002C1CA0">
      <w:pPr>
        <w:pStyle w:val="Heading1"/>
      </w:pPr>
      <w:bookmarkStart w:id="16" w:name="O_397288"/>
      <w:bookmarkEnd w:id="16"/>
      <w:r w:rsidRPr="002C1CA0">
        <w:t>Range Statement</w:t>
      </w:r>
    </w:p>
    <w:tbl>
      <w:tblPr>
        <w:tblW w:w="9608" w:type="dxa"/>
        <w:tblLayout w:type="fixed"/>
        <w:tblCellMar>
          <w:left w:w="62" w:type="dxa"/>
          <w:right w:w="62" w:type="dxa"/>
        </w:tblCellMar>
        <w:tblLook w:val="0000"/>
      </w:tblPr>
      <w:tblGrid>
        <w:gridCol w:w="2630"/>
        <w:gridCol w:w="6978"/>
      </w:tblGrid>
      <w:tr w:rsidTr="002C1CA0">
        <w:tblPrEx>
          <w:tblW w:w="9608" w:type="dxa"/>
          <w:tblLayout w:type="fixed"/>
          <w:tblCellMar>
            <w:left w:w="62" w:type="dxa"/>
            <w:right w:w="62" w:type="dxa"/>
          </w:tblCellMar>
          <w:tblLook w:val="0000"/>
        </w:tblPrEx>
        <w:tc>
          <w:tcPr>
            <w:tcW w:w="9608"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2C1CA0">
            <w:pPr>
              <w:pStyle w:val="BodyText"/>
              <w:rPr>
                <w:lang w:val="en-NZ"/>
              </w:rPr>
            </w:pPr>
            <w:r w:rsidRPr="002C1CA0">
              <w:t>The range statement relates to the unit of competency as a whole. It allows for different work environments and situations that may affect performance. Essential operating condi</w:t>
            </w:r>
            <w:r w:rsidRPr="002C1CA0">
              <w:t>tions that may be present with training and assessment (depending on the work situation, needs of the candidate, accessibility of the item, and local industry and regional contexts) may also be included.</w:t>
            </w:r>
          </w:p>
        </w:tc>
      </w:tr>
      <w:tr w:rsidTr="002C1CA0">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CA0">
            <w:pPr>
              <w:pStyle w:val="BodyText"/>
              <w:rPr>
                <w:lang w:val="en-NZ"/>
              </w:rPr>
            </w:pPr>
            <w:r w:rsidRPr="002C1CA0">
              <w:rPr>
                <w:rStyle w:val="SpecialBold"/>
              </w:rPr>
              <w:t>Problem definition</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CA0">
            <w:pPr>
              <w:pStyle w:val="BodyText"/>
              <w:rPr>
                <w:lang w:val="en-NZ"/>
              </w:rPr>
            </w:pPr>
            <w:r w:rsidRPr="002C1CA0">
              <w:t>Problem definition means the problem will be defined so as to allow for the use of differential equations and the application of quantitative data</w:t>
            </w:r>
          </w:p>
        </w:tc>
      </w:tr>
      <w:tr w:rsidTr="002C1CA0">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CA0">
            <w:pPr>
              <w:pStyle w:val="BodyText"/>
              <w:rPr>
                <w:lang w:val="en-NZ"/>
              </w:rPr>
            </w:pPr>
            <w:r w:rsidRPr="002C1CA0">
              <w:rPr>
                <w:rStyle w:val="SpecialBold"/>
              </w:rPr>
              <w:t>Data available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CA0">
            <w:pPr>
              <w:pStyle w:val="BodyText"/>
              <w:rPr>
                <w:lang w:val="en-NZ"/>
              </w:rPr>
            </w:pPr>
            <w:r w:rsidRPr="002C1CA0">
              <w:t>Data currently available means all relevant data which is currently available within the orga</w:t>
            </w:r>
            <w:r w:rsidRPr="002C1CA0">
              <w:t>nisation or could be readily obtained</w:t>
            </w:r>
          </w:p>
        </w:tc>
      </w:tr>
      <w:tr w:rsidTr="002C1CA0">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CA0">
            <w:pPr>
              <w:pStyle w:val="BodyText"/>
              <w:rPr>
                <w:lang w:val="en-NZ"/>
              </w:rPr>
            </w:pPr>
            <w:r w:rsidRPr="002C1CA0">
              <w:rPr>
                <w:rStyle w:val="SpecialBold"/>
              </w:rPr>
              <w:t>Information required</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CA0">
            <w:pPr>
              <w:pStyle w:val="BodyText"/>
              <w:rPr>
                <w:lang w:val="en-NZ"/>
              </w:rPr>
            </w:pPr>
            <w:r w:rsidRPr="002C1CA0">
              <w:t>Information required is the outcome which needs to be produced in order to solve/assist in resolving the defined problem</w:t>
            </w:r>
          </w:p>
        </w:tc>
      </w:tr>
      <w:tr w:rsidTr="002C1CA0">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CA0">
            <w:pPr>
              <w:pStyle w:val="BodyText"/>
              <w:rPr>
                <w:lang w:val="en-NZ"/>
              </w:rPr>
            </w:pPr>
            <w:r w:rsidRPr="002C1CA0">
              <w:rPr>
                <w:rStyle w:val="SpecialBold"/>
              </w:rPr>
              <w:t>Differential equations</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CA0" w:rsidP="002C1CA0">
            <w:pPr>
              <w:pStyle w:val="BodyText"/>
            </w:pPr>
            <w:r w:rsidRPr="002C1CA0">
              <w:t>Differential equations may include:</w:t>
            </w:r>
          </w:p>
          <w:p w:rsidR="00000000" w:rsidRPr="002C1CA0" w:rsidP="002C1CA0">
            <w:pPr>
              <w:pStyle w:val="ListBullet"/>
            </w:pPr>
            <w:r w:rsidRPr="002C1CA0">
              <w:t>one or more or</w:t>
            </w:r>
            <w:r w:rsidRPr="002C1CA0">
              <w:t xml:space="preserve"> any of the techniques listed under ‘required knowledge’ </w:t>
            </w:r>
          </w:p>
          <w:p w:rsidR="00000000" w:rsidP="002C1CA0">
            <w:pPr>
              <w:pStyle w:val="ListBullet"/>
              <w:rPr>
                <w:lang w:val="en-NZ"/>
              </w:rPr>
            </w:pPr>
            <w:r w:rsidRPr="002C1CA0">
              <w:t>a related technique</w:t>
            </w:r>
          </w:p>
        </w:tc>
      </w:tr>
      <w:tr w:rsidTr="002C1CA0">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CA0">
            <w:pPr>
              <w:pStyle w:val="BodyText"/>
              <w:rPr>
                <w:lang w:val="en-NZ"/>
              </w:rPr>
            </w:pPr>
            <w:r w:rsidRPr="002C1CA0">
              <w:rPr>
                <w:rStyle w:val="SpecialBold"/>
              </w:rPr>
              <w:t>Computational device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CA0" w:rsidP="002C1CA0">
            <w:pPr>
              <w:pStyle w:val="BodyText"/>
            </w:pPr>
            <w:r w:rsidRPr="002C1CA0">
              <w:t>Computational devices include:</w:t>
            </w:r>
          </w:p>
          <w:p w:rsidR="00000000" w:rsidRPr="002C1CA0" w:rsidP="002C1CA0">
            <w:pPr>
              <w:pStyle w:val="ListBullet"/>
            </w:pPr>
            <w:r w:rsidRPr="002C1CA0">
              <w:t xml:space="preserve">calculators with differential equations functions </w:t>
            </w:r>
          </w:p>
          <w:p w:rsidR="00000000" w:rsidP="002C1CA0">
            <w:pPr>
              <w:pStyle w:val="ListBullet"/>
              <w:rPr>
                <w:lang w:val="en-NZ"/>
              </w:rPr>
            </w:pPr>
            <w:r w:rsidRPr="002C1CA0">
              <w:t>computer software packages</w:t>
            </w:r>
          </w:p>
        </w:tc>
      </w:tr>
      <w:tr w:rsidTr="002C1CA0">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CA0">
            <w:pPr>
              <w:pStyle w:val="BodyText"/>
              <w:rPr>
                <w:lang w:val="en-NZ"/>
              </w:rPr>
            </w:pPr>
            <w:r w:rsidRPr="002C1CA0">
              <w:rPr>
                <w:rStyle w:val="SpecialBold"/>
              </w:rPr>
              <w:t>Appropriate action</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CA0" w:rsidP="002C1CA0">
            <w:pPr>
              <w:pStyle w:val="BodyText"/>
            </w:pPr>
            <w:r w:rsidRPr="002C1CA0">
              <w:t>Appropriate action may include:</w:t>
            </w:r>
          </w:p>
          <w:p w:rsidR="00000000" w:rsidRPr="002C1CA0" w:rsidP="002C1CA0">
            <w:pPr>
              <w:pStyle w:val="ListBullet"/>
            </w:pPr>
            <w:r w:rsidRPr="002C1CA0">
              <w:t>taking necessary steps to obtain required data</w:t>
            </w:r>
          </w:p>
          <w:p w:rsidR="00000000" w:rsidRPr="002C1CA0" w:rsidP="002C1CA0">
            <w:pPr>
              <w:pStyle w:val="ListBullet"/>
            </w:pPr>
            <w:r w:rsidRPr="002C1CA0">
              <w:t>obtaining some relevant proxy for the desired data</w:t>
            </w:r>
          </w:p>
          <w:p w:rsidR="00000000" w:rsidP="002C1CA0">
            <w:pPr>
              <w:pStyle w:val="ListBullet"/>
              <w:rPr>
                <w:lang w:val="en-NZ"/>
              </w:rPr>
            </w:pPr>
            <w:r w:rsidRPr="002C1CA0">
              <w:t>choosing a different differential equation/computational device which will function with available data</w:t>
            </w:r>
          </w:p>
        </w:tc>
      </w:tr>
      <w:tr w:rsidTr="002C1CA0">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CA0">
            <w:pPr>
              <w:pStyle w:val="BodyText"/>
              <w:rPr>
                <w:lang w:val="en-NZ"/>
              </w:rPr>
            </w:pPr>
            <w:r w:rsidRPr="002C1CA0">
              <w:rPr>
                <w:rStyle w:val="SpecialBold"/>
              </w:rPr>
              <w:t>Appropriate techniqu</w:t>
            </w:r>
            <w:r w:rsidRPr="002C1CA0">
              <w:rPr>
                <w:rStyle w:val="SpecialBold"/>
              </w:rPr>
              <w:t>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CA0" w:rsidP="002C1CA0">
            <w:pPr>
              <w:pStyle w:val="BodyText"/>
            </w:pPr>
            <w:r w:rsidRPr="002C1CA0">
              <w:t>Appropriate technique includes:</w:t>
            </w:r>
          </w:p>
          <w:p w:rsidR="00000000" w:rsidRPr="002C1CA0" w:rsidP="002C1CA0">
            <w:pPr>
              <w:pStyle w:val="ListBullet"/>
            </w:pPr>
            <w:r w:rsidRPr="002C1CA0">
              <w:t>selected differential equation which will yield required outcome</w:t>
            </w:r>
          </w:p>
          <w:p w:rsidR="00000000" w:rsidP="002C1CA0">
            <w:pPr>
              <w:pStyle w:val="ListBullet"/>
              <w:rPr>
                <w:lang w:val="en-NZ"/>
              </w:rPr>
            </w:pPr>
            <w:r w:rsidRPr="002C1CA0">
              <w:t>a technique which is appropriate for the available data and which is relevant to the problem</w:t>
            </w:r>
          </w:p>
        </w:tc>
      </w:tr>
      <w:tr w:rsidTr="002C1CA0">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CA0">
            <w:pPr>
              <w:pStyle w:val="BodyText"/>
              <w:rPr>
                <w:lang w:val="en-NZ"/>
              </w:rPr>
            </w:pPr>
            <w:r w:rsidRPr="002C1CA0">
              <w:rPr>
                <w:rStyle w:val="SpecialBold"/>
              </w:rPr>
              <w:t>Check answer</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CA0">
            <w:pPr>
              <w:pStyle w:val="BodyText"/>
              <w:rPr>
                <w:lang w:val="en-NZ"/>
              </w:rPr>
            </w:pPr>
            <w:r w:rsidRPr="002C1CA0">
              <w:t>Checking answer means that the answer is examined to ensure it is within the range of expected logical results</w:t>
            </w:r>
          </w:p>
        </w:tc>
      </w:tr>
      <w:tr w:rsidTr="002C1CA0">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CA0">
            <w:pPr>
              <w:pStyle w:val="BodyText"/>
              <w:rPr>
                <w:lang w:val="en-NZ"/>
              </w:rPr>
            </w:pPr>
            <w:r w:rsidRPr="002C1CA0">
              <w:rPr>
                <w:rStyle w:val="SpecialBold"/>
              </w:rPr>
              <w:t>Interpret answer</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CA0">
            <w:pPr>
              <w:pStyle w:val="BodyText"/>
              <w:rPr>
                <w:lang w:val="en-NZ"/>
              </w:rPr>
            </w:pPr>
            <w:r w:rsidRPr="002C1CA0">
              <w:t>Interpret answer means translating the result of the differential equation solution into a form which is useable by the relevant stakeholders</w:t>
            </w:r>
          </w:p>
        </w:tc>
      </w:tr>
      <w:tr w:rsidTr="002C1CA0">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CA0">
            <w:pPr>
              <w:pStyle w:val="BodyText"/>
              <w:rPr>
                <w:lang w:val="en-NZ"/>
              </w:rPr>
            </w:pPr>
            <w:r w:rsidRPr="002C1CA0">
              <w:rPr>
                <w:rStyle w:val="SpecialBold"/>
              </w:rPr>
              <w:t>Appropriate communication</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CA0" w:rsidP="002C1CA0">
            <w:pPr>
              <w:pStyle w:val="BodyText"/>
            </w:pPr>
            <w:r w:rsidRPr="002C1CA0">
              <w:t>Appropriate communication may include:</w:t>
            </w:r>
          </w:p>
          <w:p w:rsidR="00000000" w:rsidRPr="002C1CA0" w:rsidP="002C1CA0">
            <w:pPr>
              <w:pStyle w:val="ListBullet"/>
            </w:pPr>
            <w:r w:rsidRPr="002C1CA0">
              <w:t>report</w:t>
            </w:r>
          </w:p>
          <w:p w:rsidR="00000000" w:rsidRPr="002C1CA0" w:rsidP="002C1CA0">
            <w:pPr>
              <w:pStyle w:val="ListBullet"/>
            </w:pPr>
            <w:r w:rsidRPr="002C1CA0">
              <w:t>presentation</w:t>
            </w:r>
          </w:p>
          <w:p w:rsidR="00000000" w:rsidRPr="002C1CA0" w:rsidP="002C1CA0">
            <w:pPr>
              <w:pStyle w:val="ListBullet"/>
            </w:pPr>
            <w:r w:rsidRPr="002C1CA0">
              <w:t>verbal communication</w:t>
            </w:r>
          </w:p>
          <w:p w:rsidR="00000000" w:rsidRPr="002C1CA0" w:rsidP="002C1CA0">
            <w:pPr>
              <w:pStyle w:val="ListBullet"/>
            </w:pPr>
            <w:r w:rsidRPr="002C1CA0">
              <w:t>web-ba</w:t>
            </w:r>
            <w:r w:rsidRPr="002C1CA0">
              <w:t>sed</w:t>
            </w:r>
          </w:p>
          <w:p w:rsidR="00000000" w:rsidP="002C1CA0">
            <w:pPr>
              <w:pStyle w:val="ListBullet"/>
              <w:rPr>
                <w:lang w:val="en-NZ"/>
              </w:rPr>
            </w:pPr>
            <w:r w:rsidRPr="002C1CA0">
              <w:t>electronic or hard copy</w:t>
            </w:r>
          </w:p>
        </w:tc>
      </w:tr>
      <w:tr w:rsidTr="002C1CA0">
        <w:tblPrEx>
          <w:tblW w:w="9608" w:type="dxa"/>
          <w:tblLayout w:type="fixed"/>
          <w:tblCellMar>
            <w:left w:w="62" w:type="dxa"/>
            <w:right w:w="62" w:type="dxa"/>
          </w:tblCellMar>
          <w:tblLook w:val="0000"/>
        </w:tblPrEx>
        <w:tc>
          <w:tcPr>
            <w:tcW w:w="2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1CA0">
            <w:pPr>
              <w:pStyle w:val="BodyText"/>
              <w:rPr>
                <w:lang w:val="en-NZ"/>
              </w:rPr>
            </w:pPr>
            <w:r w:rsidRPr="002C1CA0">
              <w:rPr>
                <w:rStyle w:val="SpecialBold"/>
              </w:rPr>
              <w:t>Check outcome</w:t>
            </w:r>
          </w:p>
        </w:tc>
        <w:tc>
          <w:tcPr>
            <w:tcW w:w="69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1CA0" w:rsidP="002C1CA0">
            <w:pPr>
              <w:pStyle w:val="BodyText"/>
            </w:pPr>
            <w:r w:rsidRPr="002C1CA0">
              <w:t>Check outcome includes:</w:t>
            </w:r>
          </w:p>
          <w:p w:rsidR="00000000" w:rsidRPr="002C1CA0" w:rsidP="002C1CA0">
            <w:pPr>
              <w:pStyle w:val="ListBullet"/>
            </w:pPr>
            <w:r w:rsidRPr="002C1CA0">
              <w:t>ensuring that the result of the analysis does assist in the resolution of the problem</w:t>
            </w:r>
          </w:p>
        </w:tc>
      </w:tr>
    </w:tbl>
    <w:p w:rsidR="00CA31C6" w:rsidP="002C1CA0">
      <w:pPr>
        <w:pStyle w:val="BodyText"/>
      </w:pPr>
    </w:p>
    <w:p w:rsidR="00CA31C6" w:rsidP="002C1CA0">
      <w:pPr>
        <w:pStyle w:val="BodyText"/>
      </w:pPr>
    </w:p>
    <w:p w:rsidR="00000000" w:rsidRPr="002C1CA0" w:rsidP="002C1CA0">
      <w:pPr>
        <w:pStyle w:val="Heading1"/>
      </w:pPr>
      <w:bookmarkStart w:id="17" w:name="O_397289"/>
      <w:bookmarkEnd w:id="17"/>
      <w:r w:rsidRPr="002C1CA0">
        <w:t>Unit Sector(s)</w:t>
      </w:r>
    </w:p>
    <w:p w:rsidR="00000000" w:rsidRPr="002C1CA0" w:rsidP="002C1CA0">
      <w:pPr>
        <w:pStyle w:val="BodyText"/>
      </w:pPr>
      <w:r w:rsidRPr="002C1CA0">
        <w:t>Engineering practice</w:t>
      </w:r>
    </w:p>
    <w:p w:rsidR="00000000" w:rsidRPr="002C1CA0" w:rsidP="002C1CA0">
      <w:pPr>
        <w:pStyle w:val="AllowPageBreak"/>
      </w:pPr>
    </w:p>
    <w:p w:rsidR="00000000" w:rsidRPr="002C1CA0" w:rsidP="002C1CA0">
      <w:pPr>
        <w:pStyle w:val="Heading1"/>
      </w:pPr>
      <w:bookmarkStart w:id="18" w:name="O_397290"/>
      <w:bookmarkEnd w:id="18"/>
      <w:r w:rsidRPr="002C1CA0">
        <w:t>Custom Content Section</w:t>
      </w:r>
    </w:p>
    <w:p w:rsidR="00000000" w:rsidRPr="002C1CA0" w:rsidP="002C1CA0">
      <w:pPr>
        <w:pStyle w:val="BodyText"/>
      </w:pPr>
      <w:r w:rsidRPr="002C1CA0">
        <w:t>Not applicable.</w:t>
      </w:r>
    </w:p>
    <w:p w:rsidR="00000000" w:rsidRPr="002C1CA0" w:rsidP="002C1CA0"/>
    <w:sectPr w:rsidSect="002C1CA0">
      <w:headerReference w:type="default" r:id="rId15"/>
      <w:footerReference w:type="default" r:id="rId16"/>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1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1C6">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1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1C6" w:rsidP="002C1C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A31C6" w:rsidP="002C1CA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A31C6" w:rsidP="002C1CA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1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A31C6" w:rsidP="00CA31C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1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1C6" w:rsidP="002C1CA0">
    <w:pPr>
      <w:pStyle w:val="Header"/>
      <w:framePr w:wrap="around"/>
    </w:pPr>
    <w:r>
      <w:fldChar w:fldCharType="begin"/>
    </w:r>
    <w:r>
      <w:instrText xml:space="preserve"> TITLE   \* MERGEFORMAT </w:instrText>
    </w:r>
    <w:r>
      <w:fldChar w:fldCharType="separate"/>
    </w:r>
    <w:r>
      <w:t>MEM234023A Apply differential equations to technology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A31C6" w:rsidP="002C1CA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1AAD1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2E4AB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E4B3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CA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C1CA0"/>
    <w:pPr>
      <w:spacing w:before="360" w:after="60"/>
      <w:outlineLvl w:val="0"/>
    </w:pPr>
    <w:rPr>
      <w:sz w:val="32"/>
    </w:rPr>
  </w:style>
  <w:style w:type="paragraph" w:styleId="Heading2">
    <w:name w:val="heading 2"/>
    <w:basedOn w:val="HeadingBase"/>
    <w:next w:val="BodyText"/>
    <w:link w:val="Heading2Char"/>
    <w:qFormat/>
    <w:rsid w:val="002C1CA0"/>
    <w:pPr>
      <w:keepLines/>
      <w:spacing w:before="240" w:after="120"/>
      <w:outlineLvl w:val="1"/>
    </w:pPr>
    <w:rPr>
      <w:sz w:val="28"/>
      <w:szCs w:val="40"/>
    </w:rPr>
  </w:style>
  <w:style w:type="paragraph" w:styleId="Heading3">
    <w:name w:val="heading 3"/>
    <w:basedOn w:val="HeadingBase"/>
    <w:next w:val="BodyText"/>
    <w:link w:val="Heading3Char"/>
    <w:qFormat/>
    <w:rsid w:val="002C1CA0"/>
    <w:pPr>
      <w:spacing w:before="180" w:after="120"/>
      <w:outlineLvl w:val="2"/>
    </w:pPr>
    <w:rPr>
      <w:spacing w:val="-10"/>
      <w:kern w:val="32"/>
    </w:rPr>
  </w:style>
  <w:style w:type="paragraph" w:styleId="Heading4">
    <w:name w:val="heading 4"/>
    <w:basedOn w:val="HeadingBase"/>
    <w:next w:val="BodyText"/>
    <w:link w:val="Heading4Char"/>
    <w:qFormat/>
    <w:rsid w:val="002C1CA0"/>
    <w:pPr>
      <w:spacing w:before="160" w:after="120"/>
      <w:outlineLvl w:val="3"/>
    </w:pPr>
    <w:rPr>
      <w:sz w:val="22"/>
    </w:rPr>
  </w:style>
  <w:style w:type="paragraph" w:styleId="Heading5">
    <w:name w:val="heading 5"/>
    <w:basedOn w:val="HeadingBase"/>
    <w:next w:val="Normal"/>
    <w:link w:val="Heading5Char"/>
    <w:qFormat/>
    <w:rsid w:val="002C1CA0"/>
    <w:pPr>
      <w:spacing w:before="80"/>
      <w:outlineLvl w:val="4"/>
    </w:pPr>
    <w:rPr>
      <w:color w:val="918585"/>
      <w:sz w:val="20"/>
    </w:rPr>
  </w:style>
  <w:style w:type="paragraph" w:styleId="Heading6">
    <w:name w:val="heading 6"/>
    <w:basedOn w:val="HeadingBase"/>
    <w:next w:val="Normal"/>
    <w:link w:val="Heading6Char"/>
    <w:qFormat/>
    <w:rsid w:val="002C1CA0"/>
    <w:pPr>
      <w:spacing w:before="60"/>
      <w:outlineLvl w:val="5"/>
    </w:pPr>
    <w:rPr>
      <w:color w:val="918585"/>
      <w:sz w:val="20"/>
    </w:rPr>
  </w:style>
  <w:style w:type="paragraph" w:styleId="Heading7">
    <w:name w:val="heading 7"/>
    <w:basedOn w:val="Normal"/>
    <w:next w:val="Normal"/>
    <w:link w:val="Heading7Char"/>
    <w:qFormat/>
    <w:rsid w:val="002C1CA0"/>
    <w:pPr>
      <w:ind w:left="720"/>
      <w:outlineLvl w:val="6"/>
    </w:pPr>
    <w:rPr>
      <w:i/>
    </w:rPr>
  </w:style>
  <w:style w:type="paragraph" w:styleId="Heading8">
    <w:name w:val="heading 8"/>
    <w:basedOn w:val="Normal"/>
    <w:next w:val="Normal"/>
    <w:link w:val="Heading8Char"/>
    <w:qFormat/>
    <w:rsid w:val="002C1CA0"/>
    <w:pPr>
      <w:ind w:left="720"/>
      <w:outlineLvl w:val="7"/>
    </w:pPr>
    <w:rPr>
      <w:i/>
    </w:rPr>
  </w:style>
  <w:style w:type="paragraph" w:styleId="Heading9">
    <w:name w:val="heading 9"/>
    <w:basedOn w:val="Normal"/>
    <w:next w:val="Normal"/>
    <w:link w:val="Heading9Char"/>
    <w:qFormat/>
    <w:rsid w:val="002C1CA0"/>
    <w:pPr>
      <w:ind w:left="720"/>
      <w:outlineLvl w:val="8"/>
    </w:pPr>
    <w:rPr>
      <w:i/>
    </w:rPr>
  </w:style>
  <w:style w:type="character" w:default="1" w:styleId="DefaultParagraphFont">
    <w:name w:val="Default Paragraph Font"/>
    <w:uiPriority w:val="1"/>
    <w:unhideWhenUsed/>
    <w:rsid w:val="002C1C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CA0"/>
  </w:style>
  <w:style w:type="character" w:customStyle="1" w:styleId="Heading1Char">
    <w:name w:val="Heading 1 Char"/>
    <w:link w:val="Heading1"/>
    <w:rsid w:val="002C1CA0"/>
    <w:rPr>
      <w:rFonts w:ascii="Times New Roman" w:eastAsia="Times New Roman" w:hAnsi="Times New Roman" w:cs="Times New Roman"/>
      <w:b/>
      <w:sz w:val="32"/>
      <w:szCs w:val="20"/>
      <w:lang w:eastAsia="en-US"/>
    </w:rPr>
  </w:style>
  <w:style w:type="paragraph" w:styleId="BodyText">
    <w:name w:val="Body Text"/>
    <w:basedOn w:val="Normal"/>
    <w:link w:val="BodyTextChar"/>
    <w:rsid w:val="002C1CA0"/>
    <w:pPr>
      <w:spacing w:before="120" w:after="120"/>
      <w:contextualSpacing/>
    </w:pPr>
    <w:rPr>
      <w:rFonts w:ascii="Times New Roman" w:hAnsi="Times New Roman"/>
      <w:sz w:val="24"/>
      <w:szCs w:val="22"/>
    </w:rPr>
  </w:style>
  <w:style w:type="character" w:customStyle="1" w:styleId="BodyTextChar">
    <w:name w:val="Body Text Char"/>
    <w:link w:val="BodyText"/>
    <w:rsid w:val="002C1CA0"/>
    <w:rPr>
      <w:rFonts w:ascii="Times New Roman" w:eastAsia="Times New Roman" w:hAnsi="Times New Roman" w:cs="Times New Roman"/>
      <w:sz w:val="24"/>
      <w:lang w:val="en-US" w:eastAsia="en-US"/>
    </w:rPr>
  </w:style>
  <w:style w:type="paragraph" w:styleId="Footer">
    <w:name w:val="footer"/>
    <w:basedOn w:val="Normal"/>
    <w:link w:val="FooterChar"/>
    <w:rsid w:val="002C1C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C1CA0"/>
    <w:rPr>
      <w:rFonts w:ascii="Times New Roman" w:eastAsia="Times New Roman" w:hAnsi="Times New Roman" w:cs="Times New Roman"/>
      <w:sz w:val="16"/>
      <w:lang w:val="en-US" w:eastAsia="en-US"/>
    </w:rPr>
  </w:style>
  <w:style w:type="paragraph" w:styleId="ListBullet">
    <w:name w:val="List Bullet"/>
    <w:basedOn w:val="List"/>
    <w:rsid w:val="002C1CA0"/>
    <w:pPr>
      <w:numPr>
        <w:numId w:val="13"/>
      </w:numPr>
      <w:tabs>
        <w:tab w:val="clear" w:pos="340"/>
      </w:tabs>
      <w:spacing w:before="40" w:after="40"/>
    </w:pPr>
  </w:style>
  <w:style w:type="character" w:customStyle="1" w:styleId="SpecialBold">
    <w:name w:val="Special Bold"/>
    <w:rsid w:val="002C1CA0"/>
    <w:rPr>
      <w:b/>
      <w:spacing w:val="0"/>
    </w:rPr>
  </w:style>
  <w:style w:type="paragraph" w:styleId="ListBullet2">
    <w:name w:val="List Bullet 2"/>
    <w:basedOn w:val="List2"/>
    <w:rsid w:val="002C1CA0"/>
    <w:pPr>
      <w:numPr>
        <w:numId w:val="14"/>
      </w:numPr>
      <w:tabs>
        <w:tab w:val="clear" w:pos="680"/>
      </w:tabs>
    </w:pPr>
  </w:style>
  <w:style w:type="paragraph" w:styleId="Header">
    <w:name w:val="header"/>
    <w:basedOn w:val="Normal"/>
    <w:link w:val="HeaderChar"/>
    <w:rsid w:val="002C1C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C1CA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C1CA0"/>
    <w:pPr>
      <w:spacing w:before="240" w:after="120"/>
      <w:outlineLvl w:val="0"/>
    </w:pPr>
    <w:rPr>
      <w:rFonts w:ascii="Times New Roman" w:hAnsi="Times New Roman"/>
      <w:b/>
      <w:sz w:val="28"/>
    </w:rPr>
  </w:style>
  <w:style w:type="paragraph" w:customStyle="1" w:styleId="AllowPageBreak">
    <w:name w:val="AllowPageBreak"/>
    <w:rsid w:val="002C1C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C1CA0"/>
    <w:rPr>
      <w:rFonts w:ascii="Times New Roman" w:eastAsia="Times New Roman" w:hAnsi="Times New Roman" w:cs="Times New Roman"/>
      <w:b/>
      <w:sz w:val="28"/>
      <w:szCs w:val="40"/>
      <w:lang w:eastAsia="en-US"/>
    </w:rPr>
  </w:style>
  <w:style w:type="character" w:customStyle="1" w:styleId="Heading3Char">
    <w:name w:val="Heading 3 Char"/>
    <w:link w:val="Heading3"/>
    <w:rsid w:val="002C1CA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C1CA0"/>
    <w:rPr>
      <w:rFonts w:ascii="Times New Roman" w:eastAsia="Times New Roman" w:hAnsi="Times New Roman" w:cs="Times New Roman"/>
      <w:b/>
      <w:szCs w:val="20"/>
      <w:lang w:eastAsia="en-US"/>
    </w:rPr>
  </w:style>
  <w:style w:type="character" w:customStyle="1" w:styleId="Heading5Char">
    <w:name w:val="Heading 5 Char"/>
    <w:link w:val="Heading5"/>
    <w:rsid w:val="002C1CA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C1C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CA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C1CA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C1CA0"/>
    <w:rPr>
      <w:rFonts w:ascii="Courier New" w:eastAsia="Times New Roman" w:hAnsi="Courier New" w:cs="Times New Roman"/>
      <w:i/>
      <w:szCs w:val="20"/>
      <w:lang w:val="en-US" w:eastAsia="en-US"/>
    </w:rPr>
  </w:style>
  <w:style w:type="paragraph" w:customStyle="1" w:styleId="HeadingBase">
    <w:name w:val="Heading Base"/>
    <w:rsid w:val="002C1C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CA0"/>
    <w:pPr>
      <w:tabs>
        <w:tab w:val="right" w:leader="dot" w:pos="9072"/>
      </w:tabs>
      <w:ind w:left="567"/>
    </w:pPr>
    <w:rPr>
      <w:szCs w:val="22"/>
    </w:rPr>
  </w:style>
  <w:style w:type="paragraph" w:customStyle="1" w:styleId="TOCBase">
    <w:name w:val="TOC Base"/>
    <w:rsid w:val="002C1C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CA0"/>
    <w:pPr>
      <w:tabs>
        <w:tab w:val="right" w:leader="dot" w:pos="9072"/>
      </w:tabs>
      <w:spacing w:before="40" w:after="40"/>
      <w:ind w:left="284"/>
    </w:pPr>
    <w:rPr>
      <w:rFonts w:ascii="Times New Roman" w:hAnsi="Times New Roman"/>
    </w:rPr>
  </w:style>
  <w:style w:type="paragraph" w:styleId="TOC1">
    <w:name w:val="toc 1"/>
    <w:basedOn w:val="TOCBase"/>
    <w:next w:val="Normal"/>
    <w:rsid w:val="002C1CA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C1CA0"/>
    <w:pPr>
      <w:spacing w:before="5040"/>
      <w:jc w:val="center"/>
    </w:pPr>
    <w:rPr>
      <w:sz w:val="48"/>
      <w:szCs w:val="72"/>
      <w:lang w:val="en-US"/>
    </w:rPr>
  </w:style>
  <w:style w:type="character" w:customStyle="1" w:styleId="TitleChar">
    <w:name w:val="Title Char"/>
    <w:link w:val="Title"/>
    <w:rsid w:val="002C1C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CA0"/>
    <w:pPr>
      <w:tabs>
        <w:tab w:val="left" w:pos="3600"/>
        <w:tab w:val="left" w:pos="3958"/>
      </w:tabs>
    </w:pPr>
  </w:style>
  <w:style w:type="paragraph" w:styleId="List">
    <w:name w:val="List"/>
    <w:basedOn w:val="BodyText"/>
    <w:next w:val="BodyText"/>
    <w:rsid w:val="002C1CA0"/>
    <w:pPr>
      <w:tabs>
        <w:tab w:val="left" w:pos="340"/>
      </w:tabs>
      <w:spacing w:before="60" w:after="60"/>
      <w:ind w:left="340" w:hanging="340"/>
    </w:pPr>
  </w:style>
  <w:style w:type="paragraph" w:customStyle="1" w:styleId="Note">
    <w:name w:val="Note"/>
    <w:basedOn w:val="BodyText"/>
    <w:rsid w:val="002C1CA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1CA0"/>
    <w:pPr>
      <w:framePr w:wrap="auto" w:hAnchor="text" w:y="6049"/>
    </w:pPr>
    <w:rPr>
      <w:color w:val="000000"/>
      <w:sz w:val="40"/>
    </w:rPr>
  </w:style>
  <w:style w:type="paragraph" w:customStyle="1" w:styleId="TOCTitle">
    <w:name w:val="TOCTitle"/>
    <w:basedOn w:val="Heading1"/>
    <w:rsid w:val="002C1CA0"/>
    <w:pPr>
      <w:spacing w:after="240"/>
      <w:jc w:val="center"/>
      <w:outlineLvl w:val="9"/>
    </w:pPr>
    <w:rPr>
      <w:caps/>
    </w:rPr>
  </w:style>
  <w:style w:type="paragraph" w:customStyle="1" w:styleId="Version">
    <w:name w:val="Version"/>
    <w:rsid w:val="002C1CA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1CA0"/>
    <w:pPr>
      <w:keepNext w:val="0"/>
      <w:tabs>
        <w:tab w:val="right" w:pos="4176"/>
      </w:tabs>
      <w:ind w:left="198" w:hanging="198"/>
    </w:pPr>
    <w:rPr>
      <w:rFonts w:ascii="Garamond" w:hAnsi="Garamond"/>
    </w:rPr>
  </w:style>
  <w:style w:type="paragraph" w:styleId="IndexHeading">
    <w:name w:val="index heading"/>
    <w:basedOn w:val="Normal"/>
    <w:next w:val="Index1"/>
    <w:semiHidden/>
    <w:rsid w:val="002C1CA0"/>
    <w:pPr>
      <w:spacing w:before="120" w:after="120"/>
    </w:pPr>
    <w:rPr>
      <w:rFonts w:ascii="Arial" w:hAnsi="Arial"/>
      <w:b/>
      <w:color w:val="918585"/>
      <w:sz w:val="24"/>
    </w:rPr>
  </w:style>
  <w:style w:type="paragraph" w:customStyle="1" w:styleId="Chapter">
    <w:name w:val="Chapter"/>
    <w:basedOn w:val="Normal"/>
    <w:rsid w:val="002C1CA0"/>
    <w:pPr>
      <w:spacing w:before="240"/>
    </w:pPr>
    <w:rPr>
      <w:rFonts w:ascii="Times New Roman" w:hAnsi="Times New Roman"/>
      <w:smallCaps/>
      <w:spacing w:val="80"/>
      <w:sz w:val="28"/>
    </w:rPr>
  </w:style>
  <w:style w:type="paragraph" w:customStyle="1" w:styleId="InChapter">
    <w:name w:val="InChapter"/>
    <w:basedOn w:val="Heading3"/>
    <w:rsid w:val="002C1CA0"/>
    <w:pPr>
      <w:spacing w:after="240"/>
      <w:outlineLvl w:val="9"/>
    </w:pPr>
    <w:rPr>
      <w:noProof/>
    </w:rPr>
  </w:style>
  <w:style w:type="paragraph" w:styleId="Index2">
    <w:name w:val="index 2"/>
    <w:basedOn w:val="Normal"/>
    <w:next w:val="Normal"/>
    <w:semiHidden/>
    <w:rsid w:val="002C1CA0"/>
    <w:pPr>
      <w:tabs>
        <w:tab w:val="right" w:pos="4176"/>
      </w:tabs>
      <w:ind w:left="568" w:hanging="284"/>
    </w:pPr>
    <w:rPr>
      <w:rFonts w:ascii="Garamond" w:hAnsi="Garamond"/>
    </w:rPr>
  </w:style>
  <w:style w:type="paragraph" w:customStyle="1" w:styleId="Byline">
    <w:name w:val="Byline"/>
    <w:rsid w:val="002C1C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CA0"/>
    <w:pPr>
      <w:tabs>
        <w:tab w:val="clear" w:pos="3600"/>
        <w:tab w:val="clear" w:pos="3958"/>
      </w:tabs>
      <w:jc w:val="right"/>
    </w:pPr>
  </w:style>
  <w:style w:type="character" w:styleId="Emphasis">
    <w:name w:val="Emphasis"/>
    <w:qFormat/>
    <w:rsid w:val="002C1CA0"/>
    <w:rPr>
      <w:i/>
    </w:rPr>
  </w:style>
  <w:style w:type="paragraph" w:styleId="Caption">
    <w:name w:val="caption"/>
    <w:basedOn w:val="BodyText"/>
    <w:next w:val="Normal"/>
    <w:qFormat/>
    <w:rsid w:val="002C1CA0"/>
    <w:pPr>
      <w:framePr w:w="2268" w:hSpace="181" w:vSpace="181" w:wrap="around" w:vAnchor="text" w:hAnchor="page" w:x="1135" w:y="285" w:anchorLock="1"/>
    </w:pPr>
    <w:rPr>
      <w:i/>
    </w:rPr>
  </w:style>
  <w:style w:type="paragraph" w:customStyle="1" w:styleId="MiniTOCTitle">
    <w:name w:val="MiniTOCTitle"/>
    <w:basedOn w:val="Heading4"/>
    <w:rsid w:val="002C1CA0"/>
    <w:pPr>
      <w:spacing w:before="240"/>
      <w:outlineLvl w:val="9"/>
    </w:pPr>
    <w:rPr>
      <w:noProof/>
      <w:sz w:val="24"/>
    </w:rPr>
  </w:style>
  <w:style w:type="paragraph" w:customStyle="1" w:styleId="MiniTOCItem">
    <w:name w:val="MiniTOCItem"/>
    <w:basedOn w:val="ListBullet"/>
    <w:rsid w:val="002C1CA0"/>
    <w:pPr>
      <w:numPr>
        <w:numId w:val="0"/>
      </w:numPr>
      <w:tabs>
        <w:tab w:val="right" w:leader="dot" w:pos="6521"/>
      </w:tabs>
      <w:spacing w:before="0" w:after="0"/>
    </w:pPr>
  </w:style>
  <w:style w:type="paragraph" w:customStyle="1" w:styleId="TOFTitle">
    <w:name w:val="TOFTitle"/>
    <w:basedOn w:val="TOCTitle"/>
    <w:rsid w:val="002C1CA0"/>
  </w:style>
  <w:style w:type="paragraph" w:styleId="TableofFigures">
    <w:name w:val="table of figures"/>
    <w:basedOn w:val="Normal"/>
    <w:next w:val="Normal"/>
    <w:semiHidden/>
    <w:rsid w:val="002C1CA0"/>
    <w:pPr>
      <w:tabs>
        <w:tab w:val="right" w:leader="dot" w:pos="9072"/>
      </w:tabs>
      <w:ind w:left="970" w:hanging="403"/>
    </w:pPr>
    <w:rPr>
      <w:rFonts w:ascii="Times New Roman" w:hAnsi="Times New Roman"/>
      <w:b/>
    </w:rPr>
  </w:style>
  <w:style w:type="paragraph" w:styleId="ListNumber">
    <w:name w:val="List Number"/>
    <w:basedOn w:val="List"/>
    <w:rsid w:val="002C1CA0"/>
    <w:pPr>
      <w:numPr>
        <w:numId w:val="11"/>
      </w:numPr>
    </w:pPr>
  </w:style>
  <w:style w:type="character" w:customStyle="1" w:styleId="WingdingSymbols">
    <w:name w:val="Wingding Symbols"/>
    <w:rsid w:val="002C1CA0"/>
    <w:rPr>
      <w:rFonts w:ascii="Wingdings" w:hAnsi="Wingdings"/>
    </w:rPr>
  </w:style>
  <w:style w:type="paragraph" w:customStyle="1" w:styleId="TableHeading">
    <w:name w:val="Table Heading"/>
    <w:basedOn w:val="HeadingBase"/>
    <w:rsid w:val="002C1CA0"/>
    <w:pPr>
      <w:keepLines/>
      <w:pBdr>
        <w:bottom w:val="single" w:sz="6" w:space="1" w:color="918585"/>
      </w:pBdr>
      <w:spacing w:before="240"/>
    </w:pPr>
  </w:style>
  <w:style w:type="character" w:customStyle="1" w:styleId="HotSpot">
    <w:name w:val="HotSpot"/>
    <w:rsid w:val="002C1CA0"/>
    <w:rPr>
      <w:color w:val="0033CC"/>
      <w:u w:val="none"/>
    </w:rPr>
  </w:style>
  <w:style w:type="paragraph" w:customStyle="1" w:styleId="BodyTextRight">
    <w:name w:val="Body Text Right"/>
    <w:basedOn w:val="BodyText"/>
    <w:rsid w:val="002C1CA0"/>
    <w:pPr>
      <w:spacing w:before="0" w:after="0"/>
      <w:jc w:val="right"/>
    </w:pPr>
  </w:style>
  <w:style w:type="paragraph" w:styleId="Index3">
    <w:name w:val="index 3"/>
    <w:basedOn w:val="ListNumber2"/>
    <w:next w:val="Normal"/>
    <w:semiHidden/>
    <w:rsid w:val="002C1CA0"/>
    <w:pPr>
      <w:numPr>
        <w:numId w:val="0"/>
      </w:numPr>
      <w:tabs>
        <w:tab w:val="right" w:leader="dot" w:pos="4176"/>
      </w:tabs>
    </w:pPr>
  </w:style>
  <w:style w:type="paragraph" w:styleId="ListNumber2">
    <w:name w:val="List Number 2"/>
    <w:basedOn w:val="List2"/>
    <w:rsid w:val="002C1CA0"/>
    <w:pPr>
      <w:numPr>
        <w:numId w:val="10"/>
      </w:numPr>
      <w:tabs>
        <w:tab w:val="clear" w:pos="1060"/>
      </w:tabs>
    </w:pPr>
  </w:style>
  <w:style w:type="paragraph" w:customStyle="1" w:styleId="MarginNote">
    <w:name w:val="Margin Note"/>
    <w:basedOn w:val="BodyText"/>
    <w:rsid w:val="002C1C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C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C1CA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C1CA0"/>
    <w:rPr>
      <w:sz w:val="32"/>
    </w:rPr>
  </w:style>
  <w:style w:type="paragraph" w:customStyle="1" w:styleId="HeadingProcedure">
    <w:name w:val="Heading Procedure"/>
    <w:basedOn w:val="HeadingBase"/>
    <w:next w:val="Normal"/>
    <w:rsid w:val="002C1CA0"/>
    <w:pPr>
      <w:tabs>
        <w:tab w:val="left" w:pos="0"/>
      </w:tabs>
      <w:spacing w:before="120" w:after="60"/>
    </w:pPr>
    <w:rPr>
      <w:i/>
      <w:color w:val="918585"/>
      <w:sz w:val="22"/>
    </w:rPr>
  </w:style>
  <w:style w:type="paragraph" w:customStyle="1" w:styleId="TableBodyText">
    <w:name w:val="Table Body Text"/>
    <w:basedOn w:val="BodyText"/>
    <w:rsid w:val="002C1CA0"/>
    <w:pPr>
      <w:spacing w:before="60" w:after="60"/>
    </w:pPr>
  </w:style>
  <w:style w:type="paragraph" w:styleId="ListContinue">
    <w:name w:val="List Continue"/>
    <w:basedOn w:val="List"/>
    <w:rsid w:val="002C1CA0"/>
    <w:pPr>
      <w:ind w:firstLine="0"/>
    </w:pPr>
  </w:style>
  <w:style w:type="paragraph" w:customStyle="1" w:styleId="ListNote">
    <w:name w:val="List Note"/>
    <w:basedOn w:val="List"/>
    <w:rsid w:val="002C1CA0"/>
    <w:pPr>
      <w:pBdr>
        <w:top w:val="single" w:sz="6" w:space="2" w:color="918585"/>
        <w:bottom w:val="single" w:sz="6" w:space="2" w:color="918585"/>
      </w:pBdr>
      <w:tabs>
        <w:tab w:val="left" w:pos="1021"/>
      </w:tabs>
      <w:ind w:firstLine="0"/>
    </w:pPr>
  </w:style>
  <w:style w:type="paragraph" w:customStyle="1" w:styleId="Warning">
    <w:name w:val="Warning"/>
    <w:basedOn w:val="BodyText"/>
    <w:rsid w:val="002C1CA0"/>
    <w:pPr>
      <w:shd w:val="clear" w:color="auto" w:fill="D9D9D9"/>
      <w:tabs>
        <w:tab w:val="left" w:pos="992"/>
      </w:tabs>
      <w:ind w:left="119" w:right="119"/>
    </w:pPr>
    <w:rPr>
      <w:sz w:val="20"/>
    </w:rPr>
  </w:style>
  <w:style w:type="paragraph" w:customStyle="1" w:styleId="MarginIcons">
    <w:name w:val="Margin Icons"/>
    <w:basedOn w:val="BodyText"/>
    <w:rsid w:val="002C1CA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C1CA0"/>
    <w:rPr>
      <w:rFonts w:ascii="Courier New" w:hAnsi="Courier New"/>
    </w:rPr>
  </w:style>
  <w:style w:type="paragraph" w:customStyle="1" w:styleId="NoteBullet">
    <w:name w:val="Note Bullet"/>
    <w:basedOn w:val="Note"/>
    <w:rsid w:val="002C1CA0"/>
    <w:pPr>
      <w:tabs>
        <w:tab w:val="clear" w:pos="680"/>
      </w:tabs>
      <w:spacing w:before="60" w:after="60"/>
    </w:pPr>
  </w:style>
  <w:style w:type="paragraph" w:customStyle="1" w:styleId="SubHeading2">
    <w:name w:val="SubHeading2"/>
    <w:basedOn w:val="HeadingBase"/>
    <w:rsid w:val="002C1CA0"/>
    <w:pPr>
      <w:spacing w:before="240" w:after="60"/>
    </w:pPr>
    <w:rPr>
      <w:sz w:val="20"/>
    </w:rPr>
  </w:style>
  <w:style w:type="paragraph" w:customStyle="1" w:styleId="SubHeading1">
    <w:name w:val="SubHeading1"/>
    <w:basedOn w:val="HeadingBase"/>
    <w:rsid w:val="002C1CA0"/>
    <w:pPr>
      <w:spacing w:before="240" w:after="60"/>
    </w:pPr>
    <w:rPr>
      <w:color w:val="918585"/>
      <w:sz w:val="22"/>
    </w:rPr>
  </w:style>
  <w:style w:type="paragraph" w:customStyle="1" w:styleId="SideHeading">
    <w:name w:val="Side Heading"/>
    <w:basedOn w:val="HeadingBase"/>
    <w:rsid w:val="002C1C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CA0"/>
    <w:pPr>
      <w:numPr>
        <w:numId w:val="12"/>
      </w:numPr>
    </w:pPr>
  </w:style>
  <w:style w:type="paragraph" w:styleId="PlainText">
    <w:name w:val="Plain Text"/>
    <w:basedOn w:val="Normal"/>
    <w:link w:val="PlainTextChar"/>
    <w:rsid w:val="002C1CA0"/>
    <w:rPr>
      <w:sz w:val="20"/>
    </w:rPr>
  </w:style>
  <w:style w:type="character" w:customStyle="1" w:styleId="PlainTextChar">
    <w:name w:val="Plain Text Char"/>
    <w:basedOn w:val="DefaultParagraphFont"/>
    <w:link w:val="PlainText"/>
    <w:rsid w:val="002C1CA0"/>
    <w:rPr>
      <w:rFonts w:ascii="Courier New" w:eastAsia="Times New Roman" w:hAnsi="Courier New" w:cs="Times New Roman"/>
      <w:sz w:val="20"/>
      <w:szCs w:val="20"/>
      <w:lang w:val="en-US" w:eastAsia="en-US"/>
    </w:rPr>
  </w:style>
  <w:style w:type="character" w:customStyle="1" w:styleId="MenuOption">
    <w:name w:val="Menu Option"/>
    <w:rsid w:val="002C1CA0"/>
    <w:rPr>
      <w:b/>
      <w:smallCaps/>
    </w:rPr>
  </w:style>
  <w:style w:type="paragraph" w:customStyle="1" w:styleId="TableListNumber">
    <w:name w:val="Table List Number"/>
    <w:basedOn w:val="ListNumber"/>
    <w:rsid w:val="002C1CA0"/>
    <w:pPr>
      <w:numPr>
        <w:numId w:val="0"/>
      </w:numPr>
    </w:pPr>
  </w:style>
  <w:style w:type="paragraph" w:styleId="TOC4">
    <w:name w:val="toc 4"/>
    <w:basedOn w:val="TOCBase"/>
    <w:next w:val="Normal"/>
    <w:semiHidden/>
    <w:rsid w:val="002C1CA0"/>
    <w:pPr>
      <w:tabs>
        <w:tab w:val="right" w:leader="dot" w:pos="9071"/>
      </w:tabs>
      <w:ind w:left="1701"/>
    </w:pPr>
  </w:style>
  <w:style w:type="paragraph" w:customStyle="1" w:styleId="ListAlpha">
    <w:name w:val="List Alpha"/>
    <w:basedOn w:val="List"/>
    <w:rsid w:val="002C1CA0"/>
    <w:pPr>
      <w:numPr>
        <w:numId w:val="9"/>
      </w:numPr>
    </w:pPr>
  </w:style>
  <w:style w:type="paragraph" w:customStyle="1" w:styleId="ListAlpha2">
    <w:name w:val="List Alpha 2"/>
    <w:basedOn w:val="List2"/>
    <w:rsid w:val="002C1CA0"/>
    <w:pPr>
      <w:numPr>
        <w:numId w:val="8"/>
      </w:numPr>
    </w:pPr>
  </w:style>
  <w:style w:type="paragraph" w:styleId="List2">
    <w:name w:val="List 2"/>
    <w:basedOn w:val="BodyText"/>
    <w:rsid w:val="002C1CA0"/>
    <w:pPr>
      <w:tabs>
        <w:tab w:val="left" w:pos="680"/>
      </w:tabs>
      <w:spacing w:before="60" w:after="60"/>
      <w:ind w:left="680" w:hanging="340"/>
    </w:pPr>
  </w:style>
  <w:style w:type="paragraph" w:styleId="List3">
    <w:name w:val="List 3"/>
    <w:basedOn w:val="BodyText"/>
    <w:rsid w:val="002C1CA0"/>
    <w:pPr>
      <w:tabs>
        <w:tab w:val="left" w:pos="1021"/>
      </w:tabs>
      <w:spacing w:before="60" w:after="60"/>
      <w:ind w:left="1020" w:hanging="340"/>
    </w:pPr>
  </w:style>
  <w:style w:type="paragraph" w:styleId="List4">
    <w:name w:val="List 4"/>
    <w:basedOn w:val="BodyText"/>
    <w:rsid w:val="002C1CA0"/>
    <w:pPr>
      <w:tabs>
        <w:tab w:val="left" w:pos="1361"/>
      </w:tabs>
      <w:spacing w:before="60" w:after="60"/>
      <w:ind w:left="1361" w:hanging="340"/>
    </w:pPr>
  </w:style>
  <w:style w:type="paragraph" w:styleId="List5">
    <w:name w:val="List 5"/>
    <w:basedOn w:val="BodyText"/>
    <w:rsid w:val="002C1CA0"/>
    <w:pPr>
      <w:tabs>
        <w:tab w:val="left" w:pos="1701"/>
      </w:tabs>
      <w:spacing w:before="60" w:after="60"/>
      <w:ind w:left="1701" w:hanging="340"/>
    </w:pPr>
  </w:style>
  <w:style w:type="paragraph" w:styleId="ListBullet3">
    <w:name w:val="List Bullet 3"/>
    <w:basedOn w:val="List3"/>
    <w:rsid w:val="002C1CA0"/>
    <w:pPr>
      <w:numPr>
        <w:numId w:val="15"/>
      </w:numPr>
      <w:tabs>
        <w:tab w:val="clear" w:pos="1021"/>
      </w:tabs>
      <w:ind w:left="1037" w:hanging="357"/>
    </w:pPr>
  </w:style>
  <w:style w:type="paragraph" w:styleId="ListBullet4">
    <w:name w:val="List Bullet 4"/>
    <w:basedOn w:val="List4"/>
    <w:rsid w:val="002C1CA0"/>
    <w:pPr>
      <w:numPr>
        <w:numId w:val="3"/>
      </w:numPr>
    </w:pPr>
  </w:style>
  <w:style w:type="paragraph" w:styleId="ListBullet5">
    <w:name w:val="List Bullet 5"/>
    <w:basedOn w:val="List5"/>
    <w:rsid w:val="002C1CA0"/>
    <w:pPr>
      <w:numPr>
        <w:numId w:val="4"/>
      </w:numPr>
    </w:pPr>
  </w:style>
  <w:style w:type="paragraph" w:styleId="ListContinue2">
    <w:name w:val="List Continue 2"/>
    <w:basedOn w:val="List2"/>
    <w:rsid w:val="002C1CA0"/>
    <w:pPr>
      <w:ind w:firstLine="0"/>
    </w:pPr>
  </w:style>
  <w:style w:type="paragraph" w:styleId="ListContinue3">
    <w:name w:val="List Continue 3"/>
    <w:basedOn w:val="List3"/>
    <w:rsid w:val="002C1CA0"/>
    <w:pPr>
      <w:ind w:left="1021" w:firstLine="0"/>
    </w:pPr>
  </w:style>
  <w:style w:type="paragraph" w:styleId="ListContinue4">
    <w:name w:val="List Continue 4"/>
    <w:basedOn w:val="List4"/>
    <w:rsid w:val="002C1CA0"/>
    <w:pPr>
      <w:ind w:firstLine="0"/>
    </w:pPr>
  </w:style>
  <w:style w:type="paragraph" w:styleId="ListContinue5">
    <w:name w:val="List Continue 5"/>
    <w:basedOn w:val="List5"/>
    <w:rsid w:val="002C1CA0"/>
    <w:pPr>
      <w:ind w:firstLine="0"/>
    </w:pPr>
  </w:style>
  <w:style w:type="paragraph" w:styleId="ListNumber3">
    <w:name w:val="List Number 3"/>
    <w:basedOn w:val="List3"/>
    <w:rsid w:val="002C1CA0"/>
    <w:pPr>
      <w:numPr>
        <w:numId w:val="5"/>
      </w:numPr>
    </w:pPr>
  </w:style>
  <w:style w:type="paragraph" w:styleId="ListNumber4">
    <w:name w:val="List Number 4"/>
    <w:basedOn w:val="List4"/>
    <w:rsid w:val="002C1CA0"/>
    <w:pPr>
      <w:numPr>
        <w:numId w:val="6"/>
      </w:numPr>
    </w:pPr>
  </w:style>
  <w:style w:type="paragraph" w:styleId="ListNumber5">
    <w:name w:val="List Number 5"/>
    <w:basedOn w:val="List5"/>
    <w:rsid w:val="002C1CA0"/>
    <w:pPr>
      <w:numPr>
        <w:numId w:val="7"/>
      </w:numPr>
    </w:pPr>
  </w:style>
  <w:style w:type="paragraph" w:styleId="BlockText">
    <w:name w:val="Block Text"/>
    <w:basedOn w:val="Normal"/>
    <w:rsid w:val="002C1CA0"/>
    <w:pPr>
      <w:spacing w:after="120"/>
      <w:ind w:left="1440" w:right="1440"/>
    </w:pPr>
  </w:style>
  <w:style w:type="character" w:customStyle="1" w:styleId="Subscript">
    <w:name w:val="Subscript"/>
    <w:rsid w:val="002C1CA0"/>
    <w:rPr>
      <w:sz w:val="16"/>
      <w:vertAlign w:val="subscript"/>
    </w:rPr>
  </w:style>
  <w:style w:type="character" w:customStyle="1" w:styleId="Superscript">
    <w:name w:val="Superscript"/>
    <w:rsid w:val="002C1CA0"/>
    <w:rPr>
      <w:sz w:val="16"/>
      <w:vertAlign w:val="superscript"/>
    </w:rPr>
  </w:style>
  <w:style w:type="character" w:customStyle="1" w:styleId="Symbols">
    <w:name w:val="Symbols"/>
    <w:rsid w:val="002C1CA0"/>
    <w:rPr>
      <w:rFonts w:ascii="Symbol" w:hAnsi="Symbol"/>
    </w:rPr>
  </w:style>
  <w:style w:type="character" w:customStyle="1" w:styleId="MenuOptions">
    <w:name w:val="Menu Options"/>
    <w:rsid w:val="002C1CA0"/>
    <w:rPr>
      <w:rFonts w:ascii="Arial Narrow" w:hAnsi="Arial Narrow"/>
      <w:smallCaps/>
    </w:rPr>
  </w:style>
  <w:style w:type="character" w:customStyle="1" w:styleId="Buttons">
    <w:name w:val="Buttons"/>
    <w:rsid w:val="002C1CA0"/>
    <w:rPr>
      <w:b/>
    </w:rPr>
  </w:style>
  <w:style w:type="character" w:customStyle="1" w:styleId="Underlined">
    <w:name w:val="Underlined"/>
    <w:rsid w:val="002C1CA0"/>
    <w:rPr>
      <w:u w:val="single"/>
    </w:rPr>
  </w:style>
  <w:style w:type="paragraph" w:customStyle="1" w:styleId="TableBodyTextRight">
    <w:name w:val="Table Body Text Right"/>
    <w:basedOn w:val="TableBodyText"/>
    <w:rsid w:val="002C1CA0"/>
    <w:pPr>
      <w:widowControl w:val="0"/>
      <w:autoSpaceDE w:val="0"/>
      <w:autoSpaceDN w:val="0"/>
      <w:adjustRightInd w:val="0"/>
      <w:jc w:val="right"/>
    </w:pPr>
    <w:rPr>
      <w:rFonts w:cs="Arial"/>
      <w:szCs w:val="18"/>
    </w:rPr>
  </w:style>
  <w:style w:type="paragraph" w:customStyle="1" w:styleId="CopyrightText">
    <w:name w:val="Copyright Text"/>
    <w:basedOn w:val="BodyText"/>
    <w:rsid w:val="002C1CA0"/>
    <w:rPr>
      <w:sz w:val="18"/>
    </w:rPr>
  </w:style>
  <w:style w:type="paragraph" w:customStyle="1" w:styleId="BodySmallRight">
    <w:name w:val="Body Small Right"/>
    <w:basedOn w:val="BodyTextRight"/>
    <w:rsid w:val="002C1CA0"/>
    <w:rPr>
      <w:sz w:val="18"/>
      <w:szCs w:val="18"/>
    </w:rPr>
  </w:style>
  <w:style w:type="paragraph" w:customStyle="1" w:styleId="MarginEdition">
    <w:name w:val="Margin Edition"/>
    <w:basedOn w:val="MarginNote"/>
    <w:rsid w:val="002C1CA0"/>
    <w:pPr>
      <w:spacing w:before="0" w:after="0"/>
    </w:pPr>
    <w:rPr>
      <w:rFonts w:ascii="Times New Roman" w:hAnsi="Times New Roman"/>
      <w:color w:val="999999"/>
    </w:rPr>
  </w:style>
  <w:style w:type="paragraph" w:customStyle="1" w:styleId="Spacer">
    <w:name w:val="Spacer"/>
    <w:basedOn w:val="Normal"/>
    <w:rsid w:val="002C1CA0"/>
    <w:rPr>
      <w:sz w:val="2"/>
      <w:szCs w:val="2"/>
    </w:rPr>
  </w:style>
  <w:style w:type="character" w:customStyle="1" w:styleId="Small">
    <w:name w:val="Small"/>
    <w:rsid w:val="002C1CA0"/>
    <w:rPr>
      <w:sz w:val="16"/>
    </w:rPr>
  </w:style>
  <w:style w:type="paragraph" w:customStyle="1" w:styleId="WideTable">
    <w:name w:val="Wide Table"/>
    <w:basedOn w:val="Normal"/>
    <w:rsid w:val="002C1CA0"/>
    <w:pPr>
      <w:ind w:left="-1418"/>
    </w:pPr>
    <w:rPr>
      <w:sz w:val="2"/>
      <w:szCs w:val="2"/>
    </w:rPr>
  </w:style>
  <w:style w:type="character" w:styleId="PageNumber">
    <w:name w:val="page number"/>
    <w:rsid w:val="002C1CA0"/>
  </w:style>
  <w:style w:type="paragraph" w:styleId="Quote">
    <w:name w:val="Quote"/>
    <w:basedOn w:val="Heading1"/>
    <w:link w:val="QuoteChar"/>
    <w:qFormat/>
    <w:rsid w:val="002C1CA0"/>
    <w:rPr>
      <w:b w:val="0"/>
      <w:sz w:val="72"/>
      <w:szCs w:val="72"/>
      <w:lang w:val="en-NZ"/>
    </w:rPr>
  </w:style>
  <w:style w:type="character" w:customStyle="1" w:styleId="QuoteChar">
    <w:name w:val="Quote Char"/>
    <w:link w:val="Quote"/>
    <w:rsid w:val="002C1C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CA0"/>
    <w:pPr>
      <w:pageBreakBefore/>
    </w:pPr>
  </w:style>
  <w:style w:type="paragraph" w:customStyle="1" w:styleId="Border">
    <w:name w:val="Border"/>
    <w:basedOn w:val="Normal"/>
    <w:qFormat/>
    <w:rsid w:val="002C1CA0"/>
    <w:pPr>
      <w:pBdr>
        <w:top w:val="single" w:sz="18" w:space="1" w:color="auto"/>
      </w:pBdr>
    </w:pPr>
    <w:rPr>
      <w:rFonts w:ascii="Times New Roman" w:hAnsi="Times New Roman"/>
      <w:color w:val="FFFFFF"/>
      <w:sz w:val="2"/>
    </w:rPr>
  </w:style>
  <w:style w:type="character" w:styleId="IntenseEmphasis">
    <w:name w:val="Intense Emphasis"/>
    <w:uiPriority w:val="21"/>
    <w:qFormat/>
    <w:rsid w:val="002C1CA0"/>
    <w:rPr>
      <w:b/>
      <w:bCs/>
      <w:i/>
      <w:iCs/>
      <w:color w:val="auto"/>
    </w:rPr>
  </w:style>
  <w:style w:type="paragraph" w:styleId="IntenseQuote">
    <w:name w:val="Intense Quote"/>
    <w:basedOn w:val="Normal"/>
    <w:next w:val="Normal"/>
    <w:link w:val="IntenseQuoteChar"/>
    <w:uiPriority w:val="30"/>
    <w:qFormat/>
    <w:rsid w:val="002C1CA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C1CA0"/>
    <w:rPr>
      <w:rFonts w:ascii="Courier New" w:eastAsia="Times New Roman" w:hAnsi="Courier New" w:cs="Times New Roman"/>
      <w:b/>
      <w:bCs/>
      <w:i/>
      <w:iCs/>
      <w:szCs w:val="20"/>
      <w:lang w:val="en-US" w:eastAsia="en-US"/>
    </w:rPr>
  </w:style>
  <w:style w:type="character" w:styleId="SubtleReference">
    <w:name w:val="Subtle Reference"/>
    <w:uiPriority w:val="31"/>
    <w:qFormat/>
    <w:rsid w:val="002C1CA0"/>
    <w:rPr>
      <w:smallCaps/>
      <w:color w:val="auto"/>
      <w:u w:val="single"/>
    </w:rPr>
  </w:style>
  <w:style w:type="character" w:styleId="IntenseReference">
    <w:name w:val="Intense Reference"/>
    <w:uiPriority w:val="32"/>
    <w:qFormat/>
    <w:rsid w:val="002C1CA0"/>
    <w:rPr>
      <w:b/>
      <w:bCs/>
      <w:smallCaps/>
      <w:color w:val="auto"/>
      <w:spacing w:val="5"/>
      <w:u w:val="single"/>
    </w:rPr>
  </w:style>
  <w:style w:type="paragraph" w:customStyle="1" w:styleId="2ColumnHeading">
    <w:name w:val="2Column Heading"/>
    <w:basedOn w:val="BodyText"/>
    <w:qFormat/>
    <w:rsid w:val="002C1CA0"/>
    <w:pPr>
      <w:spacing w:after="60"/>
      <w:ind w:left="-2268"/>
    </w:pPr>
    <w:rPr>
      <w:b/>
    </w:rPr>
  </w:style>
  <w:style w:type="paragraph" w:customStyle="1" w:styleId="Heading1TOC">
    <w:name w:val="Heading1 TOC"/>
    <w:basedOn w:val="Normal"/>
    <w:qFormat/>
    <w:rsid w:val="002C1CA0"/>
    <w:pPr>
      <w:spacing w:before="240" w:after="120"/>
    </w:pPr>
    <w:rPr>
      <w:rFonts w:ascii="Times New Roman" w:hAnsi="Times New Roman"/>
      <w:b/>
      <w:sz w:val="32"/>
    </w:rPr>
  </w:style>
  <w:style w:type="paragraph" w:customStyle="1" w:styleId="Heading2TOC">
    <w:name w:val="Heading2 TOC"/>
    <w:basedOn w:val="Normal"/>
    <w:qFormat/>
    <w:rsid w:val="002C1CA0"/>
    <w:pPr>
      <w:spacing w:before="240" w:after="60"/>
    </w:pPr>
    <w:rPr>
      <w:rFonts w:ascii="Times New Roman" w:hAnsi="Times New Roman"/>
      <w:b/>
      <w:sz w:val="28"/>
    </w:rPr>
  </w:style>
  <w:style w:type="character" w:customStyle="1" w:styleId="Underline">
    <w:name w:val="Underline"/>
    <w:qFormat/>
    <w:rsid w:val="002C1CA0"/>
    <w:rPr>
      <w:u w:val="single"/>
    </w:rPr>
  </w:style>
  <w:style w:type="character" w:customStyle="1" w:styleId="BoldandItalics">
    <w:name w:val="Bold and Italics"/>
    <w:qFormat/>
    <w:rsid w:val="002C1CA0"/>
    <w:rPr>
      <w:b/>
      <w:i/>
      <w:u w:val="none"/>
    </w:rPr>
  </w:style>
  <w:style w:type="paragraph" w:styleId="BalloonText">
    <w:name w:val="Balloon Text"/>
    <w:basedOn w:val="Normal"/>
    <w:link w:val="BalloonTextChar"/>
    <w:rsid w:val="002C1CA0"/>
    <w:rPr>
      <w:rFonts w:ascii="Tahoma" w:hAnsi="Tahoma" w:cs="Tahoma"/>
      <w:sz w:val="16"/>
      <w:szCs w:val="16"/>
    </w:rPr>
  </w:style>
  <w:style w:type="character" w:customStyle="1" w:styleId="BalloonTextChar">
    <w:name w:val="Balloon Text Char"/>
    <w:link w:val="BalloonText"/>
    <w:rsid w:val="002C1CA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C1CA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C1CA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image" Target="media/image3.png" /><Relationship Id="rId12" Type="http://schemas.openxmlformats.org/officeDocument/2006/relationships/image" Target="media/image4.png" /><Relationship Id="rId13" Type="http://schemas.openxmlformats.org/officeDocument/2006/relationships/image" Target="media/image5.png" /><Relationship Id="rId14" Type="http://schemas.openxmlformats.org/officeDocument/2006/relationships/image" Target="media/image6.png" /><Relationship Id="rId15" Type="http://schemas.openxmlformats.org/officeDocument/2006/relationships/header" Target="header4.xml" /><Relationship Id="rId16" Type="http://schemas.openxmlformats.org/officeDocument/2006/relationships/footer" Target="foot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1153</Words>
  <Characters>7061</Characters>
  <Application>Microsoft Office Word</Application>
  <DocSecurity>0</DocSecurity>
  <Lines>268</Lines>
  <Paragraphs>153</Paragraphs>
  <ScaleCrop>false</ScaleCrop>
  <Company>Author-it Software Corporation Ltd.</Company>
  <LinksUpToDate>false</LinksUpToDate>
  <CharactersWithSpaces>8122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MEM234023A Apply differential equations to technology problems</dc:title>
  <dc:subject>Approved</dc:subject>
  <dc:creator>Manufacturing Skills Australia</dc:creator>
  <cp:keywords>Release: 1</cp:keywords>
  <dc:description>Copyright © 1996-2007 Author-it Software Corporation Ltd., all rights reserved.</dc:description>
  <cp:lastModifiedBy>Andrew Campey</cp:lastModifiedBy>
  <cp:revision>3</cp:revision>
  <dcterms:created xsi:type="dcterms:W3CDTF">2012-05-26T18:20:00Z</dcterms:created>
  <dcterms:modified xsi:type="dcterms:W3CDTF">2012-05-26T18:20:00Z</dcterms:modified>
</cp:coreProperties>
</file>