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5C4D" w:rsidP="00B65C4D">
      <w:pPr>
        <w:pStyle w:val="Title"/>
      </w:pPr>
      <w:r>
        <w:fldChar w:fldCharType="begin"/>
      </w:r>
      <w:r>
        <w:instrText xml:space="preserve"> TITLE   \* MERGEFORMAT </w:instrText>
      </w:r>
      <w:r>
        <w:fldChar w:fldCharType="separate"/>
      </w:r>
      <w:r>
        <w:t>MEM234019A Apply finite element analysis in engineering design</w:t>
      </w:r>
      <w:r>
        <w:fldChar w:fldCharType="end"/>
      </w:r>
    </w:p>
    <w:p w:rsidR="00B65C4D" w:rsidP="00B65C4D">
      <w:pPr>
        <w:pStyle w:val="Version"/>
        <w:sectPr w:rsidSect="00E13A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3A60" w:rsidP="00E13A60">
      <w:pPr>
        <w:pStyle w:val="SuperHeading"/>
      </w:pPr>
      <w:r w:rsidRPr="00E13A60">
        <w:t>MEM234019A Apply finite element analysis in engineering design</w:t>
      </w:r>
    </w:p>
    <w:p w:rsidR="00000000" w:rsidRPr="00E13A60" w:rsidP="00E13A60">
      <w:pPr>
        <w:pStyle w:val="Heading1"/>
      </w:pPr>
      <w:bookmarkStart w:id="1" w:name="O_397202"/>
      <w:bookmarkEnd w:id="1"/>
      <w:r w:rsidRPr="00E13A60">
        <w:t>Modification History</w:t>
      </w:r>
    </w:p>
    <w:p w:rsidR="00000000" w:rsidRPr="00E13A60" w:rsidP="00E13A60">
      <w:pPr>
        <w:pStyle w:val="BodyText"/>
      </w:pPr>
      <w:r w:rsidRPr="00E13A60">
        <w:t>New unit</w:t>
      </w:r>
    </w:p>
    <w:p w:rsidR="00000000" w:rsidRPr="00E13A60" w:rsidP="00E13A60">
      <w:pPr>
        <w:pStyle w:val="AllowPageBreak"/>
      </w:pPr>
    </w:p>
    <w:p w:rsidR="00000000" w:rsidRPr="00E13A60" w:rsidP="00E13A60">
      <w:pPr>
        <w:pStyle w:val="Heading1"/>
      </w:pPr>
      <w:bookmarkStart w:id="2" w:name="O_397203"/>
      <w:bookmarkEnd w:id="2"/>
      <w:r w:rsidRPr="00E13A60">
        <w:t>Unit Descriptor</w:t>
      </w:r>
    </w:p>
    <w:p w:rsidR="00000000" w:rsidRPr="00E13A60" w:rsidP="00E13A60">
      <w:pPr>
        <w:pStyle w:val="BodyText"/>
      </w:pPr>
      <w:r w:rsidRPr="00E13A60">
        <w:t>This unit of competency covers the application of finite element analysis (FEA) for engineering design and mod</w:t>
      </w:r>
      <w:r w:rsidRPr="00E13A60">
        <w:t>ification analyses, including stress analysis, displacements and natural frequencies, and temperature and heat distributions in engineering or related applications.</w:t>
      </w:r>
    </w:p>
    <w:p w:rsidR="00000000" w:rsidRPr="00E13A60" w:rsidP="00E13A60">
      <w:pPr>
        <w:pStyle w:val="AllowPageBreak"/>
      </w:pPr>
    </w:p>
    <w:p w:rsidR="00000000" w:rsidRPr="00E13A60" w:rsidP="00E13A60">
      <w:pPr>
        <w:pStyle w:val="Heading1"/>
      </w:pPr>
      <w:bookmarkStart w:id="3" w:name="O_397204"/>
      <w:bookmarkEnd w:id="3"/>
      <w:r w:rsidRPr="00E13A60">
        <w:t>Application of the Unit</w:t>
      </w:r>
    </w:p>
    <w:p w:rsidR="00000000" w:rsidRPr="00E13A60" w:rsidP="00E13A60">
      <w:pPr>
        <w:pStyle w:val="BodyText"/>
      </w:pPr>
      <w:r w:rsidRPr="00E13A60">
        <w:t>This unit applies to engineering or related applic</w:t>
      </w:r>
      <w:r w:rsidRPr="00E13A60">
        <w:t>ations across all forms of manufacturing and engineering. It is suitable for people with structural, plant or equipment design or maintenance responsibilities, and those pursuing engineering or related qualifications and careers.</w:t>
      </w:r>
    </w:p>
    <w:p w:rsidR="00000000" w:rsidRPr="00E13A60" w:rsidP="00E13A60">
      <w:pPr>
        <w:pStyle w:val="BodyText"/>
      </w:pPr>
    </w:p>
    <w:p w:rsidR="00000000" w:rsidRPr="00E13A60" w:rsidP="00E13A60">
      <w:pPr>
        <w:pStyle w:val="BodyText"/>
      </w:pPr>
      <w:r w:rsidRPr="00E13A60">
        <w:t>Prior experience in mecha</w:t>
      </w:r>
      <w:r w:rsidRPr="00E13A60">
        <w:t>nics, mathematics and computing techniques and computer-aided design (CAD) is required and areas, such as thermodynamics or structures, depending on the application of the FEA.</w:t>
      </w:r>
    </w:p>
    <w:p w:rsidR="00000000" w:rsidRPr="00E13A60" w:rsidP="00E13A60">
      <w:pPr>
        <w:pStyle w:val="AllowPageBreak"/>
      </w:pPr>
    </w:p>
    <w:p w:rsidR="00000000" w:rsidRPr="00E13A60" w:rsidP="00E13A60">
      <w:pPr>
        <w:pStyle w:val="Heading1"/>
      </w:pPr>
      <w:bookmarkStart w:id="4" w:name="O_397205"/>
      <w:bookmarkEnd w:id="4"/>
      <w:r w:rsidRPr="00E13A60">
        <w:t>Licensing/Regulatory Information</w:t>
      </w:r>
    </w:p>
    <w:p w:rsidR="00000000" w:rsidRPr="00E13A60" w:rsidP="00E13A60">
      <w:pPr>
        <w:pStyle w:val="BodyText"/>
      </w:pPr>
      <w:r w:rsidRPr="00E13A60">
        <w:t>Not applicable.</w:t>
      </w:r>
    </w:p>
    <w:p w:rsidR="00000000" w:rsidRPr="00E13A60" w:rsidP="00E13A60">
      <w:pPr>
        <w:pStyle w:val="AllowPageBreak"/>
      </w:pPr>
    </w:p>
    <w:p w:rsidR="00000000" w:rsidRPr="00E13A60" w:rsidP="00E13A60">
      <w:pPr>
        <w:pStyle w:val="Heading1"/>
      </w:pPr>
      <w:bookmarkStart w:id="5" w:name="O_397206"/>
      <w:bookmarkEnd w:id="5"/>
      <w:r w:rsidRPr="00E13A60">
        <w:t>Pre-Requisites</w:t>
      </w:r>
    </w:p>
    <w:p w:rsidR="00000000" w:rsidRPr="00E13A60" w:rsidP="00E13A60">
      <w:pPr>
        <w:pStyle w:val="BodyText"/>
      </w:pPr>
      <w:r w:rsidRPr="00E13A60">
        <w:t>Not applicable.</w:t>
      </w:r>
    </w:p>
    <w:p w:rsidR="00000000" w:rsidRPr="00E13A60" w:rsidP="00E13A60">
      <w:pPr>
        <w:pStyle w:val="AllowPageBreak"/>
      </w:pPr>
    </w:p>
    <w:p w:rsidR="00000000" w:rsidRPr="00E13A60" w:rsidP="00E13A60">
      <w:pPr>
        <w:pStyle w:val="Heading1"/>
      </w:pPr>
      <w:bookmarkStart w:id="6" w:name="O_397207"/>
      <w:bookmarkEnd w:id="6"/>
      <w:r w:rsidRPr="00E13A60">
        <w:t>Employability Skills Information</w:t>
      </w:r>
    </w:p>
    <w:p w:rsidR="00000000" w:rsidRPr="00E13A60" w:rsidP="00E13A60">
      <w:pPr>
        <w:pStyle w:val="BodyText"/>
      </w:pPr>
      <w:r w:rsidRPr="00E13A60">
        <w:t>This unit contains employability skills.</w:t>
      </w:r>
    </w:p>
    <w:p w:rsidR="00000000" w:rsidRPr="00E13A60" w:rsidP="00E13A60">
      <w:pPr>
        <w:pStyle w:val="AllowPageBreak"/>
      </w:pPr>
    </w:p>
    <w:p w:rsidR="00000000" w:rsidRPr="00E13A60" w:rsidP="00E13A60">
      <w:pPr>
        <w:pStyle w:val="Heading1"/>
      </w:pPr>
      <w:bookmarkStart w:id="7" w:name="O_397208"/>
      <w:bookmarkEnd w:id="7"/>
      <w:r w:rsidRPr="00E13A60">
        <w:t>Elements and Performance Criteria Pre-Content</w:t>
      </w:r>
    </w:p>
    <w:tbl>
      <w:tblPr>
        <w:tblW w:w="0" w:type="auto"/>
        <w:tblLayout w:type="fixed"/>
        <w:tblCellMar>
          <w:left w:w="62" w:type="dxa"/>
          <w:right w:w="62" w:type="dxa"/>
        </w:tblCellMar>
        <w:tblLook w:val="0000"/>
      </w:tblPr>
      <w:tblGrid>
        <w:gridCol w:w="2640"/>
        <w:gridCol w:w="6380"/>
      </w:tblGrid>
      <w:tr w:rsidTr="00E13A60">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E13A60">
            <w:pPr>
              <w:pStyle w:val="BodyText"/>
              <w:rPr>
                <w:lang w:val="en-NZ"/>
              </w:rPr>
            </w:pPr>
            <w:r w:rsidRPr="00E13A60">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E13A60" w:rsidP="00E13A60">
            <w:pPr>
              <w:pStyle w:val="BodyText"/>
            </w:pPr>
            <w:r w:rsidRPr="00E13A60">
              <w:t>Performance criteria describe the performance needed to demonstrate achievement of the element. Where bold italicised text is used, further information is detailed in the required skills and</w:t>
            </w:r>
            <w:r w:rsidRPr="00E13A60">
              <w:t xml:space="preserve"> knowledge section and the range statement. Assessment of performance is to be consistent with the evidence guide.</w:t>
            </w:r>
          </w:p>
        </w:tc>
      </w:tr>
    </w:tbl>
    <w:p w:rsidR="00000000" w:rsidRPr="00E13A60" w:rsidP="00E13A60">
      <w:pPr>
        <w:pStyle w:val="BodyText"/>
      </w:pPr>
    </w:p>
    <w:p w:rsidR="00000000" w:rsidRPr="00E13A60" w:rsidP="00E13A60">
      <w:pPr>
        <w:pStyle w:val="AllowPageBreak"/>
      </w:pPr>
    </w:p>
    <w:p w:rsidR="00000000" w:rsidRPr="00E13A60" w:rsidP="00E13A60">
      <w:pPr>
        <w:pStyle w:val="Heading1"/>
      </w:pPr>
      <w:bookmarkStart w:id="8" w:name="O_397209"/>
      <w:bookmarkEnd w:id="8"/>
      <w:r w:rsidRPr="00E13A6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13A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13A60">
            <w:pPr>
              <w:pStyle w:val="BodyText"/>
              <w:rPr>
                <w:lang w:val="en-NZ"/>
              </w:rPr>
            </w:pPr>
            <w:r w:rsidRPr="00E13A60">
              <w:t>1</w:t>
            </w:r>
          </w:p>
        </w:tc>
        <w:tc>
          <w:tcPr>
            <w:tcW w:w="1962" w:type="dxa"/>
            <w:vMerge w:val="restart"/>
            <w:tcBorders>
              <w:top w:val="nil"/>
              <w:left w:val="nil"/>
              <w:bottom w:val="nil"/>
              <w:right w:val="nil"/>
            </w:tcBorders>
            <w:tcMar>
              <w:top w:w="0" w:type="dxa"/>
              <w:left w:w="62" w:type="dxa"/>
              <w:bottom w:w="0" w:type="dxa"/>
              <w:right w:w="62" w:type="dxa"/>
            </w:tcMar>
          </w:tcPr>
          <w:p w:rsidR="00000000" w:rsidRPr="00E13A60" w:rsidP="00E13A60">
            <w:pPr>
              <w:pStyle w:val="BodyText"/>
            </w:pPr>
            <w:r w:rsidRPr="00E13A60">
              <w:t>Integrate requirement for FEA into an engineering design application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3A60">
            <w:pPr>
              <w:pStyle w:val="BodyText"/>
              <w:rPr>
                <w:lang w:val="en-NZ"/>
              </w:rPr>
            </w:pPr>
            <w:r w:rsidRPr="00E13A60">
              <w:t>1.1</w:t>
            </w:r>
          </w:p>
        </w:tc>
        <w:tc>
          <w:tcPr>
            <w:tcW w:w="5610" w:type="dxa"/>
            <w:tcBorders>
              <w:top w:val="nil"/>
              <w:left w:val="nil"/>
              <w:bottom w:val="nil"/>
              <w:right w:val="nil"/>
            </w:tcBorders>
            <w:tcMar>
              <w:top w:w="0" w:type="dxa"/>
              <w:left w:w="62" w:type="dxa"/>
              <w:bottom w:w="0" w:type="dxa"/>
              <w:right w:w="62" w:type="dxa"/>
            </w:tcMar>
          </w:tcPr>
          <w:p w:rsidR="00000000" w:rsidP="00E13A60">
            <w:pPr>
              <w:pStyle w:val="BodyText"/>
              <w:rPr>
                <w:lang w:val="en-NZ"/>
              </w:rPr>
            </w:pPr>
            <w:r w:rsidRPr="00E13A60">
              <w:t>Establish fu</w:t>
            </w:r>
            <w:r w:rsidRPr="00E13A60">
              <w:t>nctions, features and performance parameters of plant, structure or equipment to be analysed</w:t>
            </w:r>
          </w:p>
        </w:tc>
      </w:tr>
      <w:tr w:rsidTr="00E13A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3A60">
            <w:pPr>
              <w:pStyle w:val="BodyText"/>
              <w:rPr>
                <w:lang w:val="en-NZ"/>
              </w:rPr>
            </w:pPr>
            <w:r w:rsidRPr="00E13A60">
              <w:t>1.2</w:t>
            </w:r>
          </w:p>
        </w:tc>
        <w:tc>
          <w:tcPr>
            <w:tcW w:w="5610" w:type="dxa"/>
            <w:tcBorders>
              <w:top w:val="nil"/>
              <w:left w:val="nil"/>
              <w:bottom w:val="nil"/>
              <w:right w:val="nil"/>
            </w:tcBorders>
            <w:tcMar>
              <w:top w:w="0" w:type="dxa"/>
              <w:left w:w="62" w:type="dxa"/>
              <w:bottom w:w="0" w:type="dxa"/>
              <w:right w:w="62" w:type="dxa"/>
            </w:tcMar>
          </w:tcPr>
          <w:p w:rsidR="00000000" w:rsidP="00E13A60">
            <w:pPr>
              <w:pStyle w:val="BodyText"/>
              <w:rPr>
                <w:lang w:val="en-NZ"/>
              </w:rPr>
            </w:pPr>
            <w:r w:rsidRPr="00E13A60">
              <w:t xml:space="preserve">Determine parameters to the brief or contract </w:t>
            </w:r>
          </w:p>
        </w:tc>
      </w:tr>
      <w:tr w:rsidTr="00E13A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3A60">
            <w:pPr>
              <w:pStyle w:val="BodyText"/>
              <w:rPr>
                <w:lang w:val="en-NZ"/>
              </w:rPr>
            </w:pPr>
            <w:r w:rsidRPr="00E13A60">
              <w:t>1.3</w:t>
            </w:r>
          </w:p>
        </w:tc>
        <w:tc>
          <w:tcPr>
            <w:tcW w:w="5610" w:type="dxa"/>
            <w:tcBorders>
              <w:top w:val="nil"/>
              <w:left w:val="nil"/>
              <w:bottom w:val="nil"/>
              <w:right w:val="nil"/>
            </w:tcBorders>
            <w:tcMar>
              <w:top w:w="0" w:type="dxa"/>
              <w:left w:w="62" w:type="dxa"/>
              <w:bottom w:w="0" w:type="dxa"/>
              <w:right w:w="62" w:type="dxa"/>
            </w:tcMar>
          </w:tcPr>
          <w:p w:rsidR="00000000" w:rsidP="00E13A60">
            <w:pPr>
              <w:pStyle w:val="BodyText"/>
              <w:rPr>
                <w:lang w:val="en-NZ"/>
              </w:rPr>
            </w:pPr>
            <w:r w:rsidRPr="00E13A60">
              <w:t>Determine occupational health and safety (OHS), regulatory, sustainability and environmental requirements of the application</w:t>
            </w:r>
          </w:p>
        </w:tc>
      </w:tr>
      <w:tr w:rsidTr="00E13A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3A60">
            <w:pPr>
              <w:pStyle w:val="BodyText"/>
              <w:rPr>
                <w:lang w:val="en-NZ"/>
              </w:rPr>
            </w:pPr>
            <w:r w:rsidRPr="00E13A60">
              <w:t>1.4</w:t>
            </w:r>
          </w:p>
        </w:tc>
        <w:tc>
          <w:tcPr>
            <w:tcW w:w="5610" w:type="dxa"/>
            <w:tcBorders>
              <w:top w:val="nil"/>
              <w:left w:val="nil"/>
              <w:bottom w:val="nil"/>
              <w:right w:val="nil"/>
            </w:tcBorders>
            <w:tcMar>
              <w:top w:w="0" w:type="dxa"/>
              <w:left w:w="62" w:type="dxa"/>
              <w:bottom w:w="0" w:type="dxa"/>
              <w:right w:w="62" w:type="dxa"/>
            </w:tcMar>
          </w:tcPr>
          <w:p w:rsidR="00000000" w:rsidRPr="00E13A60" w:rsidP="00E13A60">
            <w:pPr>
              <w:pStyle w:val="BodyText"/>
            </w:pPr>
            <w:r w:rsidRPr="00E13A60">
              <w:t xml:space="preserve">Provide initial advice based on discipline knowledge, OHS and regulatory standards relating to the suitability of using FEA </w:t>
            </w:r>
            <w:r w:rsidRPr="00E13A60">
              <w:t>as an analytical technique</w:t>
            </w:r>
          </w:p>
        </w:tc>
      </w:tr>
    </w:tbl>
    <w:p w:rsidR="00000000" w:rsidRPr="00E13A60" w:rsidP="00E13A60">
      <w:pPr>
        <w:pStyle w:val="BodyText"/>
      </w:pPr>
    </w:p>
    <w:tbl>
      <w:tblPr>
        <w:tblW w:w="0" w:type="auto"/>
        <w:tblLayout w:type="fixed"/>
        <w:tblCellMar>
          <w:left w:w="62" w:type="dxa"/>
          <w:right w:w="62" w:type="dxa"/>
        </w:tblCellMar>
        <w:tblLook w:val="0000"/>
      </w:tblPr>
      <w:tblGrid>
        <w:gridCol w:w="678"/>
        <w:gridCol w:w="1962"/>
        <w:gridCol w:w="770"/>
        <w:gridCol w:w="5610"/>
      </w:tblGrid>
      <w:tr w:rsidTr="00E13A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13A60">
            <w:pPr>
              <w:pStyle w:val="BodyText"/>
              <w:rPr>
                <w:lang w:val="en-NZ"/>
              </w:rPr>
            </w:pPr>
            <w:r w:rsidRPr="00E13A60">
              <w:t>2</w:t>
            </w:r>
          </w:p>
        </w:tc>
        <w:tc>
          <w:tcPr>
            <w:tcW w:w="1962" w:type="dxa"/>
            <w:vMerge w:val="restart"/>
            <w:tcBorders>
              <w:top w:val="nil"/>
              <w:left w:val="nil"/>
              <w:bottom w:val="nil"/>
              <w:right w:val="nil"/>
            </w:tcBorders>
            <w:tcMar>
              <w:top w:w="0" w:type="dxa"/>
              <w:left w:w="62" w:type="dxa"/>
              <w:bottom w:w="0" w:type="dxa"/>
              <w:right w:w="62" w:type="dxa"/>
            </w:tcMar>
          </w:tcPr>
          <w:p w:rsidR="00000000" w:rsidRPr="00E13A60" w:rsidP="00E13A60">
            <w:pPr>
              <w:pStyle w:val="BodyText"/>
            </w:pPr>
            <w:r w:rsidRPr="00E13A60">
              <w:t>Apply FEA solution techniques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3A60">
            <w:pPr>
              <w:pStyle w:val="BodyText"/>
              <w:rPr>
                <w:lang w:val="en-NZ"/>
              </w:rPr>
            </w:pPr>
            <w:r w:rsidRPr="00E13A60">
              <w:t>2.1</w:t>
            </w:r>
          </w:p>
        </w:tc>
        <w:tc>
          <w:tcPr>
            <w:tcW w:w="5610" w:type="dxa"/>
            <w:tcBorders>
              <w:top w:val="nil"/>
              <w:left w:val="nil"/>
              <w:bottom w:val="nil"/>
              <w:right w:val="nil"/>
            </w:tcBorders>
            <w:tcMar>
              <w:top w:w="0" w:type="dxa"/>
              <w:left w:w="62" w:type="dxa"/>
              <w:bottom w:w="0" w:type="dxa"/>
              <w:right w:w="62" w:type="dxa"/>
            </w:tcMar>
          </w:tcPr>
          <w:p w:rsidR="00000000" w:rsidP="00E13A60">
            <w:pPr>
              <w:pStyle w:val="BodyText"/>
              <w:rPr>
                <w:lang w:val="en-NZ"/>
              </w:rPr>
            </w:pPr>
            <w:r w:rsidRPr="00E13A60">
              <w:t>Set up a finite element model, including internal and external parameters, element mesh and nodes</w:t>
            </w:r>
          </w:p>
        </w:tc>
      </w:tr>
      <w:tr w:rsidTr="00E13A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3A60">
            <w:pPr>
              <w:pStyle w:val="BodyText"/>
              <w:rPr>
                <w:lang w:val="en-NZ"/>
              </w:rPr>
            </w:pPr>
            <w:r w:rsidRPr="00E13A60">
              <w:t>2.2</w:t>
            </w:r>
          </w:p>
        </w:tc>
        <w:tc>
          <w:tcPr>
            <w:tcW w:w="5610" w:type="dxa"/>
            <w:tcBorders>
              <w:top w:val="nil"/>
              <w:left w:val="nil"/>
              <w:bottom w:val="nil"/>
              <w:right w:val="nil"/>
            </w:tcBorders>
            <w:tcMar>
              <w:top w:w="0" w:type="dxa"/>
              <w:left w:w="62" w:type="dxa"/>
              <w:bottom w:w="0" w:type="dxa"/>
              <w:right w:w="62" w:type="dxa"/>
            </w:tcMar>
          </w:tcPr>
          <w:p w:rsidR="00000000" w:rsidP="00E13A60">
            <w:pPr>
              <w:pStyle w:val="BodyText"/>
              <w:rPr>
                <w:lang w:val="en-NZ"/>
              </w:rPr>
            </w:pPr>
            <w:r w:rsidRPr="00E13A60">
              <w:t>Select appropriate solver and adjust parameters for optimum solution</w:t>
            </w:r>
          </w:p>
        </w:tc>
      </w:tr>
      <w:tr w:rsidTr="00E13A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3A60">
            <w:pPr>
              <w:pStyle w:val="BodyText"/>
              <w:rPr>
                <w:lang w:val="en-NZ"/>
              </w:rPr>
            </w:pPr>
            <w:r w:rsidRPr="00E13A60">
              <w:t>2.3</w:t>
            </w:r>
          </w:p>
        </w:tc>
        <w:tc>
          <w:tcPr>
            <w:tcW w:w="5610" w:type="dxa"/>
            <w:tcBorders>
              <w:top w:val="nil"/>
              <w:left w:val="nil"/>
              <w:bottom w:val="nil"/>
              <w:right w:val="nil"/>
            </w:tcBorders>
            <w:tcMar>
              <w:top w:w="0" w:type="dxa"/>
              <w:left w:w="62" w:type="dxa"/>
              <w:bottom w:w="0" w:type="dxa"/>
              <w:right w:w="62" w:type="dxa"/>
            </w:tcMar>
          </w:tcPr>
          <w:p w:rsidR="00000000" w:rsidP="00E13A60">
            <w:pPr>
              <w:pStyle w:val="BodyText"/>
              <w:rPr>
                <w:lang w:val="en-NZ"/>
              </w:rPr>
            </w:pPr>
            <w:r w:rsidRPr="00E13A60">
              <w:t>Generate and assess solution file for warnings or errors</w:t>
            </w:r>
          </w:p>
        </w:tc>
      </w:tr>
      <w:tr w:rsidTr="00E13A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3A60">
            <w:pPr>
              <w:pStyle w:val="BodyText"/>
              <w:rPr>
                <w:lang w:val="en-NZ"/>
              </w:rPr>
            </w:pPr>
            <w:r w:rsidRPr="00E13A60">
              <w:t>2.4</w:t>
            </w:r>
          </w:p>
        </w:tc>
        <w:tc>
          <w:tcPr>
            <w:tcW w:w="5610" w:type="dxa"/>
            <w:tcBorders>
              <w:top w:val="nil"/>
              <w:left w:val="nil"/>
              <w:bottom w:val="nil"/>
              <w:right w:val="nil"/>
            </w:tcBorders>
            <w:tcMar>
              <w:top w:w="0" w:type="dxa"/>
              <w:left w:w="62" w:type="dxa"/>
              <w:bottom w:w="0" w:type="dxa"/>
              <w:right w:w="62" w:type="dxa"/>
            </w:tcMar>
          </w:tcPr>
          <w:p w:rsidR="00000000" w:rsidP="00E13A60">
            <w:pPr>
              <w:pStyle w:val="BodyText"/>
              <w:rPr>
                <w:lang w:val="en-NZ"/>
              </w:rPr>
            </w:pPr>
            <w:r w:rsidRPr="00E13A60">
              <w:t>Interpret results and generate graphics</w:t>
            </w:r>
          </w:p>
        </w:tc>
      </w:tr>
      <w:tr w:rsidTr="00E13A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3A60">
            <w:pPr>
              <w:pStyle w:val="BodyText"/>
              <w:rPr>
                <w:lang w:val="en-NZ"/>
              </w:rPr>
            </w:pPr>
            <w:r w:rsidRPr="00E13A60">
              <w:t>2.5</w:t>
            </w:r>
          </w:p>
        </w:tc>
        <w:tc>
          <w:tcPr>
            <w:tcW w:w="5610" w:type="dxa"/>
            <w:tcBorders>
              <w:top w:val="nil"/>
              <w:left w:val="nil"/>
              <w:bottom w:val="nil"/>
              <w:right w:val="nil"/>
            </w:tcBorders>
            <w:tcMar>
              <w:top w:w="0" w:type="dxa"/>
              <w:left w:w="62" w:type="dxa"/>
              <w:bottom w:w="0" w:type="dxa"/>
              <w:right w:w="62" w:type="dxa"/>
            </w:tcMar>
          </w:tcPr>
          <w:p w:rsidR="00000000" w:rsidP="00E13A60">
            <w:pPr>
              <w:pStyle w:val="BodyText"/>
              <w:rPr>
                <w:lang w:val="en-NZ"/>
              </w:rPr>
            </w:pPr>
            <w:r w:rsidRPr="00E13A60">
              <w:t>Identify areas of excessive stress, deformation, instability and excessive temperatures</w:t>
            </w:r>
          </w:p>
        </w:tc>
      </w:tr>
      <w:tr w:rsidTr="00E13A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3A60">
            <w:pPr>
              <w:pStyle w:val="BodyText"/>
              <w:rPr>
                <w:lang w:val="en-NZ"/>
              </w:rPr>
            </w:pPr>
            <w:r w:rsidRPr="00E13A60">
              <w:t>2.6</w:t>
            </w:r>
          </w:p>
        </w:tc>
        <w:tc>
          <w:tcPr>
            <w:tcW w:w="5610" w:type="dxa"/>
            <w:tcBorders>
              <w:top w:val="nil"/>
              <w:left w:val="nil"/>
              <w:bottom w:val="nil"/>
              <w:right w:val="nil"/>
            </w:tcBorders>
            <w:tcMar>
              <w:top w:w="0" w:type="dxa"/>
              <w:left w:w="62" w:type="dxa"/>
              <w:bottom w:w="0" w:type="dxa"/>
              <w:right w:w="62" w:type="dxa"/>
            </w:tcMar>
          </w:tcPr>
          <w:p w:rsidR="00000000" w:rsidP="00E13A60">
            <w:pPr>
              <w:pStyle w:val="BodyText"/>
              <w:rPr>
                <w:lang w:val="en-NZ"/>
              </w:rPr>
            </w:pPr>
            <w:r w:rsidRPr="00E13A60">
              <w:t>Verify results to the required certainty level</w:t>
            </w:r>
          </w:p>
        </w:tc>
      </w:tr>
      <w:tr w:rsidTr="00E13A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3A60">
            <w:pPr>
              <w:pStyle w:val="BodyText"/>
              <w:rPr>
                <w:lang w:val="en-NZ"/>
              </w:rPr>
            </w:pPr>
            <w:r w:rsidRPr="00E13A60">
              <w:t>2.7</w:t>
            </w:r>
          </w:p>
        </w:tc>
        <w:tc>
          <w:tcPr>
            <w:tcW w:w="5610" w:type="dxa"/>
            <w:tcBorders>
              <w:top w:val="nil"/>
              <w:left w:val="nil"/>
              <w:bottom w:val="nil"/>
              <w:right w:val="nil"/>
            </w:tcBorders>
            <w:tcMar>
              <w:top w:w="0" w:type="dxa"/>
              <w:left w:w="62" w:type="dxa"/>
              <w:bottom w:w="0" w:type="dxa"/>
              <w:right w:w="62" w:type="dxa"/>
            </w:tcMar>
          </w:tcPr>
          <w:p w:rsidR="00000000" w:rsidP="00E13A60">
            <w:pPr>
              <w:pStyle w:val="BodyText"/>
              <w:rPr>
                <w:lang w:val="en-NZ"/>
              </w:rPr>
            </w:pPr>
            <w:r w:rsidRPr="00E13A60">
              <w:t>Apply systems or holistic thinking, contingencies and constraints management, problem solving and decision making techniques in making recommendations to achieve satisfactory functions, features and performance parameters</w:t>
            </w:r>
          </w:p>
        </w:tc>
      </w:tr>
      <w:tr w:rsidTr="00E13A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3A60">
            <w:pPr>
              <w:pStyle w:val="BodyText"/>
              <w:rPr>
                <w:lang w:val="en-NZ"/>
              </w:rPr>
            </w:pPr>
            <w:r w:rsidRPr="00E13A60">
              <w:t>2.8</w:t>
            </w:r>
          </w:p>
        </w:tc>
        <w:tc>
          <w:tcPr>
            <w:tcW w:w="5610" w:type="dxa"/>
            <w:tcBorders>
              <w:top w:val="nil"/>
              <w:left w:val="nil"/>
              <w:bottom w:val="nil"/>
              <w:right w:val="nil"/>
            </w:tcBorders>
            <w:tcMar>
              <w:top w:w="0" w:type="dxa"/>
              <w:left w:w="62" w:type="dxa"/>
              <w:bottom w:w="0" w:type="dxa"/>
              <w:right w:w="62" w:type="dxa"/>
            </w:tcMar>
          </w:tcPr>
          <w:p w:rsidR="00000000" w:rsidP="00E13A60">
            <w:pPr>
              <w:pStyle w:val="BodyText"/>
              <w:rPr>
                <w:lang w:val="en-NZ"/>
              </w:rPr>
            </w:pPr>
            <w:r w:rsidRPr="00E13A60">
              <w:t>Review initial results with client</w:t>
            </w:r>
          </w:p>
        </w:tc>
      </w:tr>
      <w:tr w:rsidTr="00E13A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3A60">
            <w:pPr>
              <w:pStyle w:val="BodyText"/>
              <w:rPr>
                <w:lang w:val="en-NZ"/>
              </w:rPr>
            </w:pPr>
            <w:r w:rsidRPr="00E13A60">
              <w:t>2.9</w:t>
            </w:r>
          </w:p>
        </w:tc>
        <w:tc>
          <w:tcPr>
            <w:tcW w:w="5610" w:type="dxa"/>
            <w:tcBorders>
              <w:top w:val="nil"/>
              <w:left w:val="nil"/>
              <w:bottom w:val="nil"/>
              <w:right w:val="nil"/>
            </w:tcBorders>
            <w:tcMar>
              <w:top w:w="0" w:type="dxa"/>
              <w:left w:w="62" w:type="dxa"/>
              <w:bottom w:w="0" w:type="dxa"/>
              <w:right w:w="62" w:type="dxa"/>
            </w:tcMar>
          </w:tcPr>
          <w:p w:rsidR="00000000" w:rsidRPr="00E13A60" w:rsidP="00E13A60">
            <w:pPr>
              <w:pStyle w:val="BodyText"/>
            </w:pPr>
            <w:r w:rsidRPr="00E13A60">
              <w:t>Negotiate adjustments to brief or contract parameters, if required</w:t>
            </w:r>
          </w:p>
        </w:tc>
      </w:tr>
    </w:tbl>
    <w:p w:rsidR="00000000" w:rsidRPr="00E13A60" w:rsidP="00E13A60">
      <w:pPr>
        <w:pStyle w:val="BodyText"/>
      </w:pPr>
    </w:p>
    <w:tbl>
      <w:tblPr>
        <w:tblW w:w="0" w:type="auto"/>
        <w:tblLayout w:type="fixed"/>
        <w:tblCellMar>
          <w:left w:w="62" w:type="dxa"/>
          <w:right w:w="62" w:type="dxa"/>
        </w:tblCellMar>
        <w:tblLook w:val="0000"/>
      </w:tblPr>
      <w:tblGrid>
        <w:gridCol w:w="678"/>
        <w:gridCol w:w="1962"/>
        <w:gridCol w:w="770"/>
        <w:gridCol w:w="5610"/>
      </w:tblGrid>
      <w:tr w:rsidTr="00E13A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13A60">
            <w:pPr>
              <w:pStyle w:val="BodyText"/>
              <w:rPr>
                <w:lang w:val="en-NZ"/>
              </w:rPr>
            </w:pPr>
            <w:r w:rsidRPr="00E13A60">
              <w:t>3</w:t>
            </w:r>
          </w:p>
        </w:tc>
        <w:tc>
          <w:tcPr>
            <w:tcW w:w="1962" w:type="dxa"/>
            <w:vMerge w:val="restart"/>
            <w:tcBorders>
              <w:top w:val="nil"/>
              <w:left w:val="nil"/>
              <w:bottom w:val="nil"/>
              <w:right w:val="nil"/>
            </w:tcBorders>
            <w:tcMar>
              <w:top w:w="0" w:type="dxa"/>
              <w:left w:w="62" w:type="dxa"/>
              <w:bottom w:w="0" w:type="dxa"/>
              <w:right w:w="62" w:type="dxa"/>
            </w:tcMar>
          </w:tcPr>
          <w:p w:rsidR="00000000" w:rsidRPr="00E13A60" w:rsidP="00E13A60">
            <w:pPr>
              <w:pStyle w:val="BodyText"/>
            </w:pPr>
            <w:r w:rsidRPr="00E13A60">
              <w:t>Embed FEA results in design application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3A60">
            <w:pPr>
              <w:pStyle w:val="BodyText"/>
              <w:rPr>
                <w:lang w:val="en-NZ"/>
              </w:rPr>
            </w:pPr>
            <w:r w:rsidRPr="00E13A60">
              <w:t>3.1</w:t>
            </w:r>
          </w:p>
        </w:tc>
        <w:tc>
          <w:tcPr>
            <w:tcW w:w="5610" w:type="dxa"/>
            <w:tcBorders>
              <w:top w:val="nil"/>
              <w:left w:val="nil"/>
              <w:bottom w:val="nil"/>
              <w:right w:val="nil"/>
            </w:tcBorders>
            <w:tcMar>
              <w:top w:w="0" w:type="dxa"/>
              <w:left w:w="62" w:type="dxa"/>
              <w:bottom w:w="0" w:type="dxa"/>
              <w:right w:w="62" w:type="dxa"/>
            </w:tcMar>
          </w:tcPr>
          <w:p w:rsidR="00000000" w:rsidP="00E13A60">
            <w:pPr>
              <w:pStyle w:val="BodyText"/>
              <w:rPr>
                <w:lang w:val="en-NZ"/>
              </w:rPr>
            </w:pPr>
            <w:r w:rsidRPr="00E13A60">
              <w:t>Report and recommend design improvements or modifications as a result of the FEA analysis</w:t>
            </w:r>
          </w:p>
        </w:tc>
      </w:tr>
      <w:tr w:rsidTr="00E13A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3A60">
            <w:pPr>
              <w:pStyle w:val="BodyText"/>
              <w:rPr>
                <w:lang w:val="en-NZ"/>
              </w:rPr>
            </w:pPr>
            <w:r w:rsidRPr="00E13A60">
              <w:t>3.2</w:t>
            </w:r>
          </w:p>
        </w:tc>
        <w:tc>
          <w:tcPr>
            <w:tcW w:w="5610" w:type="dxa"/>
            <w:tcBorders>
              <w:top w:val="nil"/>
              <w:left w:val="nil"/>
              <w:bottom w:val="nil"/>
              <w:right w:val="nil"/>
            </w:tcBorders>
            <w:tcMar>
              <w:top w:w="0" w:type="dxa"/>
              <w:left w:w="62" w:type="dxa"/>
              <w:bottom w:w="0" w:type="dxa"/>
              <w:right w:w="62" w:type="dxa"/>
            </w:tcMar>
          </w:tcPr>
          <w:p w:rsidR="00000000" w:rsidP="00E13A60">
            <w:pPr>
              <w:pStyle w:val="BodyText"/>
              <w:rPr>
                <w:lang w:val="en-NZ"/>
              </w:rPr>
            </w:pPr>
            <w:r w:rsidRPr="00E13A60">
              <w:t>Document results of investigations, analysis and recommendations</w:t>
            </w:r>
          </w:p>
        </w:tc>
      </w:tr>
      <w:tr w:rsidTr="00E13A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3A60">
            <w:pPr>
              <w:pStyle w:val="BodyText"/>
              <w:rPr>
                <w:lang w:val="en-NZ"/>
              </w:rPr>
            </w:pPr>
            <w:r w:rsidRPr="00E13A60">
              <w:t>3.3</w:t>
            </w:r>
          </w:p>
        </w:tc>
        <w:tc>
          <w:tcPr>
            <w:tcW w:w="5610" w:type="dxa"/>
            <w:tcBorders>
              <w:top w:val="nil"/>
              <w:left w:val="nil"/>
              <w:bottom w:val="nil"/>
              <w:right w:val="nil"/>
            </w:tcBorders>
            <w:tcMar>
              <w:top w:w="0" w:type="dxa"/>
              <w:left w:w="62" w:type="dxa"/>
              <w:bottom w:w="0" w:type="dxa"/>
              <w:right w:w="62" w:type="dxa"/>
            </w:tcMar>
          </w:tcPr>
          <w:p w:rsidR="00000000" w:rsidRPr="00E13A60" w:rsidP="00E13A60">
            <w:pPr>
              <w:pStyle w:val="BodyText"/>
            </w:pPr>
            <w:r w:rsidRPr="00E13A60">
              <w:t>Obtain sign-off</w:t>
            </w:r>
          </w:p>
        </w:tc>
      </w:tr>
    </w:tbl>
    <w:p w:rsidR="00000000" w:rsidRPr="00E13A60" w:rsidP="00E13A60">
      <w:pPr>
        <w:pStyle w:val="BodyText"/>
      </w:pPr>
    </w:p>
    <w:p w:rsidR="00000000" w:rsidRPr="00E13A60" w:rsidP="00E13A60">
      <w:pPr>
        <w:pStyle w:val="AllowPageBreak"/>
      </w:pPr>
    </w:p>
    <w:p w:rsidR="00000000" w:rsidRPr="00E13A60" w:rsidP="00E13A60">
      <w:pPr>
        <w:pStyle w:val="Heading1"/>
      </w:pPr>
      <w:bookmarkStart w:id="9" w:name="O_397210"/>
      <w:bookmarkEnd w:id="9"/>
      <w:r w:rsidRPr="00E13A60">
        <w:t>Required Skills and Knowledge</w:t>
      </w:r>
    </w:p>
    <w:tbl>
      <w:tblPr>
        <w:tblW w:w="9570" w:type="dxa"/>
        <w:tblLayout w:type="fixed"/>
        <w:tblCellMar>
          <w:left w:w="62" w:type="dxa"/>
          <w:right w:w="62" w:type="dxa"/>
        </w:tblCellMar>
        <w:tblLook w:val="0000"/>
      </w:tblPr>
      <w:tblGrid>
        <w:gridCol w:w="9570"/>
      </w:tblGrid>
      <w:tr w:rsidTr="00E13A60">
        <w:tblPrEx>
          <w:tblW w:w="9570" w:type="dxa"/>
          <w:tblLayout w:type="fixed"/>
          <w:tblCellMar>
            <w:left w:w="62" w:type="dxa"/>
            <w:right w:w="62" w:type="dxa"/>
          </w:tblCellMar>
          <w:tblLook w:val="0000"/>
        </w:tblPrEx>
        <w:tc>
          <w:tcPr>
            <w:tcW w:w="9570" w:type="dxa"/>
            <w:tcBorders>
              <w:top w:val="nil"/>
              <w:left w:val="nil"/>
              <w:bottom w:val="nil"/>
              <w:right w:val="nil"/>
            </w:tcBorders>
            <w:tcMar>
              <w:top w:w="0" w:type="dxa"/>
              <w:left w:w="62" w:type="dxa"/>
              <w:bottom w:w="0" w:type="dxa"/>
              <w:right w:w="62" w:type="dxa"/>
            </w:tcMar>
          </w:tcPr>
          <w:p w:rsidR="00000000" w:rsidP="00E13A60">
            <w:pPr>
              <w:pStyle w:val="BodyText"/>
              <w:rPr>
                <w:lang w:val="en-NZ"/>
              </w:rPr>
            </w:pPr>
            <w:r w:rsidRPr="00E13A60">
              <w:t>This section describes the skills and knowledge required for this unit.</w:t>
            </w:r>
          </w:p>
        </w:tc>
      </w:tr>
      <w:tr w:rsidTr="00E13A60">
        <w:tblPrEx>
          <w:tblW w:w="9570" w:type="dxa"/>
          <w:tblLayout w:type="fixed"/>
          <w:tblCellMar>
            <w:left w:w="62" w:type="dxa"/>
            <w:right w:w="62" w:type="dxa"/>
          </w:tblCellMar>
          <w:tblLook w:val="0000"/>
        </w:tblPrEx>
        <w:tc>
          <w:tcPr>
            <w:tcW w:w="9570" w:type="dxa"/>
            <w:tcBorders>
              <w:top w:val="nil"/>
              <w:left w:val="nil"/>
              <w:bottom w:val="nil"/>
              <w:right w:val="nil"/>
            </w:tcBorders>
            <w:tcMar>
              <w:top w:w="0" w:type="dxa"/>
              <w:left w:w="62" w:type="dxa"/>
              <w:bottom w:w="0" w:type="dxa"/>
              <w:right w:w="62" w:type="dxa"/>
            </w:tcMar>
          </w:tcPr>
          <w:p w:rsidR="00000000" w:rsidP="00E13A60">
            <w:pPr>
              <w:pStyle w:val="BodyText"/>
              <w:rPr>
                <w:lang w:val="en-NZ"/>
              </w:rPr>
            </w:pPr>
            <w:r w:rsidRPr="00E13A60">
              <w:rPr>
                <w:rStyle w:val="SpecialBold"/>
              </w:rPr>
              <w:t>Required skills</w:t>
            </w:r>
          </w:p>
        </w:tc>
      </w:tr>
      <w:tr w:rsidTr="00E13A60">
        <w:tblPrEx>
          <w:tblW w:w="9570" w:type="dxa"/>
          <w:tblLayout w:type="fixed"/>
          <w:tblCellMar>
            <w:left w:w="62" w:type="dxa"/>
            <w:right w:w="62" w:type="dxa"/>
          </w:tblCellMar>
          <w:tblLook w:val="0000"/>
        </w:tblPrEx>
        <w:tc>
          <w:tcPr>
            <w:tcW w:w="9570" w:type="dxa"/>
            <w:tcBorders>
              <w:top w:val="nil"/>
              <w:left w:val="nil"/>
              <w:bottom w:val="nil"/>
              <w:right w:val="nil"/>
            </w:tcBorders>
            <w:tcMar>
              <w:top w:w="0" w:type="dxa"/>
              <w:left w:w="62" w:type="dxa"/>
              <w:bottom w:w="0" w:type="dxa"/>
              <w:right w:w="62" w:type="dxa"/>
            </w:tcMar>
          </w:tcPr>
          <w:p w:rsidR="00000000" w:rsidRPr="00E13A60" w:rsidP="00E13A60">
            <w:pPr>
              <w:pStyle w:val="BodyText"/>
            </w:pPr>
            <w:r w:rsidRPr="00E13A60">
              <w:t>Required skills include:</w:t>
            </w:r>
          </w:p>
          <w:p w:rsidR="00000000" w:rsidRPr="00E13A60" w:rsidP="00E13A60">
            <w:pPr>
              <w:pStyle w:val="ListBullet"/>
            </w:pPr>
            <w:r w:rsidRPr="00E13A60">
              <w:t>gathering information relevant to the FEA task</w:t>
            </w:r>
          </w:p>
          <w:p w:rsidR="00000000" w:rsidRPr="00E13A60" w:rsidP="00E13A60">
            <w:pPr>
              <w:pStyle w:val="ListBullet"/>
            </w:pPr>
            <w:r w:rsidRPr="00E13A60">
              <w:t>interpreting and evaluating documentation, specifications and drawings for FEA purposes</w:t>
            </w:r>
          </w:p>
          <w:p w:rsidR="00000000" w:rsidRPr="00E13A60" w:rsidP="00E13A60">
            <w:pPr>
              <w:pStyle w:val="ListBullet"/>
            </w:pPr>
            <w:r w:rsidRPr="00E13A60">
              <w:t>researching FEA, mathematical techniques, applicability and limitations, software and evolving opportunities for FEA</w:t>
            </w:r>
          </w:p>
          <w:p w:rsidR="00000000" w:rsidRPr="00E13A60" w:rsidP="00E13A60">
            <w:pPr>
              <w:pStyle w:val="ListBullet"/>
            </w:pPr>
            <w:r w:rsidRPr="00E13A60">
              <w:t>sett</w:t>
            </w:r>
            <w:r w:rsidRPr="00E13A60">
              <w:t>ing up FEA model, parameters, element mesh and nodes</w:t>
            </w:r>
          </w:p>
          <w:p w:rsidR="00000000" w:rsidRPr="00E13A60" w:rsidP="00E13A60">
            <w:pPr>
              <w:pStyle w:val="ListBullet"/>
            </w:pPr>
            <w:r w:rsidRPr="00E13A60">
              <w:t>using FEA software, including pre- and post-processor, if any, effectively</w:t>
            </w:r>
          </w:p>
          <w:p w:rsidR="00000000" w:rsidRPr="00E13A60" w:rsidP="00E13A60">
            <w:pPr>
              <w:pStyle w:val="ListBullet"/>
            </w:pPr>
            <w:r w:rsidRPr="00E13A60">
              <w:t>constructing models of engineering part or structure suitable for FEA using appropriate software</w:t>
            </w:r>
          </w:p>
          <w:p w:rsidR="00000000" w:rsidRPr="00E13A60" w:rsidP="00E13A60">
            <w:pPr>
              <w:pStyle w:val="ListBullet"/>
            </w:pPr>
            <w:r w:rsidRPr="00E13A60">
              <w:t>determining and setting paramet</w:t>
            </w:r>
            <w:r w:rsidRPr="00E13A60">
              <w:t>ers and conditions for required type of analysis</w:t>
            </w:r>
          </w:p>
          <w:p w:rsidR="00000000" w:rsidRPr="00E13A60" w:rsidP="00E13A60">
            <w:pPr>
              <w:pStyle w:val="ListBullet"/>
            </w:pPr>
            <w:r w:rsidRPr="00E13A60">
              <w:t>applying boundary conditions to suit type of analysis required, including axisymmetric analysis</w:t>
            </w:r>
          </w:p>
          <w:p w:rsidR="00000000" w:rsidRPr="00E13A60" w:rsidP="00E13A60">
            <w:pPr>
              <w:pStyle w:val="ListBullet"/>
            </w:pPr>
            <w:r w:rsidRPr="00E13A60">
              <w:t>choosing, setting up, and running appropriate solvers, such as linear static, linear buckling, non-linear stati</w:t>
            </w:r>
            <w:r w:rsidRPr="00E13A60">
              <w:t>c, natural frequency, steady state, heat, and so on</w:t>
            </w:r>
          </w:p>
          <w:p w:rsidR="00000000" w:rsidRPr="00E13A60" w:rsidP="00E13A60">
            <w:pPr>
              <w:pStyle w:val="ListBullet"/>
            </w:pPr>
            <w:r w:rsidRPr="00E13A60">
              <w:t>interpreting results, generating graphics and identifying significant issues</w:t>
            </w:r>
          </w:p>
          <w:p w:rsidR="00000000" w:rsidRPr="00E13A60" w:rsidP="00E13A60">
            <w:pPr>
              <w:pStyle w:val="ListBullet"/>
            </w:pPr>
            <w:r w:rsidRPr="00E13A60">
              <w:t>validating software outputs</w:t>
            </w:r>
          </w:p>
          <w:p w:rsidR="00000000" w:rsidP="00E13A60">
            <w:pPr>
              <w:pStyle w:val="ListBullet"/>
              <w:rPr>
                <w:lang w:val="en-NZ"/>
              </w:rPr>
            </w:pPr>
            <w:r w:rsidRPr="00E13A60">
              <w:t>reporting and documenting results</w:t>
            </w:r>
          </w:p>
        </w:tc>
      </w:tr>
      <w:tr w:rsidTr="00E13A60">
        <w:tblPrEx>
          <w:tblW w:w="9570" w:type="dxa"/>
          <w:tblLayout w:type="fixed"/>
          <w:tblCellMar>
            <w:left w:w="62" w:type="dxa"/>
            <w:right w:w="62" w:type="dxa"/>
          </w:tblCellMar>
          <w:tblLook w:val="0000"/>
        </w:tblPrEx>
        <w:tc>
          <w:tcPr>
            <w:tcW w:w="9570" w:type="dxa"/>
            <w:tcBorders>
              <w:top w:val="nil"/>
              <w:left w:val="nil"/>
              <w:bottom w:val="nil"/>
              <w:right w:val="nil"/>
            </w:tcBorders>
            <w:tcMar>
              <w:top w:w="0" w:type="dxa"/>
              <w:left w:w="62" w:type="dxa"/>
              <w:bottom w:w="0" w:type="dxa"/>
              <w:right w:w="62" w:type="dxa"/>
            </w:tcMar>
          </w:tcPr>
          <w:p w:rsidR="00000000" w:rsidP="00E13A60">
            <w:pPr>
              <w:pStyle w:val="BodyText"/>
              <w:rPr>
                <w:lang w:val="en-NZ"/>
              </w:rPr>
            </w:pPr>
          </w:p>
        </w:tc>
      </w:tr>
      <w:tr w:rsidTr="00E13A60">
        <w:tblPrEx>
          <w:tblW w:w="9570" w:type="dxa"/>
          <w:tblLayout w:type="fixed"/>
          <w:tblCellMar>
            <w:left w:w="62" w:type="dxa"/>
            <w:right w:w="62" w:type="dxa"/>
          </w:tblCellMar>
          <w:tblLook w:val="0000"/>
        </w:tblPrEx>
        <w:tc>
          <w:tcPr>
            <w:tcW w:w="9570" w:type="dxa"/>
            <w:tcBorders>
              <w:top w:val="nil"/>
              <w:left w:val="nil"/>
              <w:bottom w:val="nil"/>
              <w:right w:val="nil"/>
            </w:tcBorders>
            <w:tcMar>
              <w:top w:w="0" w:type="dxa"/>
              <w:left w:w="62" w:type="dxa"/>
              <w:bottom w:w="0" w:type="dxa"/>
              <w:right w:w="62" w:type="dxa"/>
            </w:tcMar>
          </w:tcPr>
          <w:p w:rsidR="00000000" w:rsidP="00E13A60">
            <w:pPr>
              <w:pStyle w:val="BodyText"/>
              <w:rPr>
                <w:lang w:val="en-NZ"/>
              </w:rPr>
            </w:pPr>
            <w:r w:rsidRPr="00E13A60">
              <w:rPr>
                <w:rStyle w:val="SpecialBold"/>
              </w:rPr>
              <w:t>Required knowledge</w:t>
            </w:r>
          </w:p>
        </w:tc>
      </w:tr>
      <w:tr w:rsidTr="00E13A60">
        <w:tblPrEx>
          <w:tblW w:w="9570" w:type="dxa"/>
          <w:tblLayout w:type="fixed"/>
          <w:tblCellMar>
            <w:left w:w="62" w:type="dxa"/>
            <w:right w:w="62" w:type="dxa"/>
          </w:tblCellMar>
          <w:tblLook w:val="0000"/>
        </w:tblPrEx>
        <w:trPr>
          <w:trHeight w:val="1685"/>
        </w:trPr>
        <w:tc>
          <w:tcPr>
            <w:tcW w:w="9570" w:type="dxa"/>
            <w:tcBorders>
              <w:top w:val="nil"/>
              <w:left w:val="nil"/>
              <w:bottom w:val="nil"/>
              <w:right w:val="nil"/>
            </w:tcBorders>
            <w:tcMar>
              <w:top w:w="0" w:type="dxa"/>
              <w:left w:w="62" w:type="dxa"/>
              <w:bottom w:w="0" w:type="dxa"/>
              <w:right w:w="62" w:type="dxa"/>
            </w:tcMar>
          </w:tcPr>
          <w:p w:rsidR="00000000" w:rsidRPr="00E13A60" w:rsidP="00E13A60">
            <w:pPr>
              <w:pStyle w:val="BodyText"/>
            </w:pPr>
            <w:r w:rsidRPr="00E13A60">
              <w:t>Required knowledge includes:</w:t>
            </w:r>
          </w:p>
          <w:p w:rsidR="00000000" w:rsidRPr="00E13A60" w:rsidP="00E13A60">
            <w:pPr>
              <w:pStyle w:val="ListBullet"/>
            </w:pPr>
            <w:r w:rsidRPr="00E13A60">
              <w:t>FEA task parameters for applications, such as:</w:t>
            </w:r>
          </w:p>
          <w:p w:rsidR="00000000" w:rsidRPr="00E13A60" w:rsidP="00E13A60">
            <w:pPr>
              <w:pStyle w:val="ListBullet2"/>
            </w:pPr>
            <w:r w:rsidRPr="00E13A60">
              <w:t>stresses and displacements</w:t>
            </w:r>
          </w:p>
          <w:p w:rsidR="00000000" w:rsidRPr="00E13A60" w:rsidP="00E13A60">
            <w:pPr>
              <w:pStyle w:val="ListBullet2"/>
            </w:pPr>
            <w:r w:rsidRPr="00E13A60">
              <w:t>natural frequencies</w:t>
            </w:r>
          </w:p>
          <w:p w:rsidR="00000000" w:rsidRPr="00E13A60" w:rsidP="00E13A60">
            <w:pPr>
              <w:pStyle w:val="ListBullet2"/>
            </w:pPr>
            <w:r w:rsidRPr="00E13A60">
              <w:t>heat and temperature distribution</w:t>
            </w:r>
          </w:p>
          <w:p w:rsidR="00000000" w:rsidRPr="00E13A60" w:rsidP="00E13A60">
            <w:pPr>
              <w:pStyle w:val="ListBullet"/>
            </w:pPr>
            <w:r w:rsidRPr="00E13A60">
              <w:t>software modelling and validation techniques, including:</w:t>
            </w:r>
          </w:p>
          <w:p w:rsidR="00000000" w:rsidRPr="00E13A60" w:rsidP="00E13A60">
            <w:pPr>
              <w:pStyle w:val="ListBullet2"/>
            </w:pPr>
            <w:r w:rsidRPr="00E13A60">
              <w:t>element type and shape for error minimisation</w:t>
            </w:r>
          </w:p>
          <w:p w:rsidR="00000000" w:rsidRPr="00E13A60" w:rsidP="00E13A60">
            <w:pPr>
              <w:pStyle w:val="ListBullet2"/>
            </w:pPr>
            <w:r w:rsidRPr="00E13A60">
              <w:t>library files</w:t>
            </w:r>
          </w:p>
          <w:p w:rsidR="00000000" w:rsidRPr="00E13A60" w:rsidP="00E13A60">
            <w:pPr>
              <w:pStyle w:val="ListBullet2"/>
            </w:pPr>
            <w:r w:rsidRPr="00E13A60">
              <w:t>geometry importation from other software packages</w:t>
            </w:r>
          </w:p>
          <w:p w:rsidR="00000000" w:rsidRPr="00E13A60" w:rsidP="00E13A60">
            <w:pPr>
              <w:pStyle w:val="ListBullet2"/>
            </w:pPr>
            <w:r w:rsidRPr="00E13A60">
              <w:t>application of boundary conditions</w:t>
            </w:r>
          </w:p>
          <w:p w:rsidR="00000000" w:rsidRPr="00E13A60" w:rsidP="00E13A60">
            <w:pPr>
              <w:pStyle w:val="ListBullet2"/>
            </w:pPr>
            <w:r w:rsidRPr="00E13A60">
              <w:t>validation using comparison with traditional solution of simple examples and reviewing of past successful applications</w:t>
            </w:r>
          </w:p>
          <w:p w:rsidR="00000000" w:rsidRPr="00E13A60" w:rsidP="00E13A60">
            <w:pPr>
              <w:pStyle w:val="ListBullet2"/>
            </w:pPr>
            <w:r w:rsidRPr="00E13A60">
              <w:t>methods for presentation of results, including softw</w:t>
            </w:r>
            <w:r w:rsidRPr="00E13A60">
              <w:t>are-generated graphics</w:t>
            </w:r>
          </w:p>
          <w:p w:rsidR="00000000" w:rsidRPr="00E13A60" w:rsidP="00E13A60">
            <w:pPr>
              <w:pStyle w:val="ListBullet2"/>
            </w:pPr>
            <w:r w:rsidRPr="00E13A60">
              <w:t>measures of excessive stress and/or deformation and to recommend modifications</w:t>
            </w:r>
          </w:p>
          <w:p w:rsidR="00000000" w:rsidRPr="00E13A60" w:rsidP="00E13A60">
            <w:pPr>
              <w:pStyle w:val="ListBullet"/>
            </w:pPr>
            <w:r w:rsidRPr="00E13A60">
              <w:t>software functions and features, such as:</w:t>
            </w:r>
          </w:p>
          <w:p w:rsidR="00000000" w:rsidRPr="00E13A60" w:rsidP="00E13A60">
            <w:pPr>
              <w:pStyle w:val="ListBullet2"/>
            </w:pPr>
            <w:r w:rsidRPr="00E13A60">
              <w:t>deformed displays</w:t>
            </w:r>
          </w:p>
          <w:p w:rsidR="00000000" w:rsidRPr="00E13A60" w:rsidP="00E13A60">
            <w:pPr>
              <w:pStyle w:val="ListBullet2"/>
            </w:pPr>
            <w:r w:rsidRPr="00E13A60">
              <w:t>colour contour plots, contour averaging and contour jumps</w:t>
            </w:r>
          </w:p>
          <w:p w:rsidR="00000000" w:rsidRPr="00E13A60" w:rsidP="00E13A60">
            <w:pPr>
              <w:pStyle w:val="ListBullet2"/>
            </w:pPr>
            <w:r w:rsidRPr="00E13A60">
              <w:t>peeking, graphing and animating</w:t>
            </w:r>
          </w:p>
          <w:p w:rsidR="00000000" w:rsidRPr="00E13A60" w:rsidP="00E13A60">
            <w:pPr>
              <w:pStyle w:val="ListBullet2"/>
            </w:pPr>
            <w:r w:rsidRPr="00E13A60">
              <w:t>multiple views</w:t>
            </w:r>
          </w:p>
          <w:p w:rsidR="00000000" w:rsidRPr="00E13A60" w:rsidP="00E13A60">
            <w:pPr>
              <w:pStyle w:val="ListBullet"/>
            </w:pPr>
            <w:r w:rsidRPr="00E13A60">
              <w:t xml:space="preserve">coordinate systems: </w:t>
            </w:r>
          </w:p>
          <w:p w:rsidR="00000000" w:rsidRPr="00E13A60" w:rsidP="00E13A60">
            <w:pPr>
              <w:pStyle w:val="ListBullet2"/>
            </w:pPr>
            <w:r w:rsidRPr="00E13A60">
              <w:t>Cartesian</w:t>
            </w:r>
          </w:p>
          <w:p w:rsidR="00000000" w:rsidRPr="00E13A60" w:rsidP="00E13A60">
            <w:pPr>
              <w:pStyle w:val="ListBullet2"/>
            </w:pPr>
            <w:r w:rsidRPr="00E13A60">
              <w:t>polar</w:t>
            </w:r>
          </w:p>
          <w:p w:rsidR="00000000" w:rsidRPr="00E13A60" w:rsidP="00E13A60">
            <w:pPr>
              <w:pStyle w:val="ListBullet2"/>
            </w:pPr>
            <w:r w:rsidRPr="00E13A60">
              <w:t>spherical coordinate systems</w:t>
            </w:r>
          </w:p>
          <w:p w:rsidR="00000000" w:rsidRPr="00E13A60" w:rsidP="00E13A60">
            <w:pPr>
              <w:pStyle w:val="ListBullet"/>
            </w:pPr>
            <w:r w:rsidRPr="00E13A60">
              <w:t>stress concentrations</w:t>
            </w:r>
          </w:p>
          <w:p w:rsidR="00000000" w:rsidRPr="00E13A60" w:rsidP="00E13A60">
            <w:pPr>
              <w:pStyle w:val="ListBullet"/>
            </w:pPr>
            <w:r w:rsidRPr="00E13A60">
              <w:t>structural loads:</w:t>
            </w:r>
          </w:p>
          <w:p w:rsidR="00000000" w:rsidRPr="00E13A60" w:rsidP="00E13A60">
            <w:pPr>
              <w:pStyle w:val="ListBullet2"/>
            </w:pPr>
            <w:r w:rsidRPr="00E13A60">
              <w:t>dead loads, live loads and wind loads</w:t>
            </w:r>
          </w:p>
          <w:p w:rsidR="00000000" w:rsidRPr="00E13A60" w:rsidP="00E13A60">
            <w:pPr>
              <w:pStyle w:val="ListBullet2"/>
            </w:pPr>
            <w:r w:rsidRPr="00E13A60">
              <w:t>structural and non-structural mass</w:t>
            </w:r>
          </w:p>
          <w:p w:rsidR="00000000" w:rsidRPr="00E13A60" w:rsidP="00E13A60">
            <w:pPr>
              <w:pStyle w:val="ListBullet"/>
            </w:pPr>
            <w:r w:rsidRPr="00E13A60">
              <w:t>material libraries:</w:t>
            </w:r>
          </w:p>
          <w:p w:rsidR="00000000" w:rsidRPr="00E13A60" w:rsidP="00E13A60">
            <w:pPr>
              <w:pStyle w:val="ListBullet2"/>
            </w:pPr>
            <w:r w:rsidRPr="00E13A60">
              <w:t>types of beam, plate and brick eleme</w:t>
            </w:r>
            <w:r w:rsidRPr="00E13A60">
              <w:t>nts</w:t>
            </w:r>
          </w:p>
          <w:p w:rsidR="00000000" w:rsidRPr="00E13A60" w:rsidP="00E13A60">
            <w:pPr>
              <w:pStyle w:val="ListBullet2"/>
            </w:pPr>
            <w:r w:rsidRPr="00E13A60">
              <w:t>properties of materials, such as stress, strain, modulus of elasticity, modulus of rigidity, Poisson’s ratio and allowable stress</w:t>
            </w:r>
          </w:p>
          <w:p w:rsidR="00000000" w:rsidRPr="00E13A60" w:rsidP="00E13A60">
            <w:pPr>
              <w:pStyle w:val="ListBullet"/>
            </w:pPr>
            <w:r w:rsidRPr="00E13A60">
              <w:t>stresses:</w:t>
            </w:r>
          </w:p>
          <w:p w:rsidR="00000000" w:rsidRPr="00E13A60" w:rsidP="00E13A60">
            <w:pPr>
              <w:pStyle w:val="ListBullet2"/>
            </w:pPr>
            <w:r w:rsidRPr="00E13A60">
              <w:t>equivalent stresses based on Von Mises criterion and Tresca criterion</w:t>
            </w:r>
          </w:p>
          <w:p w:rsidR="00000000" w:rsidRPr="00E13A60" w:rsidP="00E13A60">
            <w:pPr>
              <w:pStyle w:val="ListBullet2"/>
            </w:pPr>
            <w:r w:rsidRPr="00E13A60">
              <w:t>shear force and bending moment diagrams, bending stress and torsional stress</w:t>
            </w:r>
          </w:p>
          <w:p w:rsidR="00000000" w:rsidRPr="00E13A60" w:rsidP="00E13A60">
            <w:pPr>
              <w:pStyle w:val="ListBullet2"/>
            </w:pPr>
            <w:r w:rsidRPr="00E13A60">
              <w:t>heat transfer modes (conduction, convection and radiation)</w:t>
            </w:r>
          </w:p>
          <w:p w:rsidR="00000000" w:rsidRPr="00E13A60" w:rsidP="00E13A60">
            <w:pPr>
              <w:pStyle w:val="ListBullet2"/>
            </w:pPr>
            <w:r w:rsidRPr="00E13A60">
              <w:t>thermal stress</w:t>
            </w:r>
          </w:p>
          <w:p w:rsidR="00000000" w:rsidRPr="00E13A60" w:rsidP="00E13A60">
            <w:pPr>
              <w:pStyle w:val="ListBullet"/>
            </w:pPr>
            <w:r w:rsidRPr="00E13A60">
              <w:t>accuracy checking methods, including use of strain gauges and solvers</w:t>
            </w:r>
          </w:p>
          <w:p w:rsidR="00000000" w:rsidRPr="00E13A60" w:rsidP="00E13A60">
            <w:pPr>
              <w:pStyle w:val="ListBullet"/>
            </w:pPr>
            <w:r w:rsidRPr="00E13A60">
              <w:t>software validation techniques</w:t>
            </w:r>
          </w:p>
        </w:tc>
      </w:tr>
    </w:tbl>
    <w:p w:rsidR="00B65C4D" w:rsidP="00E13A60">
      <w:pPr>
        <w:pStyle w:val="BodyText"/>
      </w:pPr>
    </w:p>
    <w:p w:rsidR="00B65C4D" w:rsidP="00E13A60">
      <w:pPr>
        <w:pStyle w:val="BodyText"/>
      </w:pPr>
    </w:p>
    <w:p w:rsidR="00000000" w:rsidRPr="00E13A60" w:rsidP="00E13A60">
      <w:pPr>
        <w:pStyle w:val="Heading1"/>
      </w:pPr>
      <w:bookmarkStart w:id="10" w:name="O_397211"/>
      <w:bookmarkEnd w:id="10"/>
      <w:r w:rsidRPr="00E13A60">
        <w:t>Evidence Guide</w:t>
      </w:r>
    </w:p>
    <w:tbl>
      <w:tblPr>
        <w:tblW w:w="9570" w:type="dxa"/>
        <w:tblLayout w:type="fixed"/>
        <w:tblCellMar>
          <w:left w:w="62" w:type="dxa"/>
          <w:right w:w="62" w:type="dxa"/>
        </w:tblCellMar>
        <w:tblLook w:val="0000"/>
      </w:tblPr>
      <w:tblGrid>
        <w:gridCol w:w="2731"/>
        <w:gridCol w:w="6839"/>
      </w:tblGrid>
      <w:tr w:rsidTr="00E13A60">
        <w:tblPrEx>
          <w:tblW w:w="9570" w:type="dxa"/>
          <w:tblLayout w:type="fixed"/>
          <w:tblCellMar>
            <w:left w:w="62" w:type="dxa"/>
            <w:right w:w="62" w:type="dxa"/>
          </w:tblCellMar>
          <w:tblLook w:val="0000"/>
        </w:tblPrEx>
        <w:tc>
          <w:tcPr>
            <w:tcW w:w="9570"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E13A60">
            <w:pPr>
              <w:pStyle w:val="BodyText"/>
              <w:rPr>
                <w:lang w:val="en-NZ"/>
              </w:rPr>
            </w:pPr>
            <w:r w:rsidRPr="00E13A60">
              <w:t>The evidence guide provides advice on assessment and must be read in conjunction with the performance criteria, required skills and knowledge, range statement and the Assessment Guidelines for the Training Package.</w:t>
            </w:r>
          </w:p>
        </w:tc>
      </w:tr>
      <w:tr w:rsidTr="00E13A6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3A60">
            <w:pPr>
              <w:pStyle w:val="BodyText"/>
              <w:rPr>
                <w:lang w:val="en-NZ"/>
              </w:rPr>
            </w:pPr>
            <w:r w:rsidRPr="00E13A60">
              <w:t>Critica</w:t>
            </w:r>
            <w:r w:rsidRPr="00E13A60">
              <w:t>l aspects for assessment and evidence required to demonstrate competency in this unit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3A60" w:rsidP="00E13A60">
            <w:pPr>
              <w:pStyle w:val="BodyText"/>
            </w:pPr>
            <w:r w:rsidRPr="00E13A60">
              <w:t>Assessors must be satisfied that the candidate can competently and consistently:</w:t>
            </w:r>
          </w:p>
          <w:p w:rsidR="00000000" w:rsidRPr="00E13A60" w:rsidP="00E13A60">
            <w:pPr>
              <w:pStyle w:val="ListBullet"/>
            </w:pPr>
            <w:r w:rsidRPr="00E13A60">
              <w:t>determine functions, features and performance parameters of plant, structure or equipmen</w:t>
            </w:r>
            <w:r w:rsidRPr="00E13A60">
              <w:t>t to be analysed</w:t>
            </w:r>
          </w:p>
          <w:p w:rsidR="00000000" w:rsidRPr="00E13A60" w:rsidP="00E13A60">
            <w:pPr>
              <w:pStyle w:val="ListBullet"/>
            </w:pPr>
            <w:r w:rsidRPr="00E13A60">
              <w:t>determine parameters to the brief or contract, OHS, regulatory, risk management and sustainability requirements</w:t>
            </w:r>
          </w:p>
          <w:p w:rsidR="00000000" w:rsidRPr="00E13A60" w:rsidP="00E13A60">
            <w:pPr>
              <w:pStyle w:val="ListBullet"/>
            </w:pPr>
            <w:r w:rsidRPr="00E13A60">
              <w:t>communicate, advise, negotiate and review with stakeholders and client throughout process</w:t>
            </w:r>
          </w:p>
          <w:p w:rsidR="00000000" w:rsidRPr="00E13A60" w:rsidP="00E13A60">
            <w:pPr>
              <w:pStyle w:val="ListBullet"/>
            </w:pPr>
            <w:r w:rsidRPr="00E13A60">
              <w:t>apply FEA solution techniques</w:t>
            </w:r>
          </w:p>
          <w:p w:rsidR="00000000" w:rsidRPr="00E13A60" w:rsidP="00E13A60">
            <w:pPr>
              <w:pStyle w:val="ListBullet"/>
            </w:pPr>
            <w:r w:rsidRPr="00E13A60">
              <w:t>set up FEA model, parameters, element mesh and nodes</w:t>
            </w:r>
          </w:p>
          <w:p w:rsidR="00000000" w:rsidRPr="00E13A60" w:rsidP="00E13A60">
            <w:pPr>
              <w:pStyle w:val="ListBullet"/>
            </w:pPr>
            <w:r w:rsidRPr="00E13A60">
              <w:t>select solver and adjust and optimise parameters</w:t>
            </w:r>
          </w:p>
          <w:p w:rsidR="00000000" w:rsidRPr="00E13A60" w:rsidP="00E13A60">
            <w:pPr>
              <w:pStyle w:val="ListBullet"/>
            </w:pPr>
            <w:r w:rsidRPr="00E13A60">
              <w:t>generate and assess solution file</w:t>
            </w:r>
          </w:p>
          <w:p w:rsidR="00000000" w:rsidRPr="00E13A60" w:rsidP="00E13A60">
            <w:pPr>
              <w:pStyle w:val="ListBullet"/>
            </w:pPr>
            <w:r w:rsidRPr="00E13A60">
              <w:t>interpret results, generate graphics and identify significant issues</w:t>
            </w:r>
          </w:p>
          <w:p w:rsidR="00000000" w:rsidRPr="00E13A60" w:rsidP="00E13A60">
            <w:pPr>
              <w:pStyle w:val="ListBullet"/>
            </w:pPr>
            <w:r w:rsidRPr="00E13A60">
              <w:t>validate software outputs</w:t>
            </w:r>
          </w:p>
          <w:p w:rsidR="00000000" w:rsidRPr="00E13A60" w:rsidP="00E13A60">
            <w:pPr>
              <w:pStyle w:val="ListBullet"/>
            </w:pPr>
            <w:r w:rsidRPr="00E13A60">
              <w:t>apply systems or holistic</w:t>
            </w:r>
            <w:r w:rsidRPr="00E13A60">
              <w:t xml:space="preserve"> thinking, contingencies and constraints management, problem solving and decision making techniques in making recommendations</w:t>
            </w:r>
          </w:p>
          <w:p w:rsidR="00000000" w:rsidP="00E13A60">
            <w:pPr>
              <w:pStyle w:val="ListBullet"/>
              <w:rPr>
                <w:lang w:val="en-NZ"/>
              </w:rPr>
            </w:pPr>
            <w:r w:rsidRPr="00E13A60">
              <w:t>report and document results.</w:t>
            </w:r>
          </w:p>
        </w:tc>
      </w:tr>
      <w:tr w:rsidTr="00E13A6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3A60">
            <w:pPr>
              <w:pStyle w:val="BodyText"/>
              <w:rPr>
                <w:lang w:val="en-NZ"/>
              </w:rPr>
            </w:pPr>
            <w:r w:rsidRPr="00E13A60">
              <w:t>Context of and specific resources for assessment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3A60" w:rsidP="00E13A60">
            <w:pPr>
              <w:pStyle w:val="ListBullet"/>
            </w:pPr>
            <w:r w:rsidRPr="00E13A60">
              <w:t xml:space="preserve">This unit may be assessed on the job, off the job </w:t>
            </w:r>
            <w:r w:rsidRPr="00E13A60">
              <w:t>or a combination of both on and off the job. Where assessment occurs off the job, that is, the candidate is not in productive work, then a simulated working environment must be used where the range of conditions reflects realistic workplace situations. The</w:t>
            </w:r>
            <w:r w:rsidRPr="00E13A60">
              <w:t xml:space="preserve"> competencies covered by this unit would be demonstrated by an individual working alone or as part of a team. </w:t>
            </w:r>
          </w:p>
          <w:p w:rsidR="00000000" w:rsidRPr="00E13A60" w:rsidP="00E13A60">
            <w:pPr>
              <w:pStyle w:val="ListBullet"/>
            </w:pPr>
            <w:r w:rsidRPr="00E13A60">
              <w:t>Where applicable, reasonable adjustment must be made to work environments and training situations to accommodate ethnicity, age, gender, demograp</w:t>
            </w:r>
            <w:r w:rsidRPr="00E13A60">
              <w:t>hics and disability.</w:t>
            </w:r>
          </w:p>
          <w:p w:rsidR="00000000" w:rsidP="00E13A60">
            <w:pPr>
              <w:pStyle w:val="ListBullet"/>
              <w:rPr>
                <w:lang w:val="en-NZ"/>
              </w:rPr>
            </w:pPr>
            <w:r w:rsidRPr="00E13A60">
              <w:t>Access must be provided to appropriate learning and/or assessment support when required. Where applicable, physical resources should include equipment modified for people with disabilities.</w:t>
            </w:r>
          </w:p>
        </w:tc>
      </w:tr>
      <w:tr w:rsidTr="00E13A6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3A60">
            <w:pPr>
              <w:pStyle w:val="BodyText"/>
              <w:rPr>
                <w:lang w:val="en-NZ"/>
              </w:rPr>
            </w:pPr>
            <w:r w:rsidRPr="00E13A60">
              <w:t>Method of assessment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3A60" w:rsidP="00E13A60">
            <w:pPr>
              <w:pStyle w:val="ListBullet"/>
            </w:pPr>
            <w:r w:rsidRPr="00E13A60">
              <w:t>Assessment must satisfy the endorsed Assessment Guidelines of the MEM05 Metal and Engineering Training Package.</w:t>
            </w:r>
          </w:p>
          <w:p w:rsidR="00000000" w:rsidRPr="00E13A60" w:rsidP="00E13A60">
            <w:pPr>
              <w:pStyle w:val="ListBullet"/>
            </w:pPr>
            <w:r w:rsidRPr="00E13A60">
              <w:t xml:space="preserve">Assessment methods must confirm consistency and accuracy of performance (over time and in a range of workplace relevant contexts) together with </w:t>
            </w:r>
            <w:r w:rsidRPr="00E13A60">
              <w:t>application of underpinning knowledge.</w:t>
            </w:r>
          </w:p>
          <w:p w:rsidR="00000000" w:rsidRPr="00E13A60" w:rsidP="00E13A60">
            <w:pPr>
              <w:pStyle w:val="ListBullet"/>
            </w:pPr>
            <w:r w:rsidRPr="00E13A60">
              <w:t>Assessment methods must be by direct observation of tasks and include questioning on underpinning knowledge to ensure its correct interpretation and application.</w:t>
            </w:r>
          </w:p>
          <w:p w:rsidR="00000000" w:rsidRPr="00E13A60" w:rsidP="00E13A60">
            <w:pPr>
              <w:pStyle w:val="ListBullet"/>
            </w:pPr>
            <w:r w:rsidRPr="00E13A60">
              <w:t>Assessment may be applied under project-related conditi</w:t>
            </w:r>
            <w:r w:rsidRPr="00E13A60">
              <w:t>ons (real or simulated) and require evidence of process.</w:t>
            </w:r>
          </w:p>
          <w:p w:rsidR="00000000" w:rsidRPr="00E13A60" w:rsidP="00E13A60">
            <w:pPr>
              <w:pStyle w:val="ListBullet"/>
            </w:pPr>
            <w:r w:rsidRPr="00E13A60">
              <w:t>Assessment must confirm a reasonable inference that competency is able not only to be satisfied under the particular circumstance, but is able to be transferred to other circumstances.</w:t>
            </w:r>
          </w:p>
          <w:p w:rsidR="00000000" w:rsidP="00E13A60">
            <w:pPr>
              <w:pStyle w:val="ListBullet"/>
              <w:rPr>
                <w:lang w:val="en-NZ"/>
              </w:rPr>
            </w:pPr>
            <w:r w:rsidRPr="00E13A60">
              <w:t>Assessment may</w:t>
            </w:r>
            <w:r w:rsidRPr="00E13A60">
              <w:t xml:space="preserve"> be in conjunction with assessment of other units of competency where required.</w:t>
            </w:r>
          </w:p>
        </w:tc>
      </w:tr>
      <w:tr w:rsidTr="00E13A6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3A60">
            <w:pPr>
              <w:pStyle w:val="BodyText"/>
              <w:rPr>
                <w:lang w:val="en-NZ"/>
              </w:rPr>
            </w:pPr>
            <w:r w:rsidRPr="00E13A60">
              <w:t>Guidance information for assessment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3A60" w:rsidP="00E13A60">
            <w:pPr>
              <w:pStyle w:val="BodyText"/>
            </w:pPr>
            <w:r w:rsidRPr="00E13A60">
              <w:t>Assessment processes and techniques must be culturally appropriate and appropriate to the language and literacy capacity of the candidate a</w:t>
            </w:r>
            <w:r w:rsidRPr="00E13A60">
              <w:t>nd the work being performed.</w:t>
            </w:r>
          </w:p>
        </w:tc>
      </w:tr>
    </w:tbl>
    <w:p w:rsidR="00B65C4D" w:rsidP="00E13A60">
      <w:pPr>
        <w:pStyle w:val="BodyText"/>
      </w:pPr>
    </w:p>
    <w:p w:rsidR="00B65C4D" w:rsidP="00E13A60">
      <w:pPr>
        <w:pStyle w:val="BodyText"/>
      </w:pPr>
    </w:p>
    <w:p w:rsidR="00000000" w:rsidRPr="00E13A60" w:rsidP="00E13A60">
      <w:pPr>
        <w:pStyle w:val="Heading1"/>
      </w:pPr>
      <w:bookmarkStart w:id="11" w:name="O_397212"/>
      <w:bookmarkEnd w:id="11"/>
      <w:r w:rsidRPr="00E13A60">
        <w:t>Range Statement</w:t>
      </w:r>
    </w:p>
    <w:tbl>
      <w:tblPr>
        <w:tblW w:w="9570" w:type="dxa"/>
        <w:tblLayout w:type="fixed"/>
        <w:tblCellMar>
          <w:left w:w="62" w:type="dxa"/>
          <w:right w:w="62" w:type="dxa"/>
        </w:tblCellMar>
        <w:tblLook w:val="0000"/>
      </w:tblPr>
      <w:tblGrid>
        <w:gridCol w:w="2438"/>
        <w:gridCol w:w="7132"/>
      </w:tblGrid>
      <w:tr w:rsidTr="00E13A60">
        <w:tblPrEx>
          <w:tblW w:w="9570" w:type="dxa"/>
          <w:tblLayout w:type="fixed"/>
          <w:tblCellMar>
            <w:left w:w="62" w:type="dxa"/>
            <w:right w:w="62" w:type="dxa"/>
          </w:tblCellMar>
          <w:tblLook w:val="0000"/>
        </w:tblPrEx>
        <w:tc>
          <w:tcPr>
            <w:tcW w:w="9570"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E13A60">
            <w:pPr>
              <w:pStyle w:val="BodyText"/>
              <w:rPr>
                <w:lang w:val="en-NZ"/>
              </w:rPr>
            </w:pPr>
            <w:r w:rsidRPr="00E13A60">
              <w:t xml:space="preserve">The range statement relates to the unit of competency as a whole. It allows for different work environments and situations that may affect </w:t>
            </w:r>
            <w:r w:rsidRPr="00E13A60">
              <w:t>performance. Bold italicised wording, if used in the performance criteria, is detailed below. Essential operating conditions that may be present with training and assessment (depending on the work situation, needs of the candidate, accessibility of the ite</w:t>
            </w:r>
            <w:r w:rsidRPr="00E13A60">
              <w:t>m, and local industry and regional contexts) may also be included.</w:t>
            </w:r>
          </w:p>
        </w:tc>
      </w:tr>
      <w:tr w:rsidTr="00E13A60">
        <w:tblPrEx>
          <w:tblW w:w="9570"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3A60">
            <w:pPr>
              <w:pStyle w:val="BodyText"/>
              <w:rPr>
                <w:lang w:val="en-NZ"/>
              </w:rPr>
            </w:pPr>
            <w:r w:rsidRPr="00E13A60">
              <w:rPr>
                <w:rStyle w:val="SpecialBold"/>
              </w:rPr>
              <w:t>FEA</w:t>
            </w:r>
          </w:p>
        </w:tc>
        <w:tc>
          <w:tcPr>
            <w:tcW w:w="7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3A60" w:rsidP="00E13A60">
            <w:pPr>
              <w:pStyle w:val="BodyText"/>
            </w:pPr>
            <w:r w:rsidRPr="00E13A60">
              <w:t>FEA uses numerical techniques to find approximate solutions for engineering problems, such as:</w:t>
            </w:r>
          </w:p>
          <w:p w:rsidR="00000000" w:rsidRPr="00E13A60" w:rsidP="00E13A60">
            <w:pPr>
              <w:pStyle w:val="ListBullet"/>
            </w:pPr>
            <w:r w:rsidRPr="00E13A60">
              <w:t>load, stiffness and deflection analysis and animations for vehicle crash simulations</w:t>
            </w:r>
          </w:p>
          <w:p w:rsidR="00000000" w:rsidRPr="00E13A60" w:rsidP="00E13A60">
            <w:pPr>
              <w:pStyle w:val="ListBullet"/>
            </w:pPr>
            <w:r w:rsidRPr="00E13A60">
              <w:t>ho</w:t>
            </w:r>
            <w:r w:rsidRPr="00E13A60">
              <w:t>pper and bin designs</w:t>
            </w:r>
          </w:p>
          <w:p w:rsidR="00000000" w:rsidRPr="00E13A60" w:rsidP="00E13A60">
            <w:pPr>
              <w:pStyle w:val="ListBullet"/>
            </w:pPr>
            <w:r w:rsidRPr="00E13A60">
              <w:t>piping systems</w:t>
            </w:r>
          </w:p>
          <w:p w:rsidR="00000000" w:rsidP="00E13A60">
            <w:pPr>
              <w:pStyle w:val="ListBullet"/>
              <w:rPr>
                <w:lang w:val="en-NZ"/>
              </w:rPr>
            </w:pPr>
            <w:r w:rsidRPr="00E13A60">
              <w:t>heat flow, such as in in cavity moulds, load distribution, stiffness and strength in structures</w:t>
            </w:r>
          </w:p>
        </w:tc>
      </w:tr>
      <w:tr w:rsidTr="00E13A60">
        <w:tblPrEx>
          <w:tblW w:w="9570"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3A60">
            <w:pPr>
              <w:pStyle w:val="BodyText"/>
              <w:rPr>
                <w:lang w:val="en-NZ"/>
              </w:rPr>
            </w:pPr>
            <w:r w:rsidRPr="00E13A60">
              <w:rPr>
                <w:rStyle w:val="SpecialBold"/>
              </w:rPr>
              <w:t>Parameters to the brief</w:t>
            </w:r>
          </w:p>
        </w:tc>
        <w:tc>
          <w:tcPr>
            <w:tcW w:w="7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3A60" w:rsidP="00E13A60">
            <w:pPr>
              <w:pStyle w:val="BodyText"/>
            </w:pPr>
            <w:r w:rsidRPr="00E13A60">
              <w:t>The design brief may include the design of new equipment or fault analysis, rectification or modification to an existing design. Parameters to the design brief may include:</w:t>
            </w:r>
          </w:p>
          <w:p w:rsidR="00000000" w:rsidRPr="00E13A60" w:rsidP="00E13A60">
            <w:pPr>
              <w:pStyle w:val="ListBullet"/>
            </w:pPr>
            <w:r w:rsidRPr="00E13A60">
              <w:t>determination of the degree of innovation and creativity expected by the client</w:t>
            </w:r>
          </w:p>
          <w:p w:rsidR="00000000" w:rsidRPr="00E13A60" w:rsidP="00E13A60">
            <w:pPr>
              <w:pStyle w:val="ListBullet"/>
            </w:pPr>
            <w:r w:rsidRPr="00E13A60">
              <w:t>de</w:t>
            </w:r>
            <w:r w:rsidRPr="00E13A60">
              <w:t>sign process limits and budgets</w:t>
            </w:r>
          </w:p>
          <w:p w:rsidR="00000000" w:rsidRPr="00E13A60" w:rsidP="00E13A60">
            <w:pPr>
              <w:pStyle w:val="ListBullet"/>
            </w:pPr>
            <w:r w:rsidRPr="00E13A60">
              <w:t>product cost limits and budgets</w:t>
            </w:r>
          </w:p>
          <w:p w:rsidR="00000000" w:rsidRPr="00E13A60" w:rsidP="00E13A60">
            <w:pPr>
              <w:pStyle w:val="ListBullet"/>
            </w:pPr>
            <w:r w:rsidRPr="00E13A60">
              <w:t>performance specifications</w:t>
            </w:r>
          </w:p>
          <w:p w:rsidR="00000000" w:rsidRPr="00E13A60" w:rsidP="00E13A60">
            <w:pPr>
              <w:pStyle w:val="ListBullet"/>
            </w:pPr>
            <w:r w:rsidRPr="00E13A60">
              <w:t>equipment availability, capacities and restrictions</w:t>
            </w:r>
          </w:p>
          <w:p w:rsidR="00000000" w:rsidRPr="00E13A60" w:rsidP="00E13A60">
            <w:pPr>
              <w:pStyle w:val="ListBullet"/>
            </w:pPr>
            <w:r w:rsidRPr="00E13A60">
              <w:t>specified administrative, communication and approval procedures</w:t>
            </w:r>
          </w:p>
          <w:p w:rsidR="00000000" w:rsidP="00E13A60">
            <w:pPr>
              <w:pStyle w:val="ListBullet"/>
              <w:rPr>
                <w:lang w:val="en-NZ"/>
              </w:rPr>
            </w:pPr>
            <w:r w:rsidRPr="00E13A60">
              <w:t>other special features and limits in the design b</w:t>
            </w:r>
            <w:r w:rsidRPr="00E13A60">
              <w:t>rief</w:t>
            </w:r>
          </w:p>
        </w:tc>
      </w:tr>
      <w:tr w:rsidTr="00E13A60">
        <w:tblPrEx>
          <w:tblW w:w="9570"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3A60">
            <w:pPr>
              <w:pStyle w:val="BodyText"/>
              <w:rPr>
                <w:lang w:val="en-NZ"/>
              </w:rPr>
            </w:pPr>
            <w:r w:rsidRPr="00E13A60">
              <w:rPr>
                <w:rStyle w:val="SpecialBold"/>
              </w:rPr>
              <w:t>Standards and codes</w:t>
            </w:r>
          </w:p>
        </w:tc>
        <w:tc>
          <w:tcPr>
            <w:tcW w:w="7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3A60">
            <w:pPr>
              <w:pStyle w:val="BodyText"/>
              <w:rPr>
                <w:lang w:val="en-NZ"/>
              </w:rPr>
            </w:pPr>
            <w:r w:rsidRPr="00E13A60">
              <w:t>Standards and codes refer to all relevant Australian and international standards and codes applicable to a particular design task</w:t>
            </w:r>
          </w:p>
        </w:tc>
      </w:tr>
      <w:tr w:rsidTr="00E13A60">
        <w:tblPrEx>
          <w:tblW w:w="9570"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3A60" w:rsidP="00E13A60">
            <w:pPr>
              <w:pStyle w:val="BodyText"/>
            </w:pPr>
            <w:r w:rsidRPr="00E13A60">
              <w:rPr>
                <w:rStyle w:val="SpecialBold"/>
              </w:rPr>
              <w:t>OHS, regulatory, sustainability and environmental requirements</w:t>
            </w:r>
          </w:p>
        </w:tc>
        <w:tc>
          <w:tcPr>
            <w:tcW w:w="7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3A60" w:rsidP="00E13A60">
            <w:pPr>
              <w:pStyle w:val="BodyText"/>
            </w:pPr>
            <w:r w:rsidRPr="00E13A60">
              <w:rPr>
                <w:rStyle w:val="SpecialBold"/>
              </w:rPr>
              <w:t xml:space="preserve">OHS, regulatory, sustainability and </w:t>
            </w:r>
            <w:r w:rsidRPr="00E13A60">
              <w:rPr>
                <w:rStyle w:val="SpecialBold"/>
              </w:rPr>
              <w:t>environmental requirements</w:t>
            </w:r>
            <w:r w:rsidRPr="00E13A60">
              <w:t xml:space="preserve"> may include:</w:t>
            </w:r>
          </w:p>
          <w:p w:rsidR="00000000" w:rsidRPr="00E13A60" w:rsidP="00E13A60">
            <w:pPr>
              <w:pStyle w:val="ListBullet"/>
            </w:pPr>
            <w:r w:rsidRPr="00E13A60">
              <w:t>OHS Acts and regulations</w:t>
            </w:r>
          </w:p>
          <w:p w:rsidR="00000000" w:rsidRPr="00E13A60" w:rsidP="00E13A60">
            <w:pPr>
              <w:pStyle w:val="ListBullet"/>
            </w:pPr>
            <w:r w:rsidRPr="00E13A60">
              <w:t>relevant standards</w:t>
            </w:r>
          </w:p>
          <w:p w:rsidR="00000000" w:rsidRPr="00E13A60" w:rsidP="00E13A60">
            <w:pPr>
              <w:pStyle w:val="ListBullet"/>
            </w:pPr>
            <w:r w:rsidRPr="00E13A60">
              <w:t>industry codes of practice</w:t>
            </w:r>
          </w:p>
          <w:p w:rsidR="00000000" w:rsidRPr="00E13A60" w:rsidP="00E13A60">
            <w:pPr>
              <w:pStyle w:val="ListBullet"/>
            </w:pPr>
            <w:r w:rsidRPr="00E13A60">
              <w:t>risk assessments</w:t>
            </w:r>
          </w:p>
          <w:p w:rsidR="00000000" w:rsidRPr="00E13A60" w:rsidP="00E13A60">
            <w:pPr>
              <w:pStyle w:val="ListBullet"/>
            </w:pPr>
            <w:r w:rsidRPr="00E13A60">
              <w:t xml:space="preserve">registration requirements </w:t>
            </w:r>
          </w:p>
          <w:p w:rsidR="00000000" w:rsidRPr="00E13A60" w:rsidP="00E13A60">
            <w:pPr>
              <w:pStyle w:val="ListBullet"/>
            </w:pPr>
            <w:r w:rsidRPr="00E13A60">
              <w:t>safe work practices</w:t>
            </w:r>
          </w:p>
          <w:p w:rsidR="00000000" w:rsidRPr="00E13A60" w:rsidP="00E13A60">
            <w:pPr>
              <w:pStyle w:val="ListBullet"/>
            </w:pPr>
            <w:r w:rsidRPr="00E13A60">
              <w:t>minimising ecological and environmental footprint of process, plant and product</w:t>
            </w:r>
          </w:p>
          <w:p w:rsidR="00000000" w:rsidRPr="00E13A60" w:rsidP="00E13A60">
            <w:pPr>
              <w:pStyle w:val="ListBullet"/>
            </w:pPr>
            <w:r w:rsidRPr="00E13A60">
              <w:t xml:space="preserve">maximising economic benefit of process plant and product to the organisation and the community </w:t>
            </w:r>
          </w:p>
          <w:p w:rsidR="00000000" w:rsidRPr="00E13A60" w:rsidP="00E13A60">
            <w:pPr>
              <w:pStyle w:val="ListBullet"/>
            </w:pPr>
            <w:r w:rsidRPr="00E13A60">
              <w:t>minimising the negative OHS impact on employees, community and customer</w:t>
            </w:r>
          </w:p>
          <w:p w:rsidR="00000000" w:rsidP="00E13A60">
            <w:pPr>
              <w:pStyle w:val="ListBullet"/>
              <w:rPr>
                <w:lang w:val="en-NZ"/>
              </w:rPr>
            </w:pPr>
            <w:r w:rsidRPr="00E13A60">
              <w:t xml:space="preserve">state and territory regulatory requirements </w:t>
            </w:r>
          </w:p>
        </w:tc>
      </w:tr>
      <w:tr w:rsidTr="00E13A60">
        <w:tblPrEx>
          <w:tblW w:w="9570"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3A60">
            <w:pPr>
              <w:pStyle w:val="BodyText"/>
              <w:rPr>
                <w:lang w:val="en-NZ"/>
              </w:rPr>
            </w:pPr>
            <w:r w:rsidRPr="00E13A60">
              <w:rPr>
                <w:rStyle w:val="SpecialBold"/>
              </w:rPr>
              <w:t>Appropriate solver</w:t>
            </w:r>
          </w:p>
        </w:tc>
        <w:tc>
          <w:tcPr>
            <w:tcW w:w="7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3A60" w:rsidP="00E13A60">
            <w:pPr>
              <w:pStyle w:val="BodyText"/>
            </w:pPr>
            <w:r w:rsidRPr="00E13A60">
              <w:t xml:space="preserve">Appropriate solver may </w:t>
            </w:r>
            <w:r w:rsidRPr="00E13A60">
              <w:t>include:</w:t>
            </w:r>
          </w:p>
          <w:p w:rsidR="00000000" w:rsidRPr="00E13A60" w:rsidP="00E13A60">
            <w:pPr>
              <w:pStyle w:val="ListBullet"/>
            </w:pPr>
            <w:r w:rsidRPr="00E13A60">
              <w:t>sparse</w:t>
            </w:r>
          </w:p>
          <w:p w:rsidR="00000000" w:rsidRPr="00E13A60" w:rsidP="00E13A60">
            <w:pPr>
              <w:pStyle w:val="ListBullet"/>
            </w:pPr>
            <w:r w:rsidRPr="00E13A60">
              <w:t>preconditioned conjugate gradient (PCG)</w:t>
            </w:r>
          </w:p>
          <w:p w:rsidR="00000000" w:rsidRPr="00E13A60" w:rsidP="00E13A60">
            <w:pPr>
              <w:pStyle w:val="ListBullet"/>
            </w:pPr>
            <w:r w:rsidRPr="00E13A60">
              <w:t xml:space="preserve">incomplete cholesky conjugate gradient </w:t>
            </w:r>
          </w:p>
          <w:p w:rsidR="00000000" w:rsidP="00E13A60">
            <w:pPr>
              <w:pStyle w:val="ListBullet"/>
              <w:rPr>
                <w:lang w:val="en-NZ"/>
              </w:rPr>
            </w:pPr>
            <w:r w:rsidRPr="00E13A60">
              <w:t>frontal</w:t>
            </w:r>
          </w:p>
        </w:tc>
      </w:tr>
      <w:tr w:rsidTr="00E13A60">
        <w:tblPrEx>
          <w:tblW w:w="9570"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3A60">
            <w:pPr>
              <w:pStyle w:val="BodyText"/>
              <w:rPr>
                <w:lang w:val="en-NZ"/>
              </w:rPr>
            </w:pPr>
            <w:r w:rsidRPr="00E13A60">
              <w:rPr>
                <w:rStyle w:val="SpecialBold"/>
              </w:rPr>
              <w:t>Client</w:t>
            </w:r>
          </w:p>
        </w:tc>
        <w:tc>
          <w:tcPr>
            <w:tcW w:w="7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3A60" w:rsidP="00E13A60">
            <w:pPr>
              <w:pStyle w:val="BodyText"/>
            </w:pPr>
            <w:r w:rsidRPr="00E13A60">
              <w:t>Client may be:</w:t>
            </w:r>
          </w:p>
          <w:p w:rsidR="00000000" w:rsidRPr="00E13A60" w:rsidP="00E13A60">
            <w:pPr>
              <w:pStyle w:val="ListBullet"/>
            </w:pPr>
            <w:r w:rsidRPr="00E13A60">
              <w:t>internal or external to the organisation</w:t>
            </w:r>
          </w:p>
        </w:tc>
      </w:tr>
    </w:tbl>
    <w:p w:rsidR="00B65C4D" w:rsidP="00E13A60">
      <w:pPr>
        <w:pStyle w:val="BodyText"/>
      </w:pPr>
    </w:p>
    <w:p w:rsidR="00B65C4D" w:rsidP="00E13A60">
      <w:pPr>
        <w:pStyle w:val="BodyText"/>
      </w:pPr>
    </w:p>
    <w:p w:rsidR="00000000" w:rsidRPr="00E13A60" w:rsidP="00E13A60">
      <w:pPr>
        <w:pStyle w:val="Heading1"/>
      </w:pPr>
      <w:bookmarkStart w:id="12" w:name="O_397213"/>
      <w:bookmarkEnd w:id="12"/>
      <w:r w:rsidRPr="00E13A60">
        <w:t>Unit Sector(s)</w:t>
      </w:r>
    </w:p>
    <w:p w:rsidR="00000000" w:rsidRPr="00E13A60" w:rsidP="00E13A60">
      <w:pPr>
        <w:pStyle w:val="BodyText"/>
      </w:pPr>
      <w:r w:rsidRPr="00E13A60">
        <w:t>Engineering practice</w:t>
      </w:r>
    </w:p>
    <w:p w:rsidR="00000000" w:rsidRPr="00E13A60" w:rsidP="00E13A60">
      <w:pPr>
        <w:pStyle w:val="AllowPageBreak"/>
      </w:pPr>
    </w:p>
    <w:p w:rsidR="00000000" w:rsidRPr="00E13A60" w:rsidP="00E13A60">
      <w:pPr>
        <w:pStyle w:val="Heading1"/>
      </w:pPr>
      <w:bookmarkStart w:id="13" w:name="O_397214"/>
      <w:bookmarkEnd w:id="13"/>
      <w:r w:rsidRPr="00E13A60">
        <w:t>Custom Content Section</w:t>
      </w:r>
    </w:p>
    <w:p w:rsidR="00000000" w:rsidRPr="00E13A60" w:rsidP="00E13A60">
      <w:pPr>
        <w:pStyle w:val="BodyText"/>
      </w:pPr>
      <w:r w:rsidRPr="00E13A60">
        <w:t>Not applicable.</w:t>
      </w:r>
    </w:p>
    <w:p w:rsidR="00000000" w:rsidRPr="00E13A60" w:rsidP="00E13A60"/>
    <w:sectPr w:rsidSect="00E13A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A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5C4D" w:rsidP="00B65C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A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C4D" w:rsidP="00E13A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65C4D" w:rsidP="00E13A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65C4D" w:rsidP="00E13A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A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5C4D" w:rsidP="00B65C4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A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C4D" w:rsidP="00E13A60">
    <w:pPr>
      <w:pStyle w:val="Header"/>
      <w:framePr w:wrap="around"/>
    </w:pPr>
    <w:r>
      <w:fldChar w:fldCharType="begin"/>
    </w:r>
    <w:r>
      <w:instrText xml:space="preserve"> TITLE   \* MERGEFORMAT </w:instrText>
    </w:r>
    <w:r>
      <w:fldChar w:fldCharType="separate"/>
    </w:r>
    <w:r>
      <w:t>MEM234019A Apply finite element analysis in engineering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65C4D" w:rsidP="00E13A6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08F0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626E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5250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3A6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13A60"/>
    <w:pPr>
      <w:spacing w:before="360" w:after="60"/>
      <w:outlineLvl w:val="0"/>
    </w:pPr>
    <w:rPr>
      <w:sz w:val="32"/>
    </w:rPr>
  </w:style>
  <w:style w:type="paragraph" w:styleId="Heading2">
    <w:name w:val="heading 2"/>
    <w:basedOn w:val="HeadingBase"/>
    <w:next w:val="BodyText"/>
    <w:link w:val="Heading2Char"/>
    <w:qFormat/>
    <w:rsid w:val="00E13A60"/>
    <w:pPr>
      <w:keepLines/>
      <w:spacing w:before="240" w:after="120"/>
      <w:outlineLvl w:val="1"/>
    </w:pPr>
    <w:rPr>
      <w:sz w:val="28"/>
      <w:szCs w:val="40"/>
    </w:rPr>
  </w:style>
  <w:style w:type="paragraph" w:styleId="Heading3">
    <w:name w:val="heading 3"/>
    <w:basedOn w:val="HeadingBase"/>
    <w:next w:val="BodyText"/>
    <w:link w:val="Heading3Char"/>
    <w:qFormat/>
    <w:rsid w:val="00E13A60"/>
    <w:pPr>
      <w:spacing w:before="180" w:after="120"/>
      <w:outlineLvl w:val="2"/>
    </w:pPr>
    <w:rPr>
      <w:spacing w:val="-10"/>
      <w:kern w:val="32"/>
    </w:rPr>
  </w:style>
  <w:style w:type="paragraph" w:styleId="Heading4">
    <w:name w:val="heading 4"/>
    <w:basedOn w:val="HeadingBase"/>
    <w:next w:val="BodyText"/>
    <w:link w:val="Heading4Char"/>
    <w:qFormat/>
    <w:rsid w:val="00E13A60"/>
    <w:pPr>
      <w:spacing w:before="160" w:after="120"/>
      <w:outlineLvl w:val="3"/>
    </w:pPr>
    <w:rPr>
      <w:sz w:val="22"/>
    </w:rPr>
  </w:style>
  <w:style w:type="paragraph" w:styleId="Heading5">
    <w:name w:val="heading 5"/>
    <w:basedOn w:val="HeadingBase"/>
    <w:next w:val="Normal"/>
    <w:link w:val="Heading5Char"/>
    <w:qFormat/>
    <w:rsid w:val="00E13A60"/>
    <w:pPr>
      <w:spacing w:before="80"/>
      <w:outlineLvl w:val="4"/>
    </w:pPr>
    <w:rPr>
      <w:color w:val="918585"/>
      <w:sz w:val="20"/>
    </w:rPr>
  </w:style>
  <w:style w:type="paragraph" w:styleId="Heading6">
    <w:name w:val="heading 6"/>
    <w:basedOn w:val="HeadingBase"/>
    <w:next w:val="Normal"/>
    <w:link w:val="Heading6Char"/>
    <w:qFormat/>
    <w:rsid w:val="00E13A60"/>
    <w:pPr>
      <w:spacing w:before="60"/>
      <w:outlineLvl w:val="5"/>
    </w:pPr>
    <w:rPr>
      <w:color w:val="918585"/>
      <w:sz w:val="20"/>
    </w:rPr>
  </w:style>
  <w:style w:type="paragraph" w:styleId="Heading7">
    <w:name w:val="heading 7"/>
    <w:basedOn w:val="Normal"/>
    <w:next w:val="Normal"/>
    <w:link w:val="Heading7Char"/>
    <w:qFormat/>
    <w:rsid w:val="00E13A60"/>
    <w:pPr>
      <w:ind w:left="720"/>
      <w:outlineLvl w:val="6"/>
    </w:pPr>
    <w:rPr>
      <w:i/>
    </w:rPr>
  </w:style>
  <w:style w:type="paragraph" w:styleId="Heading8">
    <w:name w:val="heading 8"/>
    <w:basedOn w:val="Normal"/>
    <w:next w:val="Normal"/>
    <w:link w:val="Heading8Char"/>
    <w:qFormat/>
    <w:rsid w:val="00E13A60"/>
    <w:pPr>
      <w:ind w:left="720"/>
      <w:outlineLvl w:val="7"/>
    </w:pPr>
    <w:rPr>
      <w:i/>
    </w:rPr>
  </w:style>
  <w:style w:type="paragraph" w:styleId="Heading9">
    <w:name w:val="heading 9"/>
    <w:basedOn w:val="Normal"/>
    <w:next w:val="Normal"/>
    <w:link w:val="Heading9Char"/>
    <w:qFormat/>
    <w:rsid w:val="00E13A60"/>
    <w:pPr>
      <w:ind w:left="720"/>
      <w:outlineLvl w:val="8"/>
    </w:pPr>
    <w:rPr>
      <w:i/>
    </w:rPr>
  </w:style>
  <w:style w:type="character" w:default="1" w:styleId="DefaultParagraphFont">
    <w:name w:val="Default Paragraph Font"/>
    <w:uiPriority w:val="1"/>
    <w:unhideWhenUsed/>
    <w:rsid w:val="00E13A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3A60"/>
  </w:style>
  <w:style w:type="character" w:customStyle="1" w:styleId="Heading1Char">
    <w:name w:val="Heading 1 Char"/>
    <w:basedOn w:val="DefaultParagraphFont"/>
    <w:link w:val="Heading1"/>
    <w:rsid w:val="00E13A60"/>
    <w:rPr>
      <w:rFonts w:ascii="Times New Roman" w:eastAsia="Times New Roman" w:hAnsi="Times New Roman" w:cs="Times New Roman"/>
      <w:b/>
      <w:sz w:val="32"/>
      <w:szCs w:val="20"/>
      <w:lang w:eastAsia="en-US"/>
    </w:rPr>
  </w:style>
  <w:style w:type="paragraph" w:styleId="BodyText">
    <w:name w:val="Body Text"/>
    <w:basedOn w:val="Normal"/>
    <w:link w:val="BodyTextChar"/>
    <w:rsid w:val="00E13A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3A60"/>
    <w:rPr>
      <w:rFonts w:ascii="Times New Roman" w:eastAsia="Times New Roman" w:hAnsi="Times New Roman" w:cs="Times New Roman"/>
      <w:sz w:val="24"/>
      <w:lang w:val="en-US" w:eastAsia="en-US"/>
    </w:rPr>
  </w:style>
  <w:style w:type="paragraph" w:styleId="Footer">
    <w:name w:val="footer"/>
    <w:basedOn w:val="Normal"/>
    <w:link w:val="FooterChar"/>
    <w:rsid w:val="00E13A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3A60"/>
    <w:rPr>
      <w:rFonts w:ascii="Times New Roman" w:eastAsia="Times New Roman" w:hAnsi="Times New Roman" w:cs="Times New Roman"/>
      <w:sz w:val="16"/>
      <w:lang w:val="en-US" w:eastAsia="en-US"/>
    </w:rPr>
  </w:style>
  <w:style w:type="paragraph" w:styleId="ListBullet">
    <w:name w:val="List Bullet"/>
    <w:basedOn w:val="List"/>
    <w:rsid w:val="00E13A60"/>
    <w:pPr>
      <w:numPr>
        <w:numId w:val="13"/>
      </w:numPr>
      <w:tabs>
        <w:tab w:val="clear" w:pos="340"/>
      </w:tabs>
      <w:spacing w:before="40" w:after="40"/>
    </w:pPr>
  </w:style>
  <w:style w:type="character" w:customStyle="1" w:styleId="SpecialBold">
    <w:name w:val="Special Bold"/>
    <w:basedOn w:val="DefaultParagraphFont"/>
    <w:rsid w:val="00E13A60"/>
    <w:rPr>
      <w:b/>
      <w:spacing w:val="0"/>
    </w:rPr>
  </w:style>
  <w:style w:type="paragraph" w:styleId="ListBullet2">
    <w:name w:val="List Bullet 2"/>
    <w:basedOn w:val="List2"/>
    <w:rsid w:val="00E13A60"/>
    <w:pPr>
      <w:numPr>
        <w:numId w:val="14"/>
      </w:numPr>
      <w:tabs>
        <w:tab w:val="clear" w:pos="680"/>
      </w:tabs>
    </w:pPr>
  </w:style>
  <w:style w:type="paragraph" w:styleId="Header">
    <w:name w:val="header"/>
    <w:basedOn w:val="Normal"/>
    <w:link w:val="HeaderChar"/>
    <w:rsid w:val="00E13A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3A6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13A60"/>
    <w:pPr>
      <w:spacing w:before="240" w:after="120"/>
      <w:outlineLvl w:val="0"/>
    </w:pPr>
    <w:rPr>
      <w:rFonts w:ascii="Times New Roman" w:hAnsi="Times New Roman"/>
      <w:b/>
      <w:sz w:val="28"/>
    </w:rPr>
  </w:style>
  <w:style w:type="paragraph" w:customStyle="1" w:styleId="AllowPageBreak">
    <w:name w:val="AllowPageBreak"/>
    <w:rsid w:val="00E13A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3A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3A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3A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3A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3A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3A6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13A6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13A60"/>
    <w:rPr>
      <w:rFonts w:ascii="Courier New" w:eastAsia="Times New Roman" w:hAnsi="Courier New" w:cs="Times New Roman"/>
      <w:i/>
      <w:szCs w:val="20"/>
      <w:lang w:val="en-US" w:eastAsia="en-US"/>
    </w:rPr>
  </w:style>
  <w:style w:type="paragraph" w:customStyle="1" w:styleId="HeadingBase">
    <w:name w:val="Heading Base"/>
    <w:rsid w:val="00E13A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3A60"/>
    <w:pPr>
      <w:tabs>
        <w:tab w:val="right" w:leader="dot" w:pos="9072"/>
      </w:tabs>
      <w:ind w:left="567"/>
    </w:pPr>
    <w:rPr>
      <w:szCs w:val="22"/>
    </w:rPr>
  </w:style>
  <w:style w:type="paragraph" w:customStyle="1" w:styleId="TOCBase">
    <w:name w:val="TOC Base"/>
    <w:rsid w:val="00E13A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3A60"/>
    <w:pPr>
      <w:tabs>
        <w:tab w:val="right" w:leader="dot" w:pos="9072"/>
      </w:tabs>
      <w:spacing w:before="40" w:after="40"/>
      <w:ind w:left="284"/>
    </w:pPr>
    <w:rPr>
      <w:rFonts w:ascii="Times New Roman" w:hAnsi="Times New Roman"/>
    </w:rPr>
  </w:style>
  <w:style w:type="paragraph" w:styleId="TOC1">
    <w:name w:val="toc 1"/>
    <w:basedOn w:val="TOCBase"/>
    <w:next w:val="Normal"/>
    <w:rsid w:val="00E13A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3A60"/>
    <w:pPr>
      <w:spacing w:before="5040"/>
      <w:jc w:val="center"/>
    </w:pPr>
    <w:rPr>
      <w:sz w:val="48"/>
      <w:szCs w:val="72"/>
      <w:lang w:val="en-US"/>
    </w:rPr>
  </w:style>
  <w:style w:type="character" w:customStyle="1" w:styleId="TitleChar">
    <w:name w:val="Title Char"/>
    <w:basedOn w:val="DefaultParagraphFont"/>
    <w:link w:val="Title"/>
    <w:rsid w:val="00E13A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3A60"/>
    <w:pPr>
      <w:tabs>
        <w:tab w:val="left" w:pos="3600"/>
        <w:tab w:val="left" w:pos="3958"/>
      </w:tabs>
    </w:pPr>
  </w:style>
  <w:style w:type="paragraph" w:styleId="List">
    <w:name w:val="List"/>
    <w:basedOn w:val="BodyText"/>
    <w:next w:val="BodyText"/>
    <w:rsid w:val="00E13A60"/>
    <w:pPr>
      <w:tabs>
        <w:tab w:val="left" w:pos="340"/>
      </w:tabs>
      <w:spacing w:before="60" w:after="60"/>
      <w:ind w:left="340" w:hanging="340"/>
    </w:pPr>
  </w:style>
  <w:style w:type="paragraph" w:customStyle="1" w:styleId="Note">
    <w:name w:val="Note"/>
    <w:basedOn w:val="BodyText"/>
    <w:rsid w:val="00E13A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3A60"/>
    <w:pPr>
      <w:framePr w:wrap="auto" w:hAnchor="text" w:y="6049"/>
    </w:pPr>
    <w:rPr>
      <w:color w:val="000000"/>
      <w:sz w:val="40"/>
    </w:rPr>
  </w:style>
  <w:style w:type="paragraph" w:customStyle="1" w:styleId="TOCTitle">
    <w:name w:val="TOCTitle"/>
    <w:basedOn w:val="Heading1"/>
    <w:rsid w:val="00E13A60"/>
    <w:pPr>
      <w:spacing w:after="240"/>
      <w:jc w:val="center"/>
      <w:outlineLvl w:val="9"/>
    </w:pPr>
    <w:rPr>
      <w:caps/>
    </w:rPr>
  </w:style>
  <w:style w:type="paragraph" w:customStyle="1" w:styleId="Version">
    <w:name w:val="Version"/>
    <w:rsid w:val="00E13A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3A60"/>
    <w:pPr>
      <w:keepNext w:val="0"/>
      <w:tabs>
        <w:tab w:val="right" w:pos="4176"/>
      </w:tabs>
      <w:ind w:left="198" w:hanging="198"/>
    </w:pPr>
    <w:rPr>
      <w:rFonts w:ascii="Garamond" w:hAnsi="Garamond"/>
    </w:rPr>
  </w:style>
  <w:style w:type="paragraph" w:styleId="IndexHeading">
    <w:name w:val="index heading"/>
    <w:basedOn w:val="Normal"/>
    <w:next w:val="Index1"/>
    <w:semiHidden/>
    <w:rsid w:val="00E13A60"/>
    <w:pPr>
      <w:spacing w:before="120" w:after="120"/>
    </w:pPr>
    <w:rPr>
      <w:rFonts w:ascii="Arial" w:hAnsi="Arial"/>
      <w:b/>
      <w:color w:val="918585"/>
      <w:sz w:val="24"/>
    </w:rPr>
  </w:style>
  <w:style w:type="paragraph" w:customStyle="1" w:styleId="Chapter">
    <w:name w:val="Chapter"/>
    <w:basedOn w:val="Normal"/>
    <w:rsid w:val="00E13A60"/>
    <w:pPr>
      <w:spacing w:before="240"/>
    </w:pPr>
    <w:rPr>
      <w:rFonts w:ascii="Times New Roman" w:hAnsi="Times New Roman"/>
      <w:smallCaps/>
      <w:spacing w:val="80"/>
      <w:sz w:val="28"/>
    </w:rPr>
  </w:style>
  <w:style w:type="paragraph" w:customStyle="1" w:styleId="InChapter">
    <w:name w:val="InChapter"/>
    <w:basedOn w:val="Heading3"/>
    <w:rsid w:val="00E13A60"/>
    <w:pPr>
      <w:spacing w:after="240"/>
      <w:outlineLvl w:val="9"/>
    </w:pPr>
    <w:rPr>
      <w:noProof/>
    </w:rPr>
  </w:style>
  <w:style w:type="paragraph" w:styleId="Index2">
    <w:name w:val="index 2"/>
    <w:basedOn w:val="Normal"/>
    <w:next w:val="Normal"/>
    <w:semiHidden/>
    <w:rsid w:val="00E13A60"/>
    <w:pPr>
      <w:tabs>
        <w:tab w:val="right" w:pos="4176"/>
      </w:tabs>
      <w:ind w:left="568" w:hanging="284"/>
    </w:pPr>
    <w:rPr>
      <w:rFonts w:ascii="Garamond" w:hAnsi="Garamond"/>
    </w:rPr>
  </w:style>
  <w:style w:type="paragraph" w:customStyle="1" w:styleId="Byline">
    <w:name w:val="Byline"/>
    <w:rsid w:val="00E13A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3A60"/>
    <w:pPr>
      <w:tabs>
        <w:tab w:val="clear" w:pos="3600"/>
        <w:tab w:val="clear" w:pos="3958"/>
      </w:tabs>
      <w:jc w:val="right"/>
    </w:pPr>
  </w:style>
  <w:style w:type="character" w:styleId="Emphasis">
    <w:name w:val="Emphasis"/>
    <w:basedOn w:val="DefaultParagraphFont"/>
    <w:qFormat/>
    <w:rsid w:val="00E13A60"/>
    <w:rPr>
      <w:i/>
    </w:rPr>
  </w:style>
  <w:style w:type="paragraph" w:styleId="Caption">
    <w:name w:val="caption"/>
    <w:basedOn w:val="BodyText"/>
    <w:next w:val="Normal"/>
    <w:qFormat/>
    <w:rsid w:val="00E13A60"/>
    <w:pPr>
      <w:framePr w:w="2268" w:hSpace="181" w:vSpace="181" w:wrap="around" w:vAnchor="text" w:hAnchor="page" w:x="1135" w:y="285" w:anchorLock="1"/>
    </w:pPr>
    <w:rPr>
      <w:i/>
    </w:rPr>
  </w:style>
  <w:style w:type="paragraph" w:customStyle="1" w:styleId="MiniTOCTitle">
    <w:name w:val="MiniTOCTitle"/>
    <w:basedOn w:val="Heading4"/>
    <w:rsid w:val="00E13A60"/>
    <w:pPr>
      <w:spacing w:before="240"/>
      <w:outlineLvl w:val="9"/>
    </w:pPr>
    <w:rPr>
      <w:noProof/>
      <w:sz w:val="24"/>
    </w:rPr>
  </w:style>
  <w:style w:type="paragraph" w:customStyle="1" w:styleId="MiniTOCItem">
    <w:name w:val="MiniTOCItem"/>
    <w:basedOn w:val="ListBullet"/>
    <w:rsid w:val="00E13A60"/>
    <w:pPr>
      <w:numPr>
        <w:numId w:val="0"/>
      </w:numPr>
      <w:tabs>
        <w:tab w:val="right" w:leader="dot" w:pos="6521"/>
      </w:tabs>
      <w:spacing w:before="0" w:after="0"/>
    </w:pPr>
  </w:style>
  <w:style w:type="paragraph" w:customStyle="1" w:styleId="TOFTitle">
    <w:name w:val="TOFTitle"/>
    <w:basedOn w:val="TOCTitle"/>
    <w:rsid w:val="00E13A60"/>
  </w:style>
  <w:style w:type="paragraph" w:styleId="TableofFigures">
    <w:name w:val="table of figures"/>
    <w:basedOn w:val="Normal"/>
    <w:next w:val="Normal"/>
    <w:semiHidden/>
    <w:rsid w:val="00E13A60"/>
    <w:pPr>
      <w:tabs>
        <w:tab w:val="right" w:leader="dot" w:pos="9072"/>
      </w:tabs>
      <w:ind w:left="970" w:hanging="403"/>
    </w:pPr>
    <w:rPr>
      <w:rFonts w:ascii="Times New Roman" w:hAnsi="Times New Roman"/>
      <w:b/>
    </w:rPr>
  </w:style>
  <w:style w:type="paragraph" w:styleId="ListNumber">
    <w:name w:val="List Number"/>
    <w:basedOn w:val="List"/>
    <w:rsid w:val="00E13A60"/>
    <w:pPr>
      <w:numPr>
        <w:numId w:val="11"/>
      </w:numPr>
    </w:pPr>
  </w:style>
  <w:style w:type="character" w:customStyle="1" w:styleId="WingdingSymbols">
    <w:name w:val="Wingding Symbols"/>
    <w:rsid w:val="00E13A60"/>
    <w:rPr>
      <w:rFonts w:ascii="Wingdings" w:hAnsi="Wingdings"/>
    </w:rPr>
  </w:style>
  <w:style w:type="paragraph" w:customStyle="1" w:styleId="TableHeading">
    <w:name w:val="Table Heading"/>
    <w:basedOn w:val="HeadingBase"/>
    <w:rsid w:val="00E13A60"/>
    <w:pPr>
      <w:keepLines/>
      <w:pBdr>
        <w:bottom w:val="single" w:sz="6" w:space="1" w:color="918585"/>
      </w:pBdr>
      <w:spacing w:before="240"/>
    </w:pPr>
  </w:style>
  <w:style w:type="character" w:customStyle="1" w:styleId="HotSpot">
    <w:name w:val="HotSpot"/>
    <w:rsid w:val="00E13A60"/>
    <w:rPr>
      <w:color w:val="0033CC"/>
      <w:u w:val="none"/>
    </w:rPr>
  </w:style>
  <w:style w:type="paragraph" w:customStyle="1" w:styleId="BodyTextRight">
    <w:name w:val="Body Text Right"/>
    <w:basedOn w:val="BodyText"/>
    <w:rsid w:val="00E13A60"/>
    <w:pPr>
      <w:spacing w:before="0" w:after="0"/>
      <w:jc w:val="right"/>
    </w:pPr>
  </w:style>
  <w:style w:type="paragraph" w:styleId="Index3">
    <w:name w:val="index 3"/>
    <w:basedOn w:val="ListNumber2"/>
    <w:next w:val="Normal"/>
    <w:semiHidden/>
    <w:rsid w:val="00E13A60"/>
    <w:pPr>
      <w:numPr>
        <w:numId w:val="0"/>
      </w:numPr>
      <w:tabs>
        <w:tab w:val="right" w:leader="dot" w:pos="4176"/>
      </w:tabs>
    </w:pPr>
  </w:style>
  <w:style w:type="paragraph" w:styleId="ListNumber2">
    <w:name w:val="List Number 2"/>
    <w:basedOn w:val="List2"/>
    <w:rsid w:val="00E13A60"/>
    <w:pPr>
      <w:numPr>
        <w:numId w:val="10"/>
      </w:numPr>
      <w:tabs>
        <w:tab w:val="clear" w:pos="1060"/>
      </w:tabs>
    </w:pPr>
  </w:style>
  <w:style w:type="paragraph" w:customStyle="1" w:styleId="MarginNote">
    <w:name w:val="Margin Note"/>
    <w:basedOn w:val="BodyText"/>
    <w:rsid w:val="00E13A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3A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3A6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13A60"/>
    <w:rPr>
      <w:sz w:val="32"/>
    </w:rPr>
  </w:style>
  <w:style w:type="paragraph" w:customStyle="1" w:styleId="HeadingProcedure">
    <w:name w:val="Heading Procedure"/>
    <w:basedOn w:val="HeadingBase"/>
    <w:next w:val="Normal"/>
    <w:rsid w:val="00E13A60"/>
    <w:pPr>
      <w:tabs>
        <w:tab w:val="left" w:pos="0"/>
      </w:tabs>
      <w:spacing w:before="120" w:after="60"/>
    </w:pPr>
    <w:rPr>
      <w:i/>
      <w:color w:val="918585"/>
      <w:sz w:val="22"/>
    </w:rPr>
  </w:style>
  <w:style w:type="paragraph" w:customStyle="1" w:styleId="TableBodyText">
    <w:name w:val="Table Body Text"/>
    <w:basedOn w:val="BodyText"/>
    <w:rsid w:val="00E13A60"/>
    <w:pPr>
      <w:spacing w:before="60" w:after="60"/>
    </w:pPr>
  </w:style>
  <w:style w:type="paragraph" w:styleId="ListContinue">
    <w:name w:val="List Continue"/>
    <w:basedOn w:val="List"/>
    <w:rsid w:val="00E13A60"/>
    <w:pPr>
      <w:ind w:firstLine="0"/>
    </w:pPr>
  </w:style>
  <w:style w:type="paragraph" w:customStyle="1" w:styleId="ListNote">
    <w:name w:val="List Note"/>
    <w:basedOn w:val="List"/>
    <w:rsid w:val="00E13A60"/>
    <w:pPr>
      <w:pBdr>
        <w:top w:val="single" w:sz="6" w:space="2" w:color="918585"/>
        <w:bottom w:val="single" w:sz="6" w:space="2" w:color="918585"/>
      </w:pBdr>
      <w:tabs>
        <w:tab w:val="left" w:pos="1021"/>
      </w:tabs>
      <w:ind w:firstLine="0"/>
    </w:pPr>
  </w:style>
  <w:style w:type="paragraph" w:customStyle="1" w:styleId="Warning">
    <w:name w:val="Warning"/>
    <w:basedOn w:val="BodyText"/>
    <w:rsid w:val="00E13A60"/>
    <w:pPr>
      <w:shd w:val="clear" w:color="auto" w:fill="D9D9D9"/>
      <w:tabs>
        <w:tab w:val="left" w:pos="992"/>
      </w:tabs>
      <w:ind w:left="119" w:right="119"/>
    </w:pPr>
    <w:rPr>
      <w:sz w:val="20"/>
    </w:rPr>
  </w:style>
  <w:style w:type="paragraph" w:customStyle="1" w:styleId="MarginIcons">
    <w:name w:val="Margin Icons"/>
    <w:basedOn w:val="BodyText"/>
    <w:rsid w:val="00E13A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3A60"/>
    <w:rPr>
      <w:rFonts w:ascii="Courier New" w:hAnsi="Courier New"/>
    </w:rPr>
  </w:style>
  <w:style w:type="paragraph" w:customStyle="1" w:styleId="NoteBullet">
    <w:name w:val="Note Bullet"/>
    <w:basedOn w:val="Note"/>
    <w:rsid w:val="00E13A60"/>
    <w:pPr>
      <w:tabs>
        <w:tab w:val="clear" w:pos="680"/>
      </w:tabs>
      <w:spacing w:before="60" w:after="60"/>
    </w:pPr>
  </w:style>
  <w:style w:type="paragraph" w:customStyle="1" w:styleId="SubHeading2">
    <w:name w:val="SubHeading2"/>
    <w:basedOn w:val="HeadingBase"/>
    <w:rsid w:val="00E13A60"/>
    <w:pPr>
      <w:spacing w:before="240" w:after="60"/>
    </w:pPr>
    <w:rPr>
      <w:sz w:val="20"/>
    </w:rPr>
  </w:style>
  <w:style w:type="paragraph" w:customStyle="1" w:styleId="SubHeading1">
    <w:name w:val="SubHeading1"/>
    <w:basedOn w:val="HeadingBase"/>
    <w:rsid w:val="00E13A60"/>
    <w:pPr>
      <w:spacing w:before="240" w:after="60"/>
    </w:pPr>
    <w:rPr>
      <w:color w:val="918585"/>
      <w:sz w:val="22"/>
    </w:rPr>
  </w:style>
  <w:style w:type="paragraph" w:customStyle="1" w:styleId="SideHeading">
    <w:name w:val="Side Heading"/>
    <w:basedOn w:val="HeadingBase"/>
    <w:rsid w:val="00E13A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3A60"/>
    <w:pPr>
      <w:numPr>
        <w:numId w:val="12"/>
      </w:numPr>
    </w:pPr>
  </w:style>
  <w:style w:type="paragraph" w:styleId="PlainText">
    <w:name w:val="Plain Text"/>
    <w:basedOn w:val="Normal"/>
    <w:link w:val="PlainTextChar"/>
    <w:rsid w:val="00E13A60"/>
    <w:rPr>
      <w:sz w:val="20"/>
    </w:rPr>
  </w:style>
  <w:style w:type="character" w:customStyle="1" w:styleId="PlainTextChar">
    <w:name w:val="Plain Text Char"/>
    <w:basedOn w:val="DefaultParagraphFont"/>
    <w:link w:val="PlainText"/>
    <w:rsid w:val="00E13A6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13A60"/>
    <w:rPr>
      <w:b/>
      <w:smallCaps/>
    </w:rPr>
  </w:style>
  <w:style w:type="paragraph" w:customStyle="1" w:styleId="TableListNumber">
    <w:name w:val="Table List Number"/>
    <w:basedOn w:val="ListNumber"/>
    <w:rsid w:val="00E13A60"/>
    <w:pPr>
      <w:numPr>
        <w:numId w:val="0"/>
      </w:numPr>
    </w:pPr>
  </w:style>
  <w:style w:type="paragraph" w:styleId="TOC4">
    <w:name w:val="toc 4"/>
    <w:basedOn w:val="TOCBase"/>
    <w:next w:val="Normal"/>
    <w:semiHidden/>
    <w:rsid w:val="00E13A60"/>
    <w:pPr>
      <w:tabs>
        <w:tab w:val="right" w:leader="dot" w:pos="9071"/>
      </w:tabs>
      <w:ind w:left="1701"/>
    </w:pPr>
  </w:style>
  <w:style w:type="paragraph" w:customStyle="1" w:styleId="ListAlpha">
    <w:name w:val="List Alpha"/>
    <w:basedOn w:val="List"/>
    <w:rsid w:val="00E13A60"/>
    <w:pPr>
      <w:numPr>
        <w:numId w:val="9"/>
      </w:numPr>
    </w:pPr>
  </w:style>
  <w:style w:type="paragraph" w:customStyle="1" w:styleId="ListAlpha2">
    <w:name w:val="List Alpha 2"/>
    <w:basedOn w:val="List2"/>
    <w:rsid w:val="00E13A60"/>
    <w:pPr>
      <w:numPr>
        <w:numId w:val="8"/>
      </w:numPr>
    </w:pPr>
  </w:style>
  <w:style w:type="paragraph" w:styleId="List2">
    <w:name w:val="List 2"/>
    <w:basedOn w:val="BodyText"/>
    <w:rsid w:val="00E13A60"/>
    <w:pPr>
      <w:tabs>
        <w:tab w:val="left" w:pos="680"/>
      </w:tabs>
      <w:spacing w:before="60" w:after="60"/>
      <w:ind w:left="680" w:hanging="340"/>
    </w:pPr>
  </w:style>
  <w:style w:type="paragraph" w:styleId="List3">
    <w:name w:val="List 3"/>
    <w:basedOn w:val="BodyText"/>
    <w:rsid w:val="00E13A60"/>
    <w:pPr>
      <w:tabs>
        <w:tab w:val="left" w:pos="1021"/>
      </w:tabs>
      <w:spacing w:before="60" w:after="60"/>
      <w:ind w:left="1020" w:hanging="340"/>
    </w:pPr>
  </w:style>
  <w:style w:type="paragraph" w:styleId="List4">
    <w:name w:val="List 4"/>
    <w:basedOn w:val="BodyText"/>
    <w:rsid w:val="00E13A60"/>
    <w:pPr>
      <w:tabs>
        <w:tab w:val="left" w:pos="1361"/>
      </w:tabs>
      <w:spacing w:before="60" w:after="60"/>
      <w:ind w:left="1361" w:hanging="340"/>
    </w:pPr>
  </w:style>
  <w:style w:type="paragraph" w:styleId="List5">
    <w:name w:val="List 5"/>
    <w:basedOn w:val="BodyText"/>
    <w:rsid w:val="00E13A60"/>
    <w:pPr>
      <w:tabs>
        <w:tab w:val="left" w:pos="1701"/>
      </w:tabs>
      <w:spacing w:before="60" w:after="60"/>
      <w:ind w:left="1701" w:hanging="340"/>
    </w:pPr>
  </w:style>
  <w:style w:type="paragraph" w:styleId="ListBullet3">
    <w:name w:val="List Bullet 3"/>
    <w:basedOn w:val="List3"/>
    <w:rsid w:val="00E13A60"/>
    <w:pPr>
      <w:numPr>
        <w:numId w:val="15"/>
      </w:numPr>
      <w:tabs>
        <w:tab w:val="clear" w:pos="1021"/>
      </w:tabs>
      <w:ind w:left="1037" w:hanging="357"/>
    </w:pPr>
  </w:style>
  <w:style w:type="paragraph" w:styleId="ListBullet4">
    <w:name w:val="List Bullet 4"/>
    <w:basedOn w:val="List4"/>
    <w:rsid w:val="00E13A60"/>
    <w:pPr>
      <w:numPr>
        <w:numId w:val="3"/>
      </w:numPr>
    </w:pPr>
  </w:style>
  <w:style w:type="paragraph" w:styleId="ListBullet5">
    <w:name w:val="List Bullet 5"/>
    <w:basedOn w:val="List5"/>
    <w:rsid w:val="00E13A60"/>
    <w:pPr>
      <w:numPr>
        <w:numId w:val="4"/>
      </w:numPr>
    </w:pPr>
  </w:style>
  <w:style w:type="paragraph" w:styleId="ListContinue2">
    <w:name w:val="List Continue 2"/>
    <w:basedOn w:val="List2"/>
    <w:rsid w:val="00E13A60"/>
    <w:pPr>
      <w:ind w:firstLine="0"/>
    </w:pPr>
  </w:style>
  <w:style w:type="paragraph" w:styleId="ListContinue3">
    <w:name w:val="List Continue 3"/>
    <w:basedOn w:val="List3"/>
    <w:rsid w:val="00E13A60"/>
    <w:pPr>
      <w:ind w:left="1021" w:firstLine="0"/>
    </w:pPr>
  </w:style>
  <w:style w:type="paragraph" w:styleId="ListContinue4">
    <w:name w:val="List Continue 4"/>
    <w:basedOn w:val="List4"/>
    <w:rsid w:val="00E13A60"/>
    <w:pPr>
      <w:ind w:firstLine="0"/>
    </w:pPr>
  </w:style>
  <w:style w:type="paragraph" w:styleId="ListContinue5">
    <w:name w:val="List Continue 5"/>
    <w:basedOn w:val="List5"/>
    <w:rsid w:val="00E13A60"/>
    <w:pPr>
      <w:ind w:firstLine="0"/>
    </w:pPr>
  </w:style>
  <w:style w:type="paragraph" w:styleId="ListNumber3">
    <w:name w:val="List Number 3"/>
    <w:basedOn w:val="List3"/>
    <w:rsid w:val="00E13A60"/>
    <w:pPr>
      <w:numPr>
        <w:numId w:val="5"/>
      </w:numPr>
    </w:pPr>
  </w:style>
  <w:style w:type="paragraph" w:styleId="ListNumber4">
    <w:name w:val="List Number 4"/>
    <w:basedOn w:val="List4"/>
    <w:rsid w:val="00E13A60"/>
    <w:pPr>
      <w:numPr>
        <w:numId w:val="6"/>
      </w:numPr>
    </w:pPr>
  </w:style>
  <w:style w:type="paragraph" w:styleId="ListNumber5">
    <w:name w:val="List Number 5"/>
    <w:basedOn w:val="List5"/>
    <w:rsid w:val="00E13A60"/>
    <w:pPr>
      <w:numPr>
        <w:numId w:val="7"/>
      </w:numPr>
    </w:pPr>
  </w:style>
  <w:style w:type="paragraph" w:styleId="BlockText">
    <w:name w:val="Block Text"/>
    <w:basedOn w:val="Normal"/>
    <w:rsid w:val="00E13A60"/>
    <w:pPr>
      <w:spacing w:after="120"/>
      <w:ind w:left="1440" w:right="1440"/>
    </w:pPr>
  </w:style>
  <w:style w:type="character" w:customStyle="1" w:styleId="Subscript">
    <w:name w:val="Subscript"/>
    <w:basedOn w:val="DefaultParagraphFont"/>
    <w:rsid w:val="00E13A60"/>
    <w:rPr>
      <w:sz w:val="16"/>
      <w:vertAlign w:val="subscript"/>
    </w:rPr>
  </w:style>
  <w:style w:type="character" w:customStyle="1" w:styleId="Superscript">
    <w:name w:val="Superscript"/>
    <w:basedOn w:val="DefaultParagraphFont"/>
    <w:rsid w:val="00E13A60"/>
    <w:rPr>
      <w:sz w:val="16"/>
      <w:vertAlign w:val="superscript"/>
    </w:rPr>
  </w:style>
  <w:style w:type="character" w:customStyle="1" w:styleId="Symbols">
    <w:name w:val="Symbols"/>
    <w:basedOn w:val="DefaultParagraphFont"/>
    <w:rsid w:val="00E13A60"/>
    <w:rPr>
      <w:rFonts w:ascii="Symbol" w:hAnsi="Symbol"/>
    </w:rPr>
  </w:style>
  <w:style w:type="character" w:customStyle="1" w:styleId="MenuOptions">
    <w:name w:val="Menu Options"/>
    <w:basedOn w:val="DefaultParagraphFont"/>
    <w:rsid w:val="00E13A60"/>
    <w:rPr>
      <w:rFonts w:ascii="Arial Narrow" w:hAnsi="Arial Narrow"/>
      <w:smallCaps/>
    </w:rPr>
  </w:style>
  <w:style w:type="character" w:customStyle="1" w:styleId="Buttons">
    <w:name w:val="Buttons"/>
    <w:basedOn w:val="DefaultParagraphFont"/>
    <w:rsid w:val="00E13A60"/>
    <w:rPr>
      <w:b/>
    </w:rPr>
  </w:style>
  <w:style w:type="character" w:customStyle="1" w:styleId="Underlined">
    <w:name w:val="Underlined"/>
    <w:basedOn w:val="DefaultParagraphFont"/>
    <w:rsid w:val="00E13A60"/>
    <w:rPr>
      <w:u w:val="single"/>
    </w:rPr>
  </w:style>
  <w:style w:type="paragraph" w:customStyle="1" w:styleId="TableBodyTextRight">
    <w:name w:val="Table Body Text Right"/>
    <w:basedOn w:val="TableBodyText"/>
    <w:rsid w:val="00E13A60"/>
    <w:pPr>
      <w:widowControl w:val="0"/>
      <w:autoSpaceDE w:val="0"/>
      <w:autoSpaceDN w:val="0"/>
      <w:adjustRightInd w:val="0"/>
      <w:jc w:val="right"/>
    </w:pPr>
    <w:rPr>
      <w:rFonts w:cs="Arial"/>
      <w:szCs w:val="18"/>
    </w:rPr>
  </w:style>
  <w:style w:type="paragraph" w:customStyle="1" w:styleId="CopyrightText">
    <w:name w:val="Copyright Text"/>
    <w:basedOn w:val="BodyText"/>
    <w:rsid w:val="00E13A60"/>
    <w:rPr>
      <w:sz w:val="18"/>
    </w:rPr>
  </w:style>
  <w:style w:type="paragraph" w:customStyle="1" w:styleId="BodySmallRight">
    <w:name w:val="Body Small Right"/>
    <w:basedOn w:val="BodyTextRight"/>
    <w:rsid w:val="00E13A60"/>
    <w:rPr>
      <w:sz w:val="18"/>
      <w:szCs w:val="18"/>
    </w:rPr>
  </w:style>
  <w:style w:type="paragraph" w:customStyle="1" w:styleId="MarginEdition">
    <w:name w:val="Margin Edition"/>
    <w:basedOn w:val="MarginNote"/>
    <w:rsid w:val="00E13A60"/>
    <w:pPr>
      <w:spacing w:before="0" w:after="0"/>
    </w:pPr>
    <w:rPr>
      <w:rFonts w:ascii="Times New Roman" w:hAnsi="Times New Roman"/>
      <w:color w:val="999999"/>
    </w:rPr>
  </w:style>
  <w:style w:type="paragraph" w:customStyle="1" w:styleId="Spacer">
    <w:name w:val="Spacer"/>
    <w:basedOn w:val="Normal"/>
    <w:rsid w:val="00E13A60"/>
    <w:rPr>
      <w:sz w:val="2"/>
      <w:szCs w:val="2"/>
    </w:rPr>
  </w:style>
  <w:style w:type="character" w:customStyle="1" w:styleId="Small">
    <w:name w:val="Small"/>
    <w:basedOn w:val="DefaultParagraphFont"/>
    <w:rsid w:val="00E13A60"/>
    <w:rPr>
      <w:sz w:val="16"/>
    </w:rPr>
  </w:style>
  <w:style w:type="paragraph" w:customStyle="1" w:styleId="WideTable">
    <w:name w:val="Wide Table"/>
    <w:basedOn w:val="Normal"/>
    <w:rsid w:val="00E13A60"/>
    <w:pPr>
      <w:ind w:left="-1418"/>
    </w:pPr>
    <w:rPr>
      <w:sz w:val="2"/>
      <w:szCs w:val="2"/>
    </w:rPr>
  </w:style>
  <w:style w:type="character" w:styleId="PageNumber">
    <w:name w:val="page number"/>
    <w:basedOn w:val="DefaultParagraphFont"/>
    <w:rsid w:val="00E13A60"/>
  </w:style>
  <w:style w:type="paragraph" w:styleId="Quote">
    <w:name w:val="Quote"/>
    <w:basedOn w:val="Heading1"/>
    <w:link w:val="QuoteChar"/>
    <w:qFormat/>
    <w:rsid w:val="00E13A60"/>
    <w:rPr>
      <w:b w:val="0"/>
      <w:sz w:val="72"/>
      <w:szCs w:val="72"/>
      <w:lang w:val="en-NZ"/>
    </w:rPr>
  </w:style>
  <w:style w:type="character" w:customStyle="1" w:styleId="QuoteChar">
    <w:name w:val="Quote Char"/>
    <w:basedOn w:val="DefaultParagraphFont"/>
    <w:link w:val="Quote"/>
    <w:rsid w:val="00E13A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3A60"/>
    <w:pPr>
      <w:pageBreakBefore/>
    </w:pPr>
  </w:style>
  <w:style w:type="paragraph" w:customStyle="1" w:styleId="Border">
    <w:name w:val="Border"/>
    <w:basedOn w:val="Normal"/>
    <w:qFormat/>
    <w:rsid w:val="00E13A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3A60"/>
    <w:rPr>
      <w:b/>
      <w:bCs/>
      <w:i/>
      <w:iCs/>
      <w:color w:val="auto"/>
    </w:rPr>
  </w:style>
  <w:style w:type="paragraph" w:styleId="IntenseQuote">
    <w:name w:val="Intense Quote"/>
    <w:basedOn w:val="Normal"/>
    <w:next w:val="Normal"/>
    <w:link w:val="IntenseQuoteChar"/>
    <w:uiPriority w:val="30"/>
    <w:qFormat/>
    <w:rsid w:val="00E13A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3A6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13A60"/>
    <w:rPr>
      <w:smallCaps/>
      <w:color w:val="auto"/>
      <w:u w:val="single"/>
    </w:rPr>
  </w:style>
  <w:style w:type="character" w:styleId="IntenseReference">
    <w:name w:val="Intense Reference"/>
    <w:basedOn w:val="DefaultParagraphFont"/>
    <w:uiPriority w:val="32"/>
    <w:qFormat/>
    <w:rsid w:val="00E13A60"/>
    <w:rPr>
      <w:b/>
      <w:bCs/>
      <w:smallCaps/>
      <w:color w:val="auto"/>
      <w:spacing w:val="5"/>
      <w:u w:val="single"/>
    </w:rPr>
  </w:style>
  <w:style w:type="paragraph" w:customStyle="1" w:styleId="2ColumnHeading">
    <w:name w:val="2Column Heading"/>
    <w:basedOn w:val="BodyText"/>
    <w:qFormat/>
    <w:rsid w:val="00E13A60"/>
    <w:pPr>
      <w:spacing w:after="60"/>
      <w:ind w:left="-2268"/>
    </w:pPr>
    <w:rPr>
      <w:b/>
    </w:rPr>
  </w:style>
  <w:style w:type="paragraph" w:customStyle="1" w:styleId="Heading1TOC">
    <w:name w:val="Heading1 TOC"/>
    <w:basedOn w:val="Normal"/>
    <w:qFormat/>
    <w:rsid w:val="00E13A60"/>
    <w:pPr>
      <w:spacing w:before="240" w:after="120"/>
    </w:pPr>
    <w:rPr>
      <w:rFonts w:ascii="Times New Roman" w:hAnsi="Times New Roman"/>
      <w:b/>
      <w:sz w:val="32"/>
    </w:rPr>
  </w:style>
  <w:style w:type="paragraph" w:customStyle="1" w:styleId="Heading2TOC">
    <w:name w:val="Heading2 TOC"/>
    <w:basedOn w:val="Normal"/>
    <w:qFormat/>
    <w:rsid w:val="00E13A60"/>
    <w:pPr>
      <w:spacing w:before="240" w:after="60"/>
    </w:pPr>
    <w:rPr>
      <w:rFonts w:ascii="Times New Roman" w:hAnsi="Times New Roman"/>
      <w:b/>
      <w:sz w:val="28"/>
    </w:rPr>
  </w:style>
  <w:style w:type="character" w:customStyle="1" w:styleId="Underline">
    <w:name w:val="Underline"/>
    <w:basedOn w:val="DefaultParagraphFont"/>
    <w:qFormat/>
    <w:rsid w:val="00E13A60"/>
    <w:rPr>
      <w:u w:val="single"/>
    </w:rPr>
  </w:style>
  <w:style w:type="character" w:customStyle="1" w:styleId="BoldandItalics">
    <w:name w:val="Bold and Italics"/>
    <w:qFormat/>
    <w:rsid w:val="00E13A60"/>
    <w:rPr>
      <w:b/>
      <w:i/>
      <w:u w:val="none"/>
    </w:rPr>
  </w:style>
  <w:style w:type="paragraph" w:styleId="BalloonText">
    <w:name w:val="Balloon Text"/>
    <w:basedOn w:val="Normal"/>
    <w:link w:val="BalloonTextChar"/>
    <w:rsid w:val="00E13A60"/>
    <w:rPr>
      <w:rFonts w:ascii="Tahoma" w:hAnsi="Tahoma" w:cs="Tahoma"/>
      <w:sz w:val="16"/>
      <w:szCs w:val="16"/>
    </w:rPr>
  </w:style>
  <w:style w:type="character" w:customStyle="1" w:styleId="BalloonTextChar">
    <w:name w:val="Balloon Text Char"/>
    <w:basedOn w:val="DefaultParagraphFont"/>
    <w:link w:val="BalloonText"/>
    <w:rsid w:val="00E13A6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13A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3A6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1506</Words>
  <Characters>9683</Characters>
  <Application>Microsoft Office Word</Application>
  <DocSecurity>0</DocSecurity>
  <Lines>332</Lines>
  <Paragraphs>183</Paragraphs>
  <ScaleCrop>false</ScaleCrop>
  <Company>Author-it Software Corporation Ltd.</Company>
  <LinksUpToDate>false</LinksUpToDate>
  <CharactersWithSpaces>11105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MEM234019A Apply finite element analysis in engineering design</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2012-05-26T18:19:00Z</dcterms:created>
  <dcterms:modified xsi:type="dcterms:W3CDTF">2012-05-26T18:19:00Z</dcterms:modified>
</cp:coreProperties>
</file>