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47766" w:rsidP="00647766">
      <w:pPr>
        <w:pStyle w:val="Title"/>
      </w:pPr>
      <w:r>
        <w:fldChar w:fldCharType="begin"/>
      </w:r>
      <w:r>
        <w:instrText xml:space="preserve"> TITLE   \* MERGEFORMAT </w:instrText>
      </w:r>
      <w:r>
        <w:fldChar w:fldCharType="separate"/>
      </w:r>
      <w:r>
        <w:t>MEM234007A Design fluid power systems</w:t>
      </w:r>
      <w:r>
        <w:fldChar w:fldCharType="end"/>
      </w:r>
    </w:p>
    <w:p w:rsidR="00647766" w:rsidP="00647766">
      <w:pPr>
        <w:pStyle w:val="Version"/>
        <w:sectPr w:rsidSect="001E574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E5743" w:rsidP="001E5743">
      <w:pPr>
        <w:pStyle w:val="SuperHeading"/>
      </w:pPr>
      <w:r w:rsidRPr="001E5743">
        <w:t>MEM234007A Design fluid power systems</w:t>
      </w:r>
    </w:p>
    <w:p w:rsidR="00000000" w:rsidRPr="001E5743" w:rsidP="001E5743">
      <w:pPr>
        <w:pStyle w:val="Heading1"/>
      </w:pPr>
      <w:bookmarkStart w:id="1" w:name="O_396919"/>
      <w:bookmarkEnd w:id="1"/>
      <w:r w:rsidRPr="001E5743">
        <w:t>Modification History</w:t>
      </w:r>
    </w:p>
    <w:p w:rsidR="00000000" w:rsidRPr="001E5743" w:rsidP="001E5743">
      <w:pPr>
        <w:pStyle w:val="BodyText"/>
      </w:pPr>
      <w:r w:rsidRPr="001E5743">
        <w:t>New unit</w:t>
      </w:r>
    </w:p>
    <w:p w:rsidR="00000000" w:rsidRPr="001E5743" w:rsidP="001E5743">
      <w:pPr>
        <w:pStyle w:val="AllowPageBreak"/>
      </w:pPr>
    </w:p>
    <w:p w:rsidR="00000000" w:rsidRPr="001E5743" w:rsidP="001E5743">
      <w:pPr>
        <w:pStyle w:val="Heading1"/>
      </w:pPr>
      <w:bookmarkStart w:id="2" w:name="O_396920"/>
      <w:bookmarkEnd w:id="2"/>
      <w:r w:rsidRPr="001E5743">
        <w:t>Unit Descriptor</w:t>
      </w:r>
    </w:p>
    <w:p w:rsidR="00000000" w:rsidRPr="001E5743" w:rsidP="001E5743">
      <w:pPr>
        <w:pStyle w:val="BodyText"/>
      </w:pPr>
      <w:r w:rsidRPr="001E5743">
        <w:t>This unit of competency covers the design of fluid power systems, including pneumatic multi-actuator control systems; hydra</w:t>
      </w:r>
      <w:r w:rsidRPr="001E5743">
        <w:t>ulic systems, including hydrostatic transmissions, proportional and servo valve control, and programmable logic controllers (PLC). It includes occupational health and safety (OHS), regulatory requirements, automation safety and systematic design processes.</w:t>
      </w:r>
      <w:r w:rsidRPr="001E5743">
        <w:t xml:space="preserve"> Design considerations include dynamic loads and optimised control system response and stability.</w:t>
      </w:r>
    </w:p>
    <w:p w:rsidR="00000000" w:rsidRPr="001E5743" w:rsidP="001E5743">
      <w:pPr>
        <w:pStyle w:val="AllowPageBreak"/>
      </w:pPr>
    </w:p>
    <w:p w:rsidR="00000000" w:rsidRPr="001E5743" w:rsidP="001E5743">
      <w:pPr>
        <w:pStyle w:val="Heading1"/>
      </w:pPr>
      <w:bookmarkStart w:id="3" w:name="O_396921"/>
      <w:bookmarkEnd w:id="3"/>
      <w:r w:rsidRPr="001E5743">
        <w:t>Application of the Unit</w:t>
      </w:r>
    </w:p>
    <w:p w:rsidR="00000000" w:rsidRPr="001E5743" w:rsidP="001E5743">
      <w:pPr>
        <w:pStyle w:val="BodyText"/>
      </w:pPr>
      <w:r w:rsidRPr="001E5743">
        <w:t>This unit applies to fluid power systems across all forms of manufacturing and engineering. Design activities may als</w:t>
      </w:r>
      <w:r w:rsidRPr="001E5743">
        <w:t>o include reverse engineering, design rectification or modifications of an existing design. It is suitable for fluid power system and automation designers and maintenance personnel, and those pursuing engineering or related qualifications and careers.</w:t>
      </w:r>
    </w:p>
    <w:p w:rsidR="00000000" w:rsidRPr="001E5743" w:rsidP="001E5743">
      <w:pPr>
        <w:pStyle w:val="BodyText"/>
      </w:pPr>
    </w:p>
    <w:p w:rsidR="00000000" w:rsidRPr="001E5743" w:rsidP="001E5743">
      <w:pPr>
        <w:pStyle w:val="BodyText"/>
      </w:pPr>
      <w:r w:rsidRPr="001E5743">
        <w:t>Pri</w:t>
      </w:r>
      <w:r w:rsidRPr="001E5743">
        <w:t xml:space="preserve">or experience in evaluation of fluid power systems and hydrodynamics, mathematics, computer techniques, basic electrical and controllers is required. </w:t>
      </w:r>
    </w:p>
    <w:p w:rsidR="00000000" w:rsidRPr="001E5743" w:rsidP="001E5743">
      <w:pPr>
        <w:pStyle w:val="AllowPageBreak"/>
      </w:pPr>
    </w:p>
    <w:p w:rsidR="00000000" w:rsidRPr="001E5743" w:rsidP="001E5743">
      <w:pPr>
        <w:pStyle w:val="Heading1"/>
      </w:pPr>
      <w:bookmarkStart w:id="4" w:name="O_396922"/>
      <w:bookmarkEnd w:id="4"/>
      <w:r w:rsidRPr="001E5743">
        <w:t>Licensing/Regulatory Information</w:t>
      </w:r>
    </w:p>
    <w:p w:rsidR="00000000" w:rsidRPr="001E5743" w:rsidP="001E5743">
      <w:pPr>
        <w:pStyle w:val="BodyText"/>
      </w:pPr>
      <w:r w:rsidRPr="001E5743">
        <w:t>Not applicable.</w:t>
      </w:r>
    </w:p>
    <w:p w:rsidR="00000000" w:rsidRPr="001E5743" w:rsidP="001E5743">
      <w:pPr>
        <w:pStyle w:val="AllowPageBreak"/>
      </w:pPr>
    </w:p>
    <w:p w:rsidR="00000000" w:rsidRPr="001E5743" w:rsidP="001E5743">
      <w:pPr>
        <w:pStyle w:val="Heading1"/>
      </w:pPr>
      <w:bookmarkStart w:id="5" w:name="O_396923"/>
      <w:bookmarkEnd w:id="5"/>
      <w:r w:rsidRPr="001E5743">
        <w:t>Pre-Requisites</w:t>
      </w:r>
    </w:p>
    <w:p w:rsidR="00000000" w:rsidRPr="001E5743" w:rsidP="001E5743">
      <w:pPr>
        <w:pStyle w:val="BodyText"/>
      </w:pPr>
      <w:r w:rsidRPr="001E5743">
        <w:t>Not applicable.</w:t>
      </w:r>
    </w:p>
    <w:p w:rsidR="00000000" w:rsidRPr="001E5743" w:rsidP="001E5743">
      <w:pPr>
        <w:pStyle w:val="AllowPageBreak"/>
      </w:pPr>
    </w:p>
    <w:p w:rsidR="00000000" w:rsidRPr="001E5743" w:rsidP="001E5743">
      <w:pPr>
        <w:pStyle w:val="Heading1"/>
      </w:pPr>
      <w:bookmarkStart w:id="6" w:name="O_396924"/>
      <w:bookmarkEnd w:id="6"/>
      <w:r w:rsidRPr="001E5743">
        <w:t>Employability Skills Information</w:t>
      </w:r>
    </w:p>
    <w:p w:rsidR="00000000" w:rsidRPr="001E5743" w:rsidP="001E5743">
      <w:pPr>
        <w:pStyle w:val="BodyText"/>
      </w:pPr>
      <w:r w:rsidRPr="001E5743">
        <w:t>This unit contains employability skills.</w:t>
      </w:r>
    </w:p>
    <w:p w:rsidR="00000000" w:rsidRPr="001E5743" w:rsidP="001E5743">
      <w:pPr>
        <w:pStyle w:val="AllowPageBreak"/>
      </w:pPr>
    </w:p>
    <w:p w:rsidR="00000000" w:rsidRPr="001E5743" w:rsidP="001E5743">
      <w:pPr>
        <w:pStyle w:val="Heading1"/>
      </w:pPr>
      <w:bookmarkStart w:id="7" w:name="O_396925"/>
      <w:bookmarkEnd w:id="7"/>
      <w:r w:rsidRPr="001E5743">
        <w:t>Elements and Performance Criteria Pre-Content</w:t>
      </w:r>
    </w:p>
    <w:tbl>
      <w:tblPr>
        <w:tblW w:w="0" w:type="auto"/>
        <w:tblLayout w:type="fixed"/>
        <w:tblCellMar>
          <w:left w:w="62" w:type="dxa"/>
          <w:right w:w="62" w:type="dxa"/>
        </w:tblCellMar>
        <w:tblLook w:val="0000"/>
      </w:tblPr>
      <w:tblGrid>
        <w:gridCol w:w="2640"/>
        <w:gridCol w:w="6380"/>
      </w:tblGrid>
      <w:tr w:rsidTr="001E5743">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1E5743">
            <w:pPr>
              <w:pStyle w:val="BodyText"/>
              <w:rPr>
                <w:lang w:val="en-NZ"/>
              </w:rPr>
            </w:pPr>
            <w:r w:rsidRPr="001E5743">
              <w:t>Elements describe the essential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1E5743" w:rsidP="001E5743">
            <w:pPr>
              <w:pStyle w:val="BodyText"/>
            </w:pPr>
            <w:r w:rsidRPr="001E5743">
              <w:t>Performance criteria describe the performance needed to demonstrate achievement of the element. Where bold italicised text is used, further information is detailed in the required skills and knowledge section and the range statement. Assessment of performa</w:t>
            </w:r>
            <w:r w:rsidRPr="001E5743">
              <w:t>nce is to be consistent with the evidence guide.</w:t>
            </w:r>
          </w:p>
        </w:tc>
      </w:tr>
    </w:tbl>
    <w:p w:rsidR="00000000" w:rsidRPr="001E5743" w:rsidP="001E5743">
      <w:pPr>
        <w:pStyle w:val="BodyText"/>
      </w:pPr>
    </w:p>
    <w:p w:rsidR="00000000" w:rsidRPr="001E5743" w:rsidP="001E5743">
      <w:pPr>
        <w:pStyle w:val="AllowPageBreak"/>
      </w:pPr>
    </w:p>
    <w:p w:rsidR="00000000" w:rsidRPr="001E5743" w:rsidP="001E5743">
      <w:pPr>
        <w:pStyle w:val="Heading1"/>
      </w:pPr>
      <w:bookmarkStart w:id="8" w:name="O_396926"/>
      <w:bookmarkEnd w:id="8"/>
      <w:r w:rsidRPr="001E5743">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1E574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1E5743">
            <w:pPr>
              <w:pStyle w:val="BodyText"/>
              <w:rPr>
                <w:lang w:val="en-NZ"/>
              </w:rPr>
            </w:pPr>
            <w:r w:rsidRPr="001E5743">
              <w:t>1</w:t>
            </w:r>
          </w:p>
        </w:tc>
        <w:tc>
          <w:tcPr>
            <w:tcW w:w="1962" w:type="dxa"/>
            <w:vMerge w:val="restart"/>
            <w:tcBorders>
              <w:top w:val="nil"/>
              <w:left w:val="nil"/>
              <w:bottom w:val="nil"/>
              <w:right w:val="nil"/>
            </w:tcBorders>
            <w:tcMar>
              <w:top w:w="0" w:type="dxa"/>
              <w:left w:w="62" w:type="dxa"/>
              <w:bottom w:w="0" w:type="dxa"/>
              <w:right w:w="62" w:type="dxa"/>
            </w:tcMar>
          </w:tcPr>
          <w:p w:rsidR="00000000" w:rsidRPr="001E5743" w:rsidP="001E5743">
            <w:pPr>
              <w:pStyle w:val="BodyText"/>
            </w:pPr>
            <w:r w:rsidRPr="001E5743">
              <w:t>Interpret design brief for fluid power systems</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E5743">
            <w:pPr>
              <w:pStyle w:val="BodyText"/>
              <w:rPr>
                <w:lang w:val="en-NZ"/>
              </w:rPr>
            </w:pPr>
            <w:r w:rsidRPr="001E5743">
              <w:t>1.1</w:t>
            </w:r>
          </w:p>
        </w:tc>
        <w:tc>
          <w:tcPr>
            <w:tcW w:w="5610" w:type="dxa"/>
            <w:tcBorders>
              <w:top w:val="nil"/>
              <w:left w:val="nil"/>
              <w:bottom w:val="nil"/>
              <w:right w:val="nil"/>
            </w:tcBorders>
            <w:tcMar>
              <w:top w:w="0" w:type="dxa"/>
              <w:left w:w="62" w:type="dxa"/>
              <w:bottom w:w="0" w:type="dxa"/>
              <w:right w:w="62" w:type="dxa"/>
            </w:tcMar>
          </w:tcPr>
          <w:p w:rsidR="00000000" w:rsidP="001E5743">
            <w:pPr>
              <w:pStyle w:val="BodyText"/>
              <w:rPr>
                <w:lang w:val="en-NZ"/>
              </w:rPr>
            </w:pPr>
            <w:r w:rsidRPr="001E5743">
              <w:t>Confirm the design brief and operational requirements with the client</w:t>
            </w:r>
          </w:p>
        </w:tc>
      </w:tr>
      <w:tr w:rsidTr="001E574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E5743">
            <w:pPr>
              <w:pStyle w:val="BodyText"/>
              <w:rPr>
                <w:lang w:val="en-NZ"/>
              </w:rPr>
            </w:pPr>
            <w:r w:rsidRPr="001E5743">
              <w:t>1.2</w:t>
            </w:r>
          </w:p>
        </w:tc>
        <w:tc>
          <w:tcPr>
            <w:tcW w:w="5610" w:type="dxa"/>
            <w:tcBorders>
              <w:top w:val="nil"/>
              <w:left w:val="nil"/>
              <w:bottom w:val="nil"/>
              <w:right w:val="nil"/>
            </w:tcBorders>
            <w:tcMar>
              <w:top w:w="0" w:type="dxa"/>
              <w:left w:w="62" w:type="dxa"/>
              <w:bottom w:w="0" w:type="dxa"/>
              <w:right w:w="62" w:type="dxa"/>
            </w:tcMar>
          </w:tcPr>
          <w:p w:rsidR="00000000" w:rsidP="001E5743">
            <w:pPr>
              <w:pStyle w:val="BodyText"/>
              <w:rPr>
                <w:lang w:val="en-NZ"/>
              </w:rPr>
            </w:pPr>
            <w:r w:rsidRPr="001E5743">
              <w:t xml:space="preserve">Establish technical, commercial and environmental parameters to the brief or contract </w:t>
            </w:r>
          </w:p>
        </w:tc>
      </w:tr>
      <w:tr w:rsidTr="001E574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E5743">
            <w:pPr>
              <w:pStyle w:val="BodyText"/>
              <w:rPr>
                <w:lang w:val="en-NZ"/>
              </w:rPr>
            </w:pPr>
            <w:r w:rsidRPr="001E5743">
              <w:t>1.3</w:t>
            </w:r>
          </w:p>
        </w:tc>
        <w:tc>
          <w:tcPr>
            <w:tcW w:w="5610" w:type="dxa"/>
            <w:tcBorders>
              <w:top w:val="nil"/>
              <w:left w:val="nil"/>
              <w:bottom w:val="nil"/>
              <w:right w:val="nil"/>
            </w:tcBorders>
            <w:tcMar>
              <w:top w:w="0" w:type="dxa"/>
              <w:left w:w="62" w:type="dxa"/>
              <w:bottom w:w="0" w:type="dxa"/>
              <w:right w:w="62" w:type="dxa"/>
            </w:tcMar>
          </w:tcPr>
          <w:p w:rsidR="00000000" w:rsidP="001E5743">
            <w:pPr>
              <w:pStyle w:val="BodyText"/>
              <w:rPr>
                <w:lang w:val="en-NZ"/>
              </w:rPr>
            </w:pPr>
            <w:r w:rsidRPr="001E5743">
              <w:t>Determine stakeholders to be consulted in design process</w:t>
            </w:r>
          </w:p>
        </w:tc>
      </w:tr>
      <w:tr w:rsidTr="001E574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E5743">
            <w:pPr>
              <w:pStyle w:val="BodyText"/>
              <w:rPr>
                <w:lang w:val="en-NZ"/>
              </w:rPr>
            </w:pPr>
            <w:r w:rsidRPr="001E5743">
              <w:t>1.4</w:t>
            </w:r>
          </w:p>
        </w:tc>
        <w:tc>
          <w:tcPr>
            <w:tcW w:w="5610" w:type="dxa"/>
            <w:tcBorders>
              <w:top w:val="nil"/>
              <w:left w:val="nil"/>
              <w:bottom w:val="nil"/>
              <w:right w:val="nil"/>
            </w:tcBorders>
            <w:tcMar>
              <w:top w:w="0" w:type="dxa"/>
              <w:left w:w="62" w:type="dxa"/>
              <w:bottom w:w="0" w:type="dxa"/>
              <w:right w:w="62" w:type="dxa"/>
            </w:tcMar>
          </w:tcPr>
          <w:p w:rsidR="00000000" w:rsidP="001E5743">
            <w:pPr>
              <w:pStyle w:val="BodyText"/>
              <w:rPr>
                <w:lang w:val="en-NZ"/>
              </w:rPr>
            </w:pPr>
            <w:r w:rsidRPr="001E5743">
              <w:t>Consider regulatory, sustainability or environmental issues relevant to the briefs</w:t>
            </w:r>
          </w:p>
        </w:tc>
      </w:tr>
      <w:tr w:rsidTr="001E574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E5743">
            <w:pPr>
              <w:pStyle w:val="BodyText"/>
              <w:rPr>
                <w:lang w:val="en-NZ"/>
              </w:rPr>
            </w:pPr>
            <w:r w:rsidRPr="001E5743">
              <w:t>1.5</w:t>
            </w:r>
          </w:p>
        </w:tc>
        <w:tc>
          <w:tcPr>
            <w:tcW w:w="5610" w:type="dxa"/>
            <w:tcBorders>
              <w:top w:val="nil"/>
              <w:left w:val="nil"/>
              <w:bottom w:val="nil"/>
              <w:right w:val="nil"/>
            </w:tcBorders>
            <w:tcMar>
              <w:top w:w="0" w:type="dxa"/>
              <w:left w:w="62" w:type="dxa"/>
              <w:bottom w:w="0" w:type="dxa"/>
              <w:right w:w="62" w:type="dxa"/>
            </w:tcMar>
          </w:tcPr>
          <w:p w:rsidR="00000000" w:rsidRPr="001E5743" w:rsidP="001E5743">
            <w:pPr>
              <w:pStyle w:val="BodyText"/>
            </w:pPr>
            <w:r w:rsidRPr="001E5743">
              <w:t>Provide preliminary advice to client on the feasibility for realising the fluid power system design</w:t>
            </w:r>
          </w:p>
        </w:tc>
      </w:tr>
    </w:tbl>
    <w:p w:rsidR="00000000" w:rsidRPr="001E5743" w:rsidP="001E5743">
      <w:pPr>
        <w:pStyle w:val="BodyText"/>
      </w:pPr>
    </w:p>
    <w:tbl>
      <w:tblPr>
        <w:tblW w:w="0" w:type="auto"/>
        <w:tblLayout w:type="fixed"/>
        <w:tblCellMar>
          <w:left w:w="62" w:type="dxa"/>
          <w:right w:w="62" w:type="dxa"/>
        </w:tblCellMar>
        <w:tblLook w:val="0000"/>
      </w:tblPr>
      <w:tblGrid>
        <w:gridCol w:w="678"/>
        <w:gridCol w:w="1962"/>
        <w:gridCol w:w="770"/>
        <w:gridCol w:w="5610"/>
      </w:tblGrid>
      <w:tr w:rsidTr="001E574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1E5743">
            <w:pPr>
              <w:pStyle w:val="BodyText"/>
              <w:rPr>
                <w:lang w:val="en-NZ"/>
              </w:rPr>
            </w:pPr>
            <w:r w:rsidRPr="001E5743">
              <w:t>2</w:t>
            </w:r>
          </w:p>
        </w:tc>
        <w:tc>
          <w:tcPr>
            <w:tcW w:w="1962" w:type="dxa"/>
            <w:vMerge w:val="restart"/>
            <w:tcBorders>
              <w:top w:val="nil"/>
              <w:left w:val="nil"/>
              <w:bottom w:val="nil"/>
              <w:right w:val="nil"/>
            </w:tcBorders>
            <w:tcMar>
              <w:top w:w="0" w:type="dxa"/>
              <w:left w:w="62" w:type="dxa"/>
              <w:bottom w:w="0" w:type="dxa"/>
              <w:right w:w="62" w:type="dxa"/>
            </w:tcMar>
          </w:tcPr>
          <w:p w:rsidR="00000000" w:rsidRPr="001E5743" w:rsidP="001E5743">
            <w:pPr>
              <w:pStyle w:val="BodyText"/>
            </w:pPr>
            <w:r w:rsidRPr="001E5743">
              <w:t>Prepare concept proposal</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E5743">
            <w:pPr>
              <w:pStyle w:val="BodyText"/>
              <w:rPr>
                <w:lang w:val="en-NZ"/>
              </w:rPr>
            </w:pPr>
            <w:r w:rsidRPr="001E5743">
              <w:t>2.1</w:t>
            </w:r>
          </w:p>
        </w:tc>
        <w:tc>
          <w:tcPr>
            <w:tcW w:w="5610" w:type="dxa"/>
            <w:tcBorders>
              <w:top w:val="nil"/>
              <w:left w:val="nil"/>
              <w:bottom w:val="nil"/>
              <w:right w:val="nil"/>
            </w:tcBorders>
            <w:tcMar>
              <w:top w:w="0" w:type="dxa"/>
              <w:left w:w="62" w:type="dxa"/>
              <w:bottom w:w="0" w:type="dxa"/>
              <w:right w:w="62" w:type="dxa"/>
            </w:tcMar>
          </w:tcPr>
          <w:p w:rsidR="00000000" w:rsidP="001E5743">
            <w:pPr>
              <w:pStyle w:val="BodyText"/>
              <w:rPr>
                <w:lang w:val="en-NZ"/>
              </w:rPr>
            </w:pPr>
            <w:r w:rsidRPr="001E5743">
              <w:t>Analyse and establish worksite requirements for fluid power system realisation in conjunction with the client</w:t>
            </w:r>
          </w:p>
        </w:tc>
      </w:tr>
      <w:tr w:rsidTr="001E574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E5743">
            <w:pPr>
              <w:pStyle w:val="BodyText"/>
              <w:rPr>
                <w:lang w:val="en-NZ"/>
              </w:rPr>
            </w:pPr>
            <w:r w:rsidRPr="001E5743">
              <w:t>2.2</w:t>
            </w:r>
          </w:p>
        </w:tc>
        <w:tc>
          <w:tcPr>
            <w:tcW w:w="5610" w:type="dxa"/>
            <w:tcBorders>
              <w:top w:val="nil"/>
              <w:left w:val="nil"/>
              <w:bottom w:val="nil"/>
              <w:right w:val="nil"/>
            </w:tcBorders>
            <w:tcMar>
              <w:top w:w="0" w:type="dxa"/>
              <w:left w:w="62" w:type="dxa"/>
              <w:bottom w:w="0" w:type="dxa"/>
              <w:right w:w="62" w:type="dxa"/>
            </w:tcMar>
          </w:tcPr>
          <w:p w:rsidR="00000000" w:rsidP="001E5743">
            <w:pPr>
              <w:pStyle w:val="BodyText"/>
              <w:rPr>
                <w:lang w:val="en-NZ"/>
              </w:rPr>
            </w:pPr>
            <w:r w:rsidRPr="001E5743">
              <w:t>Undertake initial design investigations for fluid power system capacity and responsiveness</w:t>
            </w:r>
          </w:p>
        </w:tc>
      </w:tr>
      <w:tr w:rsidTr="001E574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E5743">
            <w:pPr>
              <w:pStyle w:val="BodyText"/>
              <w:rPr>
                <w:lang w:val="en-NZ"/>
              </w:rPr>
            </w:pPr>
            <w:r w:rsidRPr="001E5743">
              <w:t>2.3</w:t>
            </w:r>
          </w:p>
        </w:tc>
        <w:tc>
          <w:tcPr>
            <w:tcW w:w="5610" w:type="dxa"/>
            <w:tcBorders>
              <w:top w:val="nil"/>
              <w:left w:val="nil"/>
              <w:bottom w:val="nil"/>
              <w:right w:val="nil"/>
            </w:tcBorders>
            <w:tcMar>
              <w:top w:w="0" w:type="dxa"/>
              <w:left w:w="62" w:type="dxa"/>
              <w:bottom w:w="0" w:type="dxa"/>
              <w:right w:w="62" w:type="dxa"/>
            </w:tcMar>
          </w:tcPr>
          <w:p w:rsidR="00000000" w:rsidP="001E5743">
            <w:pPr>
              <w:pStyle w:val="BodyText"/>
              <w:rPr>
                <w:lang w:val="en-NZ"/>
              </w:rPr>
            </w:pPr>
            <w:r w:rsidRPr="001E5743">
              <w:t xml:space="preserve">Carry out required modelling, simulation and calculations using appropriate software, and test equipment to determine fluid power system, function, behaviour </w:t>
            </w:r>
            <w:r w:rsidRPr="001E5743">
              <w:t>and safety</w:t>
            </w:r>
          </w:p>
        </w:tc>
      </w:tr>
      <w:tr w:rsidTr="001E574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E5743">
            <w:pPr>
              <w:pStyle w:val="BodyText"/>
              <w:rPr>
                <w:lang w:val="en-NZ"/>
              </w:rPr>
            </w:pPr>
            <w:r w:rsidRPr="001E5743">
              <w:t>2.4</w:t>
            </w:r>
          </w:p>
        </w:tc>
        <w:tc>
          <w:tcPr>
            <w:tcW w:w="5610" w:type="dxa"/>
            <w:tcBorders>
              <w:top w:val="nil"/>
              <w:left w:val="nil"/>
              <w:bottom w:val="nil"/>
              <w:right w:val="nil"/>
            </w:tcBorders>
            <w:tcMar>
              <w:top w:w="0" w:type="dxa"/>
              <w:left w:w="62" w:type="dxa"/>
              <w:bottom w:w="0" w:type="dxa"/>
              <w:right w:w="62" w:type="dxa"/>
            </w:tcMar>
          </w:tcPr>
          <w:p w:rsidR="00000000" w:rsidP="001E5743">
            <w:pPr>
              <w:pStyle w:val="BodyText"/>
              <w:rPr>
                <w:lang w:val="en-NZ"/>
              </w:rPr>
            </w:pPr>
            <w:r w:rsidRPr="001E5743">
              <w:t xml:space="preserve">Generate a range of possible solutions to the design </w:t>
            </w:r>
          </w:p>
        </w:tc>
      </w:tr>
      <w:tr w:rsidTr="001E574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E5743">
            <w:pPr>
              <w:pStyle w:val="BodyText"/>
              <w:rPr>
                <w:lang w:val="en-NZ"/>
              </w:rPr>
            </w:pPr>
            <w:r w:rsidRPr="001E5743">
              <w:t>2.5</w:t>
            </w:r>
          </w:p>
        </w:tc>
        <w:tc>
          <w:tcPr>
            <w:tcW w:w="5610" w:type="dxa"/>
            <w:tcBorders>
              <w:top w:val="nil"/>
              <w:left w:val="nil"/>
              <w:bottom w:val="nil"/>
              <w:right w:val="nil"/>
            </w:tcBorders>
            <w:tcMar>
              <w:top w:w="0" w:type="dxa"/>
              <w:left w:w="62" w:type="dxa"/>
              <w:bottom w:w="0" w:type="dxa"/>
              <w:right w:w="62" w:type="dxa"/>
            </w:tcMar>
          </w:tcPr>
          <w:p w:rsidR="00000000" w:rsidP="001E5743">
            <w:pPr>
              <w:pStyle w:val="BodyText"/>
              <w:rPr>
                <w:lang w:val="en-NZ"/>
              </w:rPr>
            </w:pPr>
            <w:r w:rsidRPr="001E5743">
              <w:t>Check feasibility and validate solutions against design criteria ensuring conformity to OHS requirements and relevant standards</w:t>
            </w:r>
          </w:p>
        </w:tc>
      </w:tr>
      <w:tr w:rsidTr="001E574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E5743">
            <w:pPr>
              <w:pStyle w:val="BodyText"/>
              <w:rPr>
                <w:lang w:val="en-NZ"/>
              </w:rPr>
            </w:pPr>
            <w:r w:rsidRPr="001E5743">
              <w:t>2.6</w:t>
            </w:r>
          </w:p>
        </w:tc>
        <w:tc>
          <w:tcPr>
            <w:tcW w:w="5610" w:type="dxa"/>
            <w:tcBorders>
              <w:top w:val="nil"/>
              <w:left w:val="nil"/>
              <w:bottom w:val="nil"/>
              <w:right w:val="nil"/>
            </w:tcBorders>
            <w:tcMar>
              <w:top w:w="0" w:type="dxa"/>
              <w:left w:w="62" w:type="dxa"/>
              <w:bottom w:w="0" w:type="dxa"/>
              <w:right w:w="62" w:type="dxa"/>
            </w:tcMar>
          </w:tcPr>
          <w:p w:rsidR="00000000" w:rsidP="001E5743">
            <w:pPr>
              <w:pStyle w:val="BodyText"/>
              <w:rPr>
                <w:lang w:val="en-NZ"/>
              </w:rPr>
            </w:pPr>
            <w:r w:rsidRPr="001E5743">
              <w:t>Determine social and sustainability implic</w:t>
            </w:r>
            <w:r w:rsidRPr="001E5743">
              <w:t>ations of solutions</w:t>
            </w:r>
          </w:p>
        </w:tc>
      </w:tr>
      <w:tr w:rsidTr="001E574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E5743">
            <w:pPr>
              <w:pStyle w:val="BodyText"/>
              <w:rPr>
                <w:lang w:val="en-NZ"/>
              </w:rPr>
            </w:pPr>
            <w:r w:rsidRPr="001E5743">
              <w:t>2.7</w:t>
            </w:r>
          </w:p>
        </w:tc>
        <w:tc>
          <w:tcPr>
            <w:tcW w:w="5610" w:type="dxa"/>
            <w:tcBorders>
              <w:top w:val="nil"/>
              <w:left w:val="nil"/>
              <w:bottom w:val="nil"/>
              <w:right w:val="nil"/>
            </w:tcBorders>
            <w:tcMar>
              <w:top w:w="0" w:type="dxa"/>
              <w:left w:w="62" w:type="dxa"/>
              <w:bottom w:w="0" w:type="dxa"/>
              <w:right w:w="62" w:type="dxa"/>
            </w:tcMar>
          </w:tcPr>
          <w:p w:rsidR="00000000" w:rsidRPr="001E5743" w:rsidP="001E5743">
            <w:pPr>
              <w:pStyle w:val="BodyText"/>
            </w:pPr>
            <w:r w:rsidRPr="001E5743">
              <w:t>Review concept proposals with client to identify preferred solution</w:t>
            </w:r>
          </w:p>
        </w:tc>
      </w:tr>
    </w:tbl>
    <w:p w:rsidR="00000000" w:rsidRPr="001E5743" w:rsidP="001E5743">
      <w:pPr>
        <w:pStyle w:val="BodyText"/>
      </w:pPr>
    </w:p>
    <w:tbl>
      <w:tblPr>
        <w:tblW w:w="0" w:type="auto"/>
        <w:tblLayout w:type="fixed"/>
        <w:tblCellMar>
          <w:left w:w="62" w:type="dxa"/>
          <w:right w:w="62" w:type="dxa"/>
        </w:tblCellMar>
        <w:tblLook w:val="0000"/>
      </w:tblPr>
      <w:tblGrid>
        <w:gridCol w:w="678"/>
        <w:gridCol w:w="1962"/>
        <w:gridCol w:w="770"/>
        <w:gridCol w:w="5610"/>
      </w:tblGrid>
      <w:tr w:rsidTr="001E574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1E5743">
            <w:pPr>
              <w:pStyle w:val="BodyText"/>
              <w:rPr>
                <w:lang w:val="en-NZ"/>
              </w:rPr>
            </w:pPr>
            <w:r w:rsidRPr="001E5743">
              <w:t>3</w:t>
            </w:r>
          </w:p>
        </w:tc>
        <w:tc>
          <w:tcPr>
            <w:tcW w:w="1962" w:type="dxa"/>
            <w:vMerge w:val="restart"/>
            <w:tcBorders>
              <w:top w:val="nil"/>
              <w:left w:val="nil"/>
              <w:bottom w:val="nil"/>
              <w:right w:val="nil"/>
            </w:tcBorders>
            <w:tcMar>
              <w:top w:w="0" w:type="dxa"/>
              <w:left w:w="62" w:type="dxa"/>
              <w:bottom w:w="0" w:type="dxa"/>
              <w:right w:w="62" w:type="dxa"/>
            </w:tcMar>
          </w:tcPr>
          <w:p w:rsidR="00000000" w:rsidRPr="001E5743" w:rsidP="001E5743">
            <w:pPr>
              <w:pStyle w:val="BodyText"/>
            </w:pPr>
            <w:r w:rsidRPr="001E5743">
              <w:t>Design fluid power system</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E5743">
            <w:pPr>
              <w:pStyle w:val="BodyText"/>
              <w:rPr>
                <w:lang w:val="en-NZ"/>
              </w:rPr>
            </w:pPr>
            <w:r w:rsidRPr="001E5743">
              <w:t>3.1</w:t>
            </w:r>
          </w:p>
        </w:tc>
        <w:tc>
          <w:tcPr>
            <w:tcW w:w="5610" w:type="dxa"/>
            <w:tcBorders>
              <w:top w:val="nil"/>
              <w:left w:val="nil"/>
              <w:bottom w:val="nil"/>
              <w:right w:val="nil"/>
            </w:tcBorders>
            <w:tcMar>
              <w:top w:w="0" w:type="dxa"/>
              <w:left w:w="62" w:type="dxa"/>
              <w:bottom w:w="0" w:type="dxa"/>
              <w:right w:w="62" w:type="dxa"/>
            </w:tcMar>
          </w:tcPr>
          <w:p w:rsidR="00000000" w:rsidP="001E5743">
            <w:pPr>
              <w:pStyle w:val="BodyText"/>
              <w:rPr>
                <w:lang w:val="en-NZ"/>
              </w:rPr>
            </w:pPr>
            <w:r w:rsidRPr="001E5743">
              <w:t>Develop selected fluid power design to meet specifications, including dimensioning, sizing and positioning of system components</w:t>
            </w:r>
          </w:p>
        </w:tc>
      </w:tr>
      <w:tr w:rsidTr="001E574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E5743">
            <w:pPr>
              <w:pStyle w:val="BodyText"/>
              <w:rPr>
                <w:lang w:val="en-NZ"/>
              </w:rPr>
            </w:pPr>
            <w:r w:rsidRPr="001E5743">
              <w:t>3.2</w:t>
            </w:r>
          </w:p>
        </w:tc>
        <w:tc>
          <w:tcPr>
            <w:tcW w:w="5610" w:type="dxa"/>
            <w:tcBorders>
              <w:top w:val="nil"/>
              <w:left w:val="nil"/>
              <w:bottom w:val="nil"/>
              <w:right w:val="nil"/>
            </w:tcBorders>
            <w:tcMar>
              <w:top w:w="0" w:type="dxa"/>
              <w:left w:w="62" w:type="dxa"/>
              <w:bottom w:w="0" w:type="dxa"/>
              <w:right w:w="62" w:type="dxa"/>
            </w:tcMar>
          </w:tcPr>
          <w:p w:rsidR="00000000" w:rsidP="001E5743">
            <w:pPr>
              <w:pStyle w:val="BodyText"/>
              <w:rPr>
                <w:lang w:val="en-NZ"/>
              </w:rPr>
            </w:pPr>
            <w:r w:rsidRPr="001E5743">
              <w:t>Evaluate sequence and mode control methods for multi-actuator circuit, stand alone and network designs for implementation</w:t>
            </w:r>
          </w:p>
        </w:tc>
      </w:tr>
      <w:tr w:rsidTr="001E574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E5743">
            <w:pPr>
              <w:pStyle w:val="BodyText"/>
              <w:rPr>
                <w:lang w:val="en-NZ"/>
              </w:rPr>
            </w:pPr>
            <w:r w:rsidRPr="001E5743">
              <w:t>3.3</w:t>
            </w:r>
          </w:p>
        </w:tc>
        <w:tc>
          <w:tcPr>
            <w:tcW w:w="5610" w:type="dxa"/>
            <w:tcBorders>
              <w:top w:val="nil"/>
              <w:left w:val="nil"/>
              <w:bottom w:val="nil"/>
              <w:right w:val="nil"/>
            </w:tcBorders>
            <w:tcMar>
              <w:top w:w="0" w:type="dxa"/>
              <w:left w:w="62" w:type="dxa"/>
              <w:bottom w:w="0" w:type="dxa"/>
              <w:right w:w="62" w:type="dxa"/>
            </w:tcMar>
          </w:tcPr>
          <w:p w:rsidR="00000000" w:rsidP="001E5743">
            <w:pPr>
              <w:pStyle w:val="BodyText"/>
              <w:rPr>
                <w:lang w:val="en-NZ"/>
              </w:rPr>
            </w:pPr>
            <w:r w:rsidRPr="001E5743">
              <w:t>Determine options for design of compressed air supply for a multi-application facility, if applicable</w:t>
            </w:r>
          </w:p>
        </w:tc>
      </w:tr>
      <w:tr w:rsidTr="001E574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E5743">
            <w:pPr>
              <w:pStyle w:val="BodyText"/>
              <w:rPr>
                <w:lang w:val="en-NZ"/>
              </w:rPr>
            </w:pPr>
            <w:r w:rsidRPr="001E5743">
              <w:t>3.4</w:t>
            </w:r>
          </w:p>
        </w:tc>
        <w:tc>
          <w:tcPr>
            <w:tcW w:w="5610" w:type="dxa"/>
            <w:tcBorders>
              <w:top w:val="nil"/>
              <w:left w:val="nil"/>
              <w:bottom w:val="nil"/>
              <w:right w:val="nil"/>
            </w:tcBorders>
            <w:tcMar>
              <w:top w:w="0" w:type="dxa"/>
              <w:left w:w="62" w:type="dxa"/>
              <w:bottom w:w="0" w:type="dxa"/>
              <w:right w:w="62" w:type="dxa"/>
            </w:tcMar>
          </w:tcPr>
          <w:p w:rsidR="00000000" w:rsidP="001E5743">
            <w:pPr>
              <w:pStyle w:val="BodyText"/>
              <w:rPr>
                <w:lang w:val="en-NZ"/>
              </w:rPr>
            </w:pPr>
            <w:r w:rsidRPr="001E5743">
              <w:t>Ensure that design solution is optimised with respect to the system specifications</w:t>
            </w:r>
          </w:p>
        </w:tc>
      </w:tr>
      <w:tr w:rsidTr="001E574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E5743">
            <w:pPr>
              <w:pStyle w:val="BodyText"/>
              <w:rPr>
                <w:lang w:val="en-NZ"/>
              </w:rPr>
            </w:pPr>
            <w:r w:rsidRPr="001E5743">
              <w:t>3.5</w:t>
            </w:r>
          </w:p>
        </w:tc>
        <w:tc>
          <w:tcPr>
            <w:tcW w:w="5610" w:type="dxa"/>
            <w:tcBorders>
              <w:top w:val="nil"/>
              <w:left w:val="nil"/>
              <w:bottom w:val="nil"/>
              <w:right w:val="nil"/>
            </w:tcBorders>
            <w:tcMar>
              <w:top w:w="0" w:type="dxa"/>
              <w:left w:w="62" w:type="dxa"/>
              <w:bottom w:w="0" w:type="dxa"/>
              <w:right w:w="62" w:type="dxa"/>
            </w:tcMar>
          </w:tcPr>
          <w:p w:rsidR="00000000" w:rsidP="001E5743">
            <w:pPr>
              <w:pStyle w:val="BodyText"/>
              <w:rPr>
                <w:lang w:val="en-NZ"/>
              </w:rPr>
            </w:pPr>
            <w:r w:rsidRPr="001E5743">
              <w:t>Develop fluid power design documentation, includi</w:t>
            </w:r>
            <w:r w:rsidRPr="001E5743">
              <w:t>ng drawings, circuit diagrams, specifications, operating instructions, manuals and training materials, if appropriate</w:t>
            </w:r>
          </w:p>
        </w:tc>
      </w:tr>
      <w:tr w:rsidTr="001E574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E5743">
            <w:pPr>
              <w:pStyle w:val="BodyText"/>
              <w:rPr>
                <w:lang w:val="en-NZ"/>
              </w:rPr>
            </w:pPr>
            <w:r w:rsidRPr="001E5743">
              <w:t>3.6</w:t>
            </w:r>
          </w:p>
        </w:tc>
        <w:tc>
          <w:tcPr>
            <w:tcW w:w="5610" w:type="dxa"/>
            <w:tcBorders>
              <w:top w:val="nil"/>
              <w:left w:val="nil"/>
              <w:bottom w:val="nil"/>
              <w:right w:val="nil"/>
            </w:tcBorders>
            <w:tcMar>
              <w:top w:w="0" w:type="dxa"/>
              <w:left w:w="62" w:type="dxa"/>
              <w:bottom w:w="0" w:type="dxa"/>
              <w:right w:w="62" w:type="dxa"/>
            </w:tcMar>
          </w:tcPr>
          <w:p w:rsidR="00000000" w:rsidP="001E5743">
            <w:pPr>
              <w:pStyle w:val="BodyText"/>
              <w:rPr>
                <w:lang w:val="en-NZ"/>
              </w:rPr>
            </w:pPr>
            <w:r w:rsidRPr="001E5743">
              <w:t>Check that the final design meets all required specifications and operational capabilities</w:t>
            </w:r>
          </w:p>
        </w:tc>
      </w:tr>
      <w:tr w:rsidTr="001E574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E5743">
            <w:pPr>
              <w:pStyle w:val="BodyText"/>
              <w:rPr>
                <w:lang w:val="en-NZ"/>
              </w:rPr>
            </w:pPr>
            <w:r w:rsidRPr="001E5743">
              <w:t>3.7</w:t>
            </w:r>
          </w:p>
        </w:tc>
        <w:tc>
          <w:tcPr>
            <w:tcW w:w="5610" w:type="dxa"/>
            <w:tcBorders>
              <w:top w:val="nil"/>
              <w:left w:val="nil"/>
              <w:bottom w:val="nil"/>
              <w:right w:val="nil"/>
            </w:tcBorders>
            <w:tcMar>
              <w:top w:w="0" w:type="dxa"/>
              <w:left w:w="62" w:type="dxa"/>
              <w:bottom w:w="0" w:type="dxa"/>
              <w:right w:w="62" w:type="dxa"/>
            </w:tcMar>
          </w:tcPr>
          <w:p w:rsidR="00000000" w:rsidRPr="001E5743" w:rsidP="001E5743">
            <w:pPr>
              <w:pStyle w:val="BodyText"/>
            </w:pPr>
            <w:r w:rsidRPr="001E5743">
              <w:t>Consult with client and stakeholders to obtain sign-off on design</w:t>
            </w:r>
          </w:p>
        </w:tc>
      </w:tr>
    </w:tbl>
    <w:p w:rsidR="00647766" w:rsidP="001E5743">
      <w:pPr>
        <w:pStyle w:val="BodyText"/>
      </w:pPr>
    </w:p>
    <w:p w:rsidR="00647766" w:rsidP="001E5743">
      <w:pPr>
        <w:pStyle w:val="BodyText"/>
      </w:pPr>
    </w:p>
    <w:p w:rsidR="00000000" w:rsidRPr="001E5743" w:rsidP="001E5743">
      <w:pPr>
        <w:pStyle w:val="Heading1"/>
      </w:pPr>
      <w:bookmarkStart w:id="9" w:name="O_396927"/>
      <w:bookmarkEnd w:id="9"/>
      <w:r w:rsidRPr="001E5743">
        <w:t>Required Skills and Knowledge</w:t>
      </w:r>
    </w:p>
    <w:tbl>
      <w:tblPr>
        <w:tblW w:w="9462" w:type="dxa"/>
        <w:tblLayout w:type="fixed"/>
        <w:tblCellMar>
          <w:left w:w="62" w:type="dxa"/>
          <w:right w:w="62" w:type="dxa"/>
        </w:tblCellMar>
        <w:tblLook w:val="0000"/>
      </w:tblPr>
      <w:tblGrid>
        <w:gridCol w:w="9462"/>
      </w:tblGrid>
      <w:tr w:rsidTr="001E5743">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1E5743">
            <w:pPr>
              <w:pStyle w:val="BodyText"/>
              <w:rPr>
                <w:lang w:val="en-NZ"/>
              </w:rPr>
            </w:pPr>
            <w:r w:rsidRPr="001E5743">
              <w:t>This section describes the skills and knowledge required for this unit.</w:t>
            </w:r>
          </w:p>
        </w:tc>
      </w:tr>
      <w:tr w:rsidTr="001E5743">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1E5743">
            <w:pPr>
              <w:pStyle w:val="BodyText"/>
              <w:rPr>
                <w:lang w:val="en-NZ"/>
              </w:rPr>
            </w:pPr>
            <w:r w:rsidRPr="001E5743">
              <w:t>Required skills</w:t>
            </w:r>
          </w:p>
        </w:tc>
      </w:tr>
      <w:tr w:rsidTr="001E5743">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1E5743" w:rsidP="001E5743">
            <w:pPr>
              <w:pStyle w:val="BodyText"/>
            </w:pPr>
            <w:r w:rsidRPr="001E5743">
              <w:t>Required skills include:</w:t>
            </w:r>
          </w:p>
          <w:p w:rsidR="00000000" w:rsidRPr="001E5743" w:rsidP="001E5743">
            <w:pPr>
              <w:pStyle w:val="ListBullet"/>
            </w:pPr>
            <w:r w:rsidRPr="001E5743">
              <w:t>determining features of fluid power systems, including OHS, regulatory and risk management requirements</w:t>
            </w:r>
          </w:p>
          <w:p w:rsidR="00000000" w:rsidRPr="001E5743" w:rsidP="001E5743">
            <w:pPr>
              <w:pStyle w:val="ListBullet"/>
            </w:pPr>
            <w:r w:rsidRPr="001E5743">
              <w:t xml:space="preserve">interpreting parameters to the brief or contract  </w:t>
            </w:r>
          </w:p>
          <w:p w:rsidR="00000000" w:rsidRPr="001E5743" w:rsidP="001E5743">
            <w:pPr>
              <w:pStyle w:val="ListBullet"/>
            </w:pPr>
            <w:r w:rsidRPr="001E5743">
              <w:t>researching trends and techniques in:</w:t>
            </w:r>
          </w:p>
          <w:p w:rsidR="00000000" w:rsidRPr="001E5743" w:rsidP="001E5743">
            <w:pPr>
              <w:pStyle w:val="ListBullet2"/>
            </w:pPr>
            <w:r w:rsidRPr="001E5743">
              <w:t xml:space="preserve">fluid power design </w:t>
            </w:r>
          </w:p>
          <w:p w:rsidR="00000000" w:rsidRPr="001E5743" w:rsidP="001E5743">
            <w:pPr>
              <w:pStyle w:val="ListBullet2"/>
            </w:pPr>
            <w:r w:rsidRPr="001E5743">
              <w:t xml:space="preserve">reverse engineering </w:t>
            </w:r>
          </w:p>
          <w:p w:rsidR="00000000" w:rsidRPr="001E5743" w:rsidP="001E5743">
            <w:pPr>
              <w:pStyle w:val="ListBullet2"/>
            </w:pPr>
            <w:r w:rsidRPr="001E5743">
              <w:t>sustainability issues</w:t>
            </w:r>
            <w:r w:rsidRPr="001E5743">
              <w:t xml:space="preserve"> and implications </w:t>
            </w:r>
          </w:p>
          <w:p w:rsidR="00000000" w:rsidRPr="001E5743" w:rsidP="001E5743">
            <w:pPr>
              <w:pStyle w:val="ListBullet2"/>
            </w:pPr>
            <w:r w:rsidRPr="001E5743">
              <w:t xml:space="preserve">materials and components </w:t>
            </w:r>
          </w:p>
          <w:p w:rsidR="00000000" w:rsidRPr="001E5743" w:rsidP="001E5743">
            <w:pPr>
              <w:pStyle w:val="ListBullet2"/>
            </w:pPr>
            <w:r w:rsidRPr="001E5743">
              <w:t>assembly, fabrication and construction techniques</w:t>
            </w:r>
          </w:p>
          <w:p w:rsidR="00000000" w:rsidRPr="001E5743" w:rsidP="001E5743">
            <w:pPr>
              <w:pStyle w:val="ListBullet2"/>
            </w:pPr>
            <w:r w:rsidRPr="001E5743">
              <w:t>lean and other quality techniques</w:t>
            </w:r>
          </w:p>
          <w:p w:rsidR="00000000" w:rsidRPr="001E5743" w:rsidP="001E5743">
            <w:pPr>
              <w:pStyle w:val="ListBullet2"/>
            </w:pPr>
            <w:r w:rsidRPr="001E5743">
              <w:t>latest relevant modelling, simulation and validation techniques, and other software</w:t>
            </w:r>
          </w:p>
          <w:p w:rsidR="00000000" w:rsidRPr="001E5743" w:rsidP="001E5743">
            <w:pPr>
              <w:pStyle w:val="ListBullet"/>
            </w:pPr>
            <w:r w:rsidRPr="001E5743">
              <w:t>investigating and presenting options</w:t>
            </w:r>
          </w:p>
          <w:p w:rsidR="00000000" w:rsidRPr="001E5743" w:rsidP="001E5743">
            <w:pPr>
              <w:pStyle w:val="ListBullet"/>
            </w:pPr>
            <w:r w:rsidRPr="001E5743">
              <w:t>inves</w:t>
            </w:r>
            <w:r w:rsidRPr="001E5743">
              <w:t>tigating faults in existing designs and propose solutions</w:t>
            </w:r>
          </w:p>
          <w:p w:rsidR="00000000" w:rsidRPr="001E5743" w:rsidP="001E5743">
            <w:pPr>
              <w:pStyle w:val="ListBullet"/>
            </w:pPr>
            <w:r w:rsidRPr="001E5743">
              <w:t xml:space="preserve">selecting and using software and validation techniques, including 2-D and 3-D modelling </w:t>
            </w:r>
          </w:p>
          <w:p w:rsidR="00000000" w:rsidRPr="001E5743" w:rsidP="001E5743">
            <w:pPr>
              <w:pStyle w:val="ListBullet"/>
            </w:pPr>
            <w:r w:rsidRPr="001E5743">
              <w:t>creating optimised design solutions for fluid power systems</w:t>
            </w:r>
          </w:p>
          <w:p w:rsidR="00000000" w:rsidRPr="001E5743" w:rsidP="001E5743">
            <w:pPr>
              <w:pStyle w:val="ListBullet"/>
            </w:pPr>
            <w:r w:rsidRPr="001E5743">
              <w:t>evaluating fluid power solutions for feasibility against design criteria, including relevant engineering and financial calculations and analysis</w:t>
            </w:r>
          </w:p>
          <w:p w:rsidR="00000000" w:rsidRPr="001E5743" w:rsidP="001E5743">
            <w:pPr>
              <w:pStyle w:val="ListBullet"/>
            </w:pPr>
            <w:r w:rsidRPr="001E5743">
              <w:t>communicating, negotiating and reviewing with stakeholders and clients throughout process to obtain agreement o</w:t>
            </w:r>
            <w:r w:rsidRPr="001E5743">
              <w:t>f proposal and sign-off on design</w:t>
            </w:r>
          </w:p>
          <w:p w:rsidR="00000000" w:rsidP="001E5743">
            <w:pPr>
              <w:pStyle w:val="ListBullet"/>
              <w:rPr>
                <w:lang w:val="en-NZ"/>
              </w:rPr>
            </w:pPr>
            <w:r w:rsidRPr="001E5743">
              <w:t>documenting design with drawings, specifications and instructions</w:t>
            </w:r>
          </w:p>
        </w:tc>
      </w:tr>
      <w:tr w:rsidTr="001E5743">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1E5743">
            <w:pPr>
              <w:pStyle w:val="BodyText"/>
              <w:rPr>
                <w:lang w:val="en-NZ"/>
              </w:rPr>
            </w:pPr>
          </w:p>
        </w:tc>
      </w:tr>
      <w:tr w:rsidTr="001E5743">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1E5743">
            <w:pPr>
              <w:pStyle w:val="BodyText"/>
              <w:rPr>
                <w:lang w:val="en-NZ"/>
              </w:rPr>
            </w:pPr>
            <w:r w:rsidRPr="001E5743">
              <w:rPr>
                <w:rStyle w:val="SpecialBold"/>
              </w:rPr>
              <w:t>Required knowledge</w:t>
            </w:r>
          </w:p>
        </w:tc>
      </w:tr>
      <w:tr w:rsidTr="001E5743">
        <w:tblPrEx>
          <w:tblW w:w="9462" w:type="dxa"/>
          <w:tblLayout w:type="fixed"/>
          <w:tblCellMar>
            <w:left w:w="62" w:type="dxa"/>
            <w:right w:w="62" w:type="dxa"/>
          </w:tblCellMar>
          <w:tblLook w:val="0000"/>
        </w:tblPrEx>
        <w:trPr>
          <w:trHeight w:val="392"/>
        </w:trPr>
        <w:tc>
          <w:tcPr>
            <w:tcW w:w="9462" w:type="dxa"/>
            <w:tcBorders>
              <w:top w:val="nil"/>
              <w:left w:val="nil"/>
              <w:bottom w:val="nil"/>
              <w:right w:val="nil"/>
            </w:tcBorders>
            <w:tcMar>
              <w:top w:w="0" w:type="dxa"/>
              <w:left w:w="62" w:type="dxa"/>
              <w:bottom w:w="0" w:type="dxa"/>
              <w:right w:w="62" w:type="dxa"/>
            </w:tcMar>
          </w:tcPr>
          <w:p w:rsidR="00000000" w:rsidRPr="001E5743" w:rsidP="001E5743">
            <w:pPr>
              <w:pStyle w:val="BodyText"/>
            </w:pPr>
            <w:r w:rsidRPr="001E5743">
              <w:t>Required knowledge includes:</w:t>
            </w:r>
          </w:p>
          <w:p w:rsidR="00000000" w:rsidRPr="001E5743" w:rsidP="001E5743">
            <w:pPr>
              <w:pStyle w:val="ListBullet"/>
            </w:pPr>
            <w:r w:rsidRPr="001E5743">
              <w:t>fluid power design methods</w:t>
            </w:r>
          </w:p>
          <w:p w:rsidR="00000000" w:rsidRPr="001E5743" w:rsidP="001E5743">
            <w:pPr>
              <w:pStyle w:val="ListBullet"/>
            </w:pPr>
            <w:r w:rsidRPr="001E5743">
              <w:t>current options and trends in design, performance analysis, modelling and si</w:t>
            </w:r>
            <w:r w:rsidRPr="001E5743">
              <w:t xml:space="preserve">mulation software, including underpinning program techniques and software validation techniques </w:t>
            </w:r>
          </w:p>
          <w:p w:rsidR="00000000" w:rsidRPr="001E5743" w:rsidP="001E5743">
            <w:pPr>
              <w:pStyle w:val="ListBullet"/>
            </w:pPr>
            <w:r w:rsidRPr="001E5743">
              <w:t>research and investigations methods</w:t>
            </w:r>
          </w:p>
          <w:p w:rsidR="00000000" w:rsidRPr="001E5743" w:rsidP="001E5743">
            <w:pPr>
              <w:pStyle w:val="ListBullet"/>
            </w:pPr>
            <w:r w:rsidRPr="001E5743">
              <w:t>techniques for:</w:t>
            </w:r>
          </w:p>
          <w:p w:rsidR="00000000" w:rsidRPr="001E5743" w:rsidP="001E5743">
            <w:pPr>
              <w:pStyle w:val="ListBullet2"/>
            </w:pPr>
            <w:r w:rsidRPr="001E5743">
              <w:t>continuous improvement</w:t>
            </w:r>
          </w:p>
          <w:p w:rsidR="00000000" w:rsidRPr="001E5743" w:rsidP="001E5743">
            <w:pPr>
              <w:pStyle w:val="ListBullet2"/>
            </w:pPr>
            <w:r w:rsidRPr="001E5743">
              <w:t>problem solving and decision making</w:t>
            </w:r>
          </w:p>
          <w:p w:rsidR="00000000" w:rsidRPr="001E5743" w:rsidP="001E5743">
            <w:pPr>
              <w:pStyle w:val="ListBullet2"/>
            </w:pPr>
            <w:r w:rsidRPr="001E5743">
              <w:t>root cause analysis (RCA) or failure mode and effects analysis (FMEA) or design review based on failure mode (DRBFM), and Pareto analysis</w:t>
            </w:r>
          </w:p>
          <w:p w:rsidR="00000000" w:rsidRPr="001E5743" w:rsidP="001E5743">
            <w:pPr>
              <w:pStyle w:val="ListBullet"/>
            </w:pPr>
            <w:r w:rsidRPr="001E5743">
              <w:t>principles of fluid power designs</w:t>
            </w:r>
          </w:p>
          <w:p w:rsidR="00000000" w:rsidRPr="001E5743" w:rsidP="001E5743">
            <w:pPr>
              <w:pStyle w:val="ListBullet"/>
            </w:pPr>
            <w:r w:rsidRPr="001E5743">
              <w:t xml:space="preserve">dimensions, capacity and position of system components </w:t>
            </w:r>
          </w:p>
          <w:p w:rsidR="00000000" w:rsidRPr="001E5743" w:rsidP="001E5743">
            <w:pPr>
              <w:pStyle w:val="ListBullet"/>
            </w:pPr>
            <w:r w:rsidRPr="001E5743">
              <w:t>system responsiveness</w:t>
            </w:r>
          </w:p>
          <w:p w:rsidR="00000000" w:rsidRPr="001E5743" w:rsidP="001E5743">
            <w:pPr>
              <w:pStyle w:val="ListBullet"/>
            </w:pPr>
            <w:r w:rsidRPr="001E5743">
              <w:t>elect</w:t>
            </w:r>
            <w:r w:rsidRPr="001E5743">
              <w:t>rical and mechanical behaviours of fluid power systems</w:t>
            </w:r>
          </w:p>
          <w:p w:rsidR="00000000" w:rsidRPr="001E5743" w:rsidP="001E5743">
            <w:pPr>
              <w:pStyle w:val="ListBullet"/>
            </w:pPr>
            <w:r w:rsidRPr="001E5743">
              <w:t>hydraulics and designing with hydraulics components</w:t>
            </w:r>
          </w:p>
          <w:p w:rsidR="00000000" w:rsidRPr="001E5743" w:rsidP="001E5743">
            <w:pPr>
              <w:pStyle w:val="ListBullet"/>
            </w:pPr>
            <w:r w:rsidRPr="001E5743">
              <w:t>applications and characteristics of servo valves</w:t>
            </w:r>
          </w:p>
          <w:p w:rsidR="00000000" w:rsidRPr="001E5743" w:rsidP="001E5743">
            <w:pPr>
              <w:pStyle w:val="ListBullet"/>
            </w:pPr>
            <w:r w:rsidRPr="001E5743">
              <w:t>electronic controllers for proportional and servo valves</w:t>
            </w:r>
          </w:p>
          <w:p w:rsidR="00000000" w:rsidRPr="001E5743" w:rsidP="001E5743">
            <w:pPr>
              <w:pStyle w:val="ListBullet"/>
            </w:pPr>
            <w:r w:rsidRPr="001E5743">
              <w:t>sensor/transducer/amplifiers</w:t>
            </w:r>
          </w:p>
          <w:p w:rsidR="00000000" w:rsidRPr="001E5743" w:rsidP="001E5743">
            <w:pPr>
              <w:pStyle w:val="ListBullet"/>
            </w:pPr>
            <w:r w:rsidRPr="001E5743">
              <w:t>pneumatics and</w:t>
            </w:r>
            <w:r w:rsidRPr="001E5743">
              <w:t xml:space="preserve"> designing with pneumatic components</w:t>
            </w:r>
          </w:p>
          <w:p w:rsidR="00000000" w:rsidRPr="001E5743" w:rsidP="001E5743">
            <w:pPr>
              <w:pStyle w:val="ListBullet"/>
            </w:pPr>
            <w:r w:rsidRPr="001E5743">
              <w:t xml:space="preserve">multiple actuator control circuits </w:t>
            </w:r>
          </w:p>
          <w:p w:rsidR="00000000" w:rsidRPr="001E5743" w:rsidP="001E5743">
            <w:pPr>
              <w:pStyle w:val="ListBullet"/>
            </w:pPr>
            <w:r w:rsidRPr="001E5743">
              <w:t>compressed air system design</w:t>
            </w:r>
          </w:p>
          <w:p w:rsidR="00000000" w:rsidRPr="001E5743" w:rsidP="001E5743">
            <w:pPr>
              <w:pStyle w:val="ListBullet"/>
            </w:pPr>
            <w:r w:rsidRPr="001E5743">
              <w:t>OHS and regulatory requirements, codes of practice, standards, risk minimisation and registration requirements</w:t>
            </w:r>
          </w:p>
        </w:tc>
      </w:tr>
    </w:tbl>
    <w:p w:rsidR="00000000" w:rsidRPr="001E5743" w:rsidP="001E5743">
      <w:pPr>
        <w:pStyle w:val="BodyText"/>
      </w:pPr>
    </w:p>
    <w:p w:rsidR="00000000" w:rsidRPr="001E5743" w:rsidP="001E5743">
      <w:pPr>
        <w:pStyle w:val="AllowPageBreak"/>
      </w:pPr>
    </w:p>
    <w:p w:rsidR="00000000" w:rsidRPr="001E5743" w:rsidP="001E5743">
      <w:pPr>
        <w:pStyle w:val="Heading1"/>
      </w:pPr>
      <w:bookmarkStart w:id="10" w:name="O_396928"/>
      <w:bookmarkEnd w:id="10"/>
      <w:r w:rsidRPr="001E5743">
        <w:t>Evidence Guide</w:t>
      </w:r>
    </w:p>
    <w:tbl>
      <w:tblPr>
        <w:tblW w:w="9608" w:type="dxa"/>
        <w:tblLayout w:type="fixed"/>
        <w:tblCellMar>
          <w:left w:w="62" w:type="dxa"/>
          <w:right w:w="62" w:type="dxa"/>
        </w:tblCellMar>
        <w:tblLook w:val="0000"/>
      </w:tblPr>
      <w:tblGrid>
        <w:gridCol w:w="2867"/>
        <w:gridCol w:w="6741"/>
      </w:tblGrid>
      <w:tr w:rsidTr="001E5743">
        <w:tblPrEx>
          <w:tblW w:w="9608" w:type="dxa"/>
          <w:tblLayout w:type="fixed"/>
          <w:tblCellMar>
            <w:left w:w="62" w:type="dxa"/>
            <w:right w:w="62" w:type="dxa"/>
          </w:tblCellMar>
          <w:tblLook w:val="0000"/>
        </w:tblPrEx>
        <w:trPr>
          <w:trHeight w:val="822"/>
        </w:trPr>
        <w:tc>
          <w:tcPr>
            <w:tcW w:w="9608" w:type="dxa"/>
            <w:gridSpan w:val="2"/>
            <w:tcBorders>
              <w:top w:val="nil"/>
              <w:left w:val="nil"/>
              <w:bottom w:val="single" w:sz="4" w:space="0" w:color="auto"/>
              <w:right w:val="nil"/>
            </w:tcBorders>
            <w:tcMar>
              <w:top w:w="0" w:type="dxa"/>
              <w:left w:w="62" w:type="dxa"/>
              <w:bottom w:w="0" w:type="dxa"/>
              <w:right w:w="62" w:type="dxa"/>
            </w:tcMar>
          </w:tcPr>
          <w:p w:rsidR="00000000" w:rsidP="001E5743">
            <w:pPr>
              <w:pStyle w:val="BodyText"/>
              <w:rPr>
                <w:lang w:val="en-NZ"/>
              </w:rPr>
            </w:pPr>
            <w:r w:rsidRPr="001E5743">
              <w:t>The evidence guide provides advice on assessment and must be read in conjunction with the performance criteria, required skills and knowledge, range statement and the Assessment Guidelines for the Training Package.</w:t>
            </w:r>
          </w:p>
        </w:tc>
      </w:tr>
      <w:tr w:rsidTr="001E5743">
        <w:tblPrEx>
          <w:tblW w:w="9608" w:type="dxa"/>
          <w:tblLayout w:type="fixed"/>
          <w:tblCellMar>
            <w:left w:w="62" w:type="dxa"/>
            <w:right w:w="62" w:type="dxa"/>
          </w:tblCellMar>
          <w:tblLook w:val="0000"/>
        </w:tblPrEx>
        <w:tc>
          <w:tcPr>
            <w:tcW w:w="28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5743">
            <w:pPr>
              <w:pStyle w:val="BodyText"/>
              <w:rPr>
                <w:lang w:val="en-NZ"/>
              </w:rPr>
            </w:pPr>
            <w:r w:rsidRPr="001E5743">
              <w:t>Critical aspects for assessment and evidence required to demonstrate competency in this unit</w:t>
            </w:r>
          </w:p>
        </w:tc>
        <w:tc>
          <w:tcPr>
            <w:tcW w:w="67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E5743" w:rsidP="001E5743">
            <w:pPr>
              <w:pStyle w:val="BodyText"/>
            </w:pPr>
            <w:r w:rsidRPr="001E5743">
              <w:t>Assessors must be satisfied that the candidate can competently and consistently:</w:t>
            </w:r>
          </w:p>
          <w:p w:rsidR="00000000" w:rsidRPr="001E5743" w:rsidP="001E5743">
            <w:pPr>
              <w:pStyle w:val="ListBullet"/>
            </w:pPr>
            <w:r w:rsidRPr="001E5743">
              <w:t>interpret features of plant and equipment and parameters to the brief or contract</w:t>
            </w:r>
          </w:p>
          <w:p w:rsidR="00000000" w:rsidRPr="001E5743" w:rsidP="001E5743">
            <w:pPr>
              <w:pStyle w:val="ListBullet"/>
            </w:pPr>
            <w:r w:rsidRPr="001E5743">
              <w:t>advise client based on discipline knowledge and OHS and regulatory standards</w:t>
            </w:r>
          </w:p>
          <w:p w:rsidR="00000000" w:rsidRPr="001E5743" w:rsidP="001E5743">
            <w:pPr>
              <w:pStyle w:val="ListBullet"/>
            </w:pPr>
            <w:r w:rsidRPr="001E5743">
              <w:t>research sustainability implications and current industrial design techniques</w:t>
            </w:r>
          </w:p>
          <w:p w:rsidR="00000000" w:rsidRPr="001E5743" w:rsidP="001E5743">
            <w:pPr>
              <w:pStyle w:val="ListBullet"/>
            </w:pPr>
            <w:r w:rsidRPr="001E5743">
              <w:t>determine OHS, regulatory and risk management requirements</w:t>
            </w:r>
          </w:p>
          <w:p w:rsidR="00000000" w:rsidRPr="001E5743" w:rsidP="001E5743">
            <w:pPr>
              <w:pStyle w:val="ListBullet"/>
            </w:pPr>
            <w:r w:rsidRPr="001E5743">
              <w:t>investigate options for fluid power desig</w:t>
            </w:r>
            <w:r w:rsidRPr="001E5743">
              <w:t>n</w:t>
            </w:r>
          </w:p>
          <w:p w:rsidR="00000000" w:rsidRPr="001E5743" w:rsidP="001E5743">
            <w:pPr>
              <w:pStyle w:val="ListBullet"/>
            </w:pPr>
            <w:r w:rsidRPr="001E5743">
              <w:t>measure, model, calculate, analyse and use software and validation techniques</w:t>
            </w:r>
          </w:p>
          <w:p w:rsidR="00000000" w:rsidRPr="001E5743" w:rsidP="001E5743">
            <w:pPr>
              <w:pStyle w:val="ListBullet"/>
            </w:pPr>
            <w:r w:rsidRPr="001E5743">
              <w:t>generate and evaluate a range of solutions for feasibility against design criteria</w:t>
            </w:r>
          </w:p>
          <w:p w:rsidR="00000000" w:rsidRPr="001E5743" w:rsidP="001E5743">
            <w:pPr>
              <w:pStyle w:val="ListBullet"/>
            </w:pPr>
            <w:r w:rsidRPr="001E5743">
              <w:t xml:space="preserve">design optimum fluid power system solution </w:t>
            </w:r>
          </w:p>
          <w:p w:rsidR="00000000" w:rsidRPr="001E5743" w:rsidP="001E5743">
            <w:pPr>
              <w:pStyle w:val="ListBullet"/>
            </w:pPr>
            <w:r w:rsidRPr="001E5743">
              <w:t>communicate, negotiate and review with stakeholde</w:t>
            </w:r>
            <w:r w:rsidRPr="001E5743">
              <w:t>rs and client throughout process to obtain agreement on proposal and sign-off on design</w:t>
            </w:r>
          </w:p>
          <w:p w:rsidR="00000000" w:rsidP="001E5743">
            <w:pPr>
              <w:pStyle w:val="ListBullet"/>
              <w:rPr>
                <w:lang w:val="en-NZ"/>
              </w:rPr>
            </w:pPr>
            <w:r w:rsidRPr="001E5743">
              <w:t>document design with drawings, circuit diagrams, specifications and instructions.</w:t>
            </w:r>
          </w:p>
        </w:tc>
      </w:tr>
      <w:tr w:rsidTr="001E5743">
        <w:tblPrEx>
          <w:tblW w:w="9608" w:type="dxa"/>
          <w:tblLayout w:type="fixed"/>
          <w:tblCellMar>
            <w:left w:w="62" w:type="dxa"/>
            <w:right w:w="62" w:type="dxa"/>
          </w:tblCellMar>
          <w:tblLook w:val="0000"/>
        </w:tblPrEx>
        <w:tc>
          <w:tcPr>
            <w:tcW w:w="28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5743">
            <w:pPr>
              <w:pStyle w:val="BodyText"/>
              <w:rPr>
                <w:lang w:val="en-NZ"/>
              </w:rPr>
            </w:pPr>
            <w:r w:rsidRPr="001E5743">
              <w:t>Context of and specific resources for assessment</w:t>
            </w:r>
          </w:p>
        </w:tc>
        <w:tc>
          <w:tcPr>
            <w:tcW w:w="67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E5743" w:rsidP="001E5743">
            <w:pPr>
              <w:pStyle w:val="ListBullet"/>
            </w:pPr>
            <w:r w:rsidRPr="001E5743">
              <w:t>This unit may be assessed on the job, off the job or a combination of both on and off the job. Where assessment occurs off the job, that is, the candidate is not in productive work, then a simulated working environment must be used where the range of condi</w:t>
            </w:r>
            <w:r w:rsidRPr="001E5743">
              <w:t xml:space="preserve">tions reflects realistic workplace situations. The competencies covered by this unit would be demonstrated by an individual working alone or as part of a team. </w:t>
            </w:r>
          </w:p>
          <w:p w:rsidR="00000000" w:rsidRPr="001E5743" w:rsidP="001E5743">
            <w:pPr>
              <w:pStyle w:val="ListBullet"/>
            </w:pPr>
            <w:r w:rsidRPr="001E5743">
              <w:t>Where applicable, reasonable adjustment must be made to work environments and training situatio</w:t>
            </w:r>
            <w:r w:rsidRPr="001E5743">
              <w:t>ns to accommodate ethnicity, age, gender, demographics and disability.</w:t>
            </w:r>
          </w:p>
          <w:p w:rsidR="00000000" w:rsidP="001E5743">
            <w:pPr>
              <w:pStyle w:val="ListBullet"/>
              <w:rPr>
                <w:lang w:val="en-NZ"/>
              </w:rPr>
            </w:pPr>
            <w:r w:rsidRPr="001E5743">
              <w:t>Access must be provided to appropriate learning and/or assessment support when required. Where applicable, physical resources should include equipment modified for people with disabilit</w:t>
            </w:r>
            <w:r w:rsidRPr="001E5743">
              <w:t>ies.</w:t>
            </w:r>
          </w:p>
        </w:tc>
      </w:tr>
      <w:tr w:rsidTr="001E5743">
        <w:tblPrEx>
          <w:tblW w:w="9608" w:type="dxa"/>
          <w:tblLayout w:type="fixed"/>
          <w:tblCellMar>
            <w:left w:w="62" w:type="dxa"/>
            <w:right w:w="62" w:type="dxa"/>
          </w:tblCellMar>
          <w:tblLook w:val="0000"/>
        </w:tblPrEx>
        <w:tc>
          <w:tcPr>
            <w:tcW w:w="28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5743">
            <w:pPr>
              <w:pStyle w:val="BodyText"/>
              <w:rPr>
                <w:lang w:val="en-NZ"/>
              </w:rPr>
            </w:pPr>
            <w:r w:rsidRPr="001E5743">
              <w:t>Method of assessment</w:t>
            </w:r>
          </w:p>
        </w:tc>
        <w:tc>
          <w:tcPr>
            <w:tcW w:w="67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E5743" w:rsidP="001E5743">
            <w:pPr>
              <w:pStyle w:val="ListBullet"/>
            </w:pPr>
            <w:r w:rsidRPr="001E5743">
              <w:t>Assessment must satisfy the endorsed Assessment Guidelines of the MEM05 Metal and Engineering Training Package.</w:t>
            </w:r>
          </w:p>
          <w:p w:rsidR="00000000" w:rsidRPr="001E5743" w:rsidP="001E5743">
            <w:pPr>
              <w:pStyle w:val="ListBullet"/>
            </w:pPr>
            <w:r w:rsidRPr="001E5743">
              <w:t>Assessment methods must confirm consistency and accuracy of performance (over time and in a range of workplace relev</w:t>
            </w:r>
            <w:r w:rsidRPr="001E5743">
              <w:t>ant contexts) together with application of underpinning knowledge.</w:t>
            </w:r>
          </w:p>
          <w:p w:rsidR="00000000" w:rsidRPr="001E5743" w:rsidP="001E5743">
            <w:pPr>
              <w:pStyle w:val="ListBullet"/>
            </w:pPr>
            <w:r w:rsidRPr="001E5743">
              <w:t>Assessment methods must be by direct observation of tasks and include questioning on underpinning knowledge to ensure its correct interpretation and application.</w:t>
            </w:r>
          </w:p>
          <w:p w:rsidR="00000000" w:rsidRPr="001E5743" w:rsidP="001E5743">
            <w:pPr>
              <w:pStyle w:val="ListBullet"/>
            </w:pPr>
            <w:r w:rsidRPr="001E5743">
              <w:t>Assessment may be applied u</w:t>
            </w:r>
            <w:r w:rsidRPr="001E5743">
              <w:t>nder project-related conditions (real or simulated) and require evidence of process.</w:t>
            </w:r>
          </w:p>
          <w:p w:rsidR="00000000" w:rsidRPr="001E5743" w:rsidP="001E5743">
            <w:pPr>
              <w:pStyle w:val="ListBullet"/>
            </w:pPr>
            <w:r w:rsidRPr="001E5743">
              <w:t>Assessment must confirm a reasonable inference that competency is able not only to be satisfied under the particular circumstance, but is able to be transferred to other c</w:t>
            </w:r>
            <w:r w:rsidRPr="001E5743">
              <w:t>ircumstances.</w:t>
            </w:r>
          </w:p>
          <w:p w:rsidR="00000000" w:rsidP="001E5743">
            <w:pPr>
              <w:pStyle w:val="ListBullet"/>
              <w:rPr>
                <w:lang w:val="en-NZ"/>
              </w:rPr>
            </w:pPr>
            <w:r w:rsidRPr="001E5743">
              <w:t>Assessment may be in conjunction with assessment of other units of competency where required.</w:t>
            </w:r>
          </w:p>
        </w:tc>
      </w:tr>
      <w:tr w:rsidTr="001E5743">
        <w:tblPrEx>
          <w:tblW w:w="9608" w:type="dxa"/>
          <w:tblLayout w:type="fixed"/>
          <w:tblCellMar>
            <w:left w:w="62" w:type="dxa"/>
            <w:right w:w="62" w:type="dxa"/>
          </w:tblCellMar>
          <w:tblLook w:val="0000"/>
        </w:tblPrEx>
        <w:tc>
          <w:tcPr>
            <w:tcW w:w="28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5743">
            <w:pPr>
              <w:pStyle w:val="BodyText"/>
              <w:rPr>
                <w:lang w:val="en-NZ"/>
              </w:rPr>
            </w:pPr>
            <w:r w:rsidRPr="001E5743">
              <w:t>Guidance information for assessment</w:t>
            </w:r>
          </w:p>
        </w:tc>
        <w:tc>
          <w:tcPr>
            <w:tcW w:w="67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E5743" w:rsidP="001E5743">
            <w:pPr>
              <w:pStyle w:val="BodyText"/>
            </w:pPr>
            <w:r w:rsidRPr="001E5743">
              <w:t>Assessment processes and techniques must be culturally appropriate and appropriate to the language and literacy</w:t>
            </w:r>
            <w:r w:rsidRPr="001E5743">
              <w:t xml:space="preserve"> capacity of the candidate and the work being performed.</w:t>
            </w:r>
          </w:p>
        </w:tc>
      </w:tr>
    </w:tbl>
    <w:p w:rsidR="00647766" w:rsidP="001E5743">
      <w:pPr>
        <w:pStyle w:val="BodyText"/>
      </w:pPr>
    </w:p>
    <w:p w:rsidR="00647766" w:rsidP="001E5743">
      <w:pPr>
        <w:pStyle w:val="BodyText"/>
      </w:pPr>
    </w:p>
    <w:p w:rsidR="00000000" w:rsidRPr="001E5743" w:rsidP="001E5743">
      <w:pPr>
        <w:pStyle w:val="Heading1"/>
      </w:pPr>
      <w:bookmarkStart w:id="11" w:name="O_396929"/>
      <w:bookmarkEnd w:id="11"/>
      <w:r w:rsidRPr="001E5743">
        <w:t>Range Statement</w:t>
      </w:r>
    </w:p>
    <w:tbl>
      <w:tblPr>
        <w:tblW w:w="9608" w:type="dxa"/>
        <w:tblLayout w:type="fixed"/>
        <w:tblCellMar>
          <w:left w:w="62" w:type="dxa"/>
          <w:right w:w="62" w:type="dxa"/>
        </w:tblCellMar>
        <w:tblLook w:val="0000"/>
      </w:tblPr>
      <w:tblGrid>
        <w:gridCol w:w="3763"/>
        <w:gridCol w:w="5845"/>
      </w:tblGrid>
      <w:tr w:rsidTr="001E5743">
        <w:tblPrEx>
          <w:tblW w:w="9608" w:type="dxa"/>
          <w:tblLayout w:type="fixed"/>
          <w:tblCellMar>
            <w:left w:w="62" w:type="dxa"/>
            <w:right w:w="62" w:type="dxa"/>
          </w:tblCellMar>
          <w:tblLook w:val="0000"/>
        </w:tblPrEx>
        <w:tc>
          <w:tcPr>
            <w:tcW w:w="9608"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1E5743">
            <w:pPr>
              <w:pStyle w:val="BodyText"/>
              <w:rPr>
                <w:lang w:val="en-NZ"/>
              </w:rPr>
            </w:pPr>
            <w:r w:rsidRPr="001E5743">
              <w:t xml:space="preserve">The range statement relates to the unit of competency as a whole. It allows for different work environments and situations that may affect </w:t>
            </w:r>
            <w:r w:rsidRPr="001E5743">
              <w:t>performance. Bold italicised wording, if used in the performance criteria, is detailed below. Essential operating conditions that may be present with training and assessment (depending on the work situation, needs of the candidate, accessibility of the ite</w:t>
            </w:r>
            <w:r w:rsidRPr="001E5743">
              <w:t>m, and local industry and regional contexts) may also be included.</w:t>
            </w:r>
          </w:p>
        </w:tc>
      </w:tr>
      <w:tr w:rsidTr="001E5743">
        <w:tblPrEx>
          <w:tblW w:w="9608" w:type="dxa"/>
          <w:tblLayout w:type="fixed"/>
          <w:tblCellMar>
            <w:left w:w="62" w:type="dxa"/>
            <w:right w:w="62" w:type="dxa"/>
          </w:tblCellMar>
          <w:tblLook w:val="0000"/>
        </w:tblPrEx>
        <w:tc>
          <w:tcPr>
            <w:tcW w:w="37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5743">
            <w:pPr>
              <w:pStyle w:val="BodyText"/>
              <w:rPr>
                <w:lang w:val="en-NZ"/>
              </w:rPr>
            </w:pPr>
            <w:r w:rsidRPr="001E5743">
              <w:rPr>
                <w:rStyle w:val="SpecialBold"/>
              </w:rPr>
              <w:t>Parameters to the brief or contract</w:t>
            </w:r>
          </w:p>
        </w:tc>
        <w:tc>
          <w:tcPr>
            <w:tcW w:w="58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E5743" w:rsidP="001E5743">
            <w:pPr>
              <w:pStyle w:val="BodyText"/>
            </w:pPr>
            <w:r w:rsidRPr="001E5743">
              <w:t>The design brief may include the design of new equipment or fault analysis, rectification or modification to an existing design. Parameters to the desi</w:t>
            </w:r>
            <w:r w:rsidRPr="001E5743">
              <w:t>gn brief may include:</w:t>
            </w:r>
          </w:p>
          <w:p w:rsidR="00000000" w:rsidRPr="001E5743" w:rsidP="001E5743">
            <w:pPr>
              <w:pStyle w:val="ListBullet"/>
            </w:pPr>
            <w:r w:rsidRPr="001E5743">
              <w:t>design cost and system capital cost</w:t>
            </w:r>
          </w:p>
          <w:p w:rsidR="00000000" w:rsidRPr="001E5743" w:rsidP="001E5743">
            <w:pPr>
              <w:pStyle w:val="ListBullet"/>
            </w:pPr>
            <w:r w:rsidRPr="001E5743">
              <w:t>maintainability, product life cycle cost</w:t>
            </w:r>
          </w:p>
          <w:p w:rsidR="00000000" w:rsidRPr="001E5743" w:rsidP="001E5743">
            <w:pPr>
              <w:pStyle w:val="ListBullet"/>
            </w:pPr>
            <w:r w:rsidRPr="001E5743">
              <w:t>durability, function, performance and aesthetics</w:t>
            </w:r>
          </w:p>
          <w:p w:rsidR="00000000" w:rsidRPr="001E5743" w:rsidP="001E5743">
            <w:pPr>
              <w:pStyle w:val="ListBullet"/>
            </w:pPr>
            <w:r w:rsidRPr="001E5743">
              <w:t>energy and environmental sustainability and social issues</w:t>
            </w:r>
          </w:p>
          <w:p w:rsidR="00000000" w:rsidRPr="001E5743" w:rsidP="001E5743">
            <w:pPr>
              <w:pStyle w:val="ListBullet"/>
            </w:pPr>
            <w:r w:rsidRPr="001E5743">
              <w:t>equipment availability and worksite restrictions</w:t>
            </w:r>
          </w:p>
          <w:p w:rsidR="00000000" w:rsidP="001E5743">
            <w:pPr>
              <w:pStyle w:val="ListBullet"/>
              <w:rPr>
                <w:lang w:val="en-NZ"/>
              </w:rPr>
            </w:pPr>
            <w:r w:rsidRPr="001E5743">
              <w:t xml:space="preserve">other special features and limits in the design brief </w:t>
            </w:r>
          </w:p>
        </w:tc>
      </w:tr>
      <w:tr w:rsidTr="001E5743">
        <w:tblPrEx>
          <w:tblW w:w="9608" w:type="dxa"/>
          <w:tblLayout w:type="fixed"/>
          <w:tblCellMar>
            <w:left w:w="62" w:type="dxa"/>
            <w:right w:w="62" w:type="dxa"/>
          </w:tblCellMar>
          <w:tblLook w:val="0000"/>
        </w:tblPrEx>
        <w:tc>
          <w:tcPr>
            <w:tcW w:w="37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E5743" w:rsidP="001E5743">
            <w:pPr>
              <w:pStyle w:val="BodyText"/>
            </w:pPr>
            <w:r w:rsidRPr="001E5743">
              <w:rPr>
                <w:rStyle w:val="SpecialBold"/>
              </w:rPr>
              <w:t>Sustainability</w:t>
            </w:r>
          </w:p>
          <w:p w:rsidR="00000000">
            <w:pPr>
              <w:pStyle w:val="BodyText"/>
              <w:keepNext w:val="0"/>
              <w:keepLines w:val="0"/>
              <w:contextualSpacing w:val="0"/>
              <w:rPr>
                <w:rFonts w:ascii="Tahoma" w:hAnsi="Tahoma"/>
                <w:color w:val="000000"/>
                <w:sz w:val="20"/>
                <w:lang w:val="en-NZ"/>
              </w:rPr>
            </w:pPr>
          </w:p>
        </w:tc>
        <w:tc>
          <w:tcPr>
            <w:tcW w:w="58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E5743" w:rsidP="001E5743">
            <w:pPr>
              <w:pStyle w:val="BodyText"/>
            </w:pPr>
            <w:r w:rsidRPr="001E5743">
              <w:t>Sustainability may include:</w:t>
            </w:r>
          </w:p>
          <w:p w:rsidR="00000000" w:rsidRPr="001E5743" w:rsidP="001E5743">
            <w:pPr>
              <w:pStyle w:val="ListBullet"/>
            </w:pPr>
            <w:r w:rsidRPr="001E5743">
              <w:t>resources and energy</w:t>
            </w:r>
          </w:p>
          <w:p w:rsidR="00000000" w:rsidRPr="001E5743" w:rsidP="001E5743">
            <w:pPr>
              <w:pStyle w:val="ListBullet"/>
            </w:pPr>
            <w:r w:rsidRPr="001E5743">
              <w:t>social and economic</w:t>
            </w:r>
          </w:p>
          <w:p w:rsidR="00000000" w:rsidRPr="001E5743" w:rsidP="001E5743">
            <w:pPr>
              <w:pStyle w:val="ListBullet"/>
            </w:pPr>
            <w:r w:rsidRPr="001E5743">
              <w:t>life cycle design of product raw material, solids and hazardous waste, and production by-products</w:t>
            </w:r>
          </w:p>
          <w:p w:rsidR="00000000" w:rsidRPr="001E5743" w:rsidP="001E5743">
            <w:pPr>
              <w:pStyle w:val="ListBullet"/>
            </w:pPr>
            <w:r w:rsidRPr="001E5743">
              <w:t>contamination of</w:t>
            </w:r>
            <w:r w:rsidRPr="001E5743">
              <w:t xml:space="preserve"> land, air and stormwater pollutants, and discharge to sewerage</w:t>
            </w:r>
          </w:p>
          <w:p w:rsidR="00000000" w:rsidP="001E5743">
            <w:pPr>
              <w:pStyle w:val="ListBullet"/>
              <w:rPr>
                <w:lang w:val="en-NZ"/>
              </w:rPr>
            </w:pPr>
            <w:r w:rsidRPr="001E5743">
              <w:t>climate change</w:t>
            </w:r>
          </w:p>
        </w:tc>
      </w:tr>
      <w:tr w:rsidTr="001E5743">
        <w:tblPrEx>
          <w:tblW w:w="9608" w:type="dxa"/>
          <w:tblLayout w:type="fixed"/>
          <w:tblCellMar>
            <w:left w:w="62" w:type="dxa"/>
            <w:right w:w="62" w:type="dxa"/>
          </w:tblCellMar>
          <w:tblLook w:val="0000"/>
        </w:tblPrEx>
        <w:tc>
          <w:tcPr>
            <w:tcW w:w="37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5743">
            <w:pPr>
              <w:pStyle w:val="BodyText"/>
              <w:rPr>
                <w:lang w:val="en-NZ"/>
              </w:rPr>
            </w:pPr>
            <w:r w:rsidRPr="001E5743">
              <w:rPr>
                <w:rStyle w:val="SpecialBold"/>
              </w:rPr>
              <w:t xml:space="preserve">Appropriate software </w:t>
            </w:r>
          </w:p>
        </w:tc>
        <w:tc>
          <w:tcPr>
            <w:tcW w:w="58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E5743" w:rsidP="001E5743">
            <w:pPr>
              <w:pStyle w:val="BodyText"/>
            </w:pPr>
            <w:r w:rsidRPr="001E5743">
              <w:t>Appropriate software may include software for:</w:t>
            </w:r>
          </w:p>
          <w:p w:rsidR="00000000" w:rsidRPr="001E5743" w:rsidP="001E5743">
            <w:pPr>
              <w:pStyle w:val="ListBullet"/>
            </w:pPr>
            <w:r w:rsidRPr="001E5743">
              <w:t>computer-aided design (CAD)</w:t>
            </w:r>
          </w:p>
          <w:p w:rsidR="00000000" w:rsidRPr="001E5743" w:rsidP="001E5743">
            <w:pPr>
              <w:pStyle w:val="ListBullet"/>
            </w:pPr>
            <w:r w:rsidRPr="001E5743">
              <w:t>circuit design and analysis</w:t>
            </w:r>
          </w:p>
          <w:p w:rsidR="00000000" w:rsidRPr="001E5743" w:rsidP="001E5743">
            <w:pPr>
              <w:pStyle w:val="ListBullet"/>
            </w:pPr>
            <w:r w:rsidRPr="001E5743">
              <w:t>animation</w:t>
            </w:r>
          </w:p>
          <w:p w:rsidR="00000000" w:rsidRPr="001E5743" w:rsidP="001E5743">
            <w:pPr>
              <w:pStyle w:val="ListBullet"/>
            </w:pPr>
            <w:r w:rsidRPr="001E5743">
              <w:t>simulation</w:t>
            </w:r>
          </w:p>
          <w:p w:rsidR="00000000" w:rsidRPr="001E5743" w:rsidP="001E5743">
            <w:pPr>
              <w:pStyle w:val="ListBullet"/>
            </w:pPr>
            <w:r w:rsidRPr="001E5743">
              <w:t>modelling</w:t>
            </w:r>
          </w:p>
          <w:p w:rsidR="00000000" w:rsidP="001E5743">
            <w:pPr>
              <w:pStyle w:val="ListBullet"/>
              <w:rPr>
                <w:lang w:val="en-NZ"/>
              </w:rPr>
            </w:pPr>
            <w:r w:rsidRPr="001E5743">
              <w:t>performance analysis</w:t>
            </w:r>
          </w:p>
        </w:tc>
      </w:tr>
      <w:tr w:rsidTr="001E5743">
        <w:tblPrEx>
          <w:tblW w:w="9608" w:type="dxa"/>
          <w:tblLayout w:type="fixed"/>
          <w:tblCellMar>
            <w:left w:w="62" w:type="dxa"/>
            <w:right w:w="62" w:type="dxa"/>
          </w:tblCellMar>
          <w:tblLook w:val="0000"/>
        </w:tblPrEx>
        <w:trPr>
          <w:trHeight w:val="551"/>
        </w:trPr>
        <w:tc>
          <w:tcPr>
            <w:tcW w:w="37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5743">
            <w:pPr>
              <w:pStyle w:val="BodyText"/>
              <w:rPr>
                <w:lang w:val="en-NZ"/>
              </w:rPr>
            </w:pPr>
            <w:r w:rsidRPr="001E5743">
              <w:rPr>
                <w:rStyle w:val="SpecialBold"/>
              </w:rPr>
              <w:t>Validation techniques</w:t>
            </w:r>
          </w:p>
        </w:tc>
        <w:tc>
          <w:tcPr>
            <w:tcW w:w="58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E5743" w:rsidP="001E5743">
            <w:pPr>
              <w:pStyle w:val="BodyText"/>
            </w:pPr>
            <w:r w:rsidRPr="001E5743">
              <w:t>Validation techniques include:</w:t>
            </w:r>
          </w:p>
          <w:p w:rsidR="00000000" w:rsidRPr="001E5743" w:rsidP="001E5743">
            <w:pPr>
              <w:pStyle w:val="ListBullet"/>
            </w:pPr>
            <w:r w:rsidRPr="001E5743">
              <w:t>comparison of traditional solutions for simple design problems with software solutions to the same design problems</w:t>
            </w:r>
          </w:p>
          <w:p w:rsidR="00000000" w:rsidRPr="001E5743" w:rsidP="001E5743">
            <w:pPr>
              <w:pStyle w:val="ListBullet"/>
            </w:pPr>
            <w:r w:rsidRPr="001E5743">
              <w:t>review of previously implemented designs which were completed usi</w:t>
            </w:r>
            <w:r w:rsidRPr="001E5743">
              <w:t>ng the software</w:t>
            </w:r>
          </w:p>
          <w:p w:rsidR="00000000" w:rsidP="001E5743">
            <w:pPr>
              <w:pStyle w:val="ListBullet"/>
              <w:rPr>
                <w:lang w:val="en-NZ"/>
              </w:rPr>
            </w:pPr>
            <w:r w:rsidRPr="001E5743">
              <w:t>use of FMEA</w:t>
            </w:r>
          </w:p>
        </w:tc>
      </w:tr>
      <w:tr w:rsidTr="001E5743">
        <w:tblPrEx>
          <w:tblW w:w="9608" w:type="dxa"/>
          <w:tblLayout w:type="fixed"/>
          <w:tblCellMar>
            <w:left w:w="62" w:type="dxa"/>
            <w:right w:w="62" w:type="dxa"/>
          </w:tblCellMar>
          <w:tblLook w:val="0000"/>
        </w:tblPrEx>
        <w:tc>
          <w:tcPr>
            <w:tcW w:w="37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5743">
            <w:pPr>
              <w:pStyle w:val="BodyText"/>
              <w:rPr>
                <w:lang w:val="en-NZ"/>
              </w:rPr>
            </w:pPr>
            <w:r w:rsidRPr="001E5743">
              <w:rPr>
                <w:rStyle w:val="SpecialBold"/>
              </w:rPr>
              <w:t>Design criteria</w:t>
            </w:r>
          </w:p>
        </w:tc>
        <w:tc>
          <w:tcPr>
            <w:tcW w:w="58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E5743" w:rsidP="001E5743">
            <w:pPr>
              <w:pStyle w:val="BodyText"/>
            </w:pPr>
            <w:r w:rsidRPr="001E5743">
              <w:t>Design criteria may include:</w:t>
            </w:r>
          </w:p>
          <w:p w:rsidR="00000000" w:rsidRPr="001E5743" w:rsidP="001E5743">
            <w:pPr>
              <w:pStyle w:val="ListBullet"/>
            </w:pPr>
            <w:r w:rsidRPr="001E5743">
              <w:t>essential criteria, such as OHS and environmental criteria, which are pass/fail criteria for design option selection</w:t>
            </w:r>
          </w:p>
          <w:p w:rsidR="00000000" w:rsidP="001E5743">
            <w:pPr>
              <w:pStyle w:val="ListBullet"/>
              <w:rPr>
                <w:lang w:val="en-NZ"/>
              </w:rPr>
            </w:pPr>
            <w:r w:rsidRPr="001E5743">
              <w:t>desirable criteria, such as simplicity of design, which may be rated or scored to aid selection of design amongst options</w:t>
            </w:r>
          </w:p>
        </w:tc>
      </w:tr>
      <w:tr w:rsidTr="001E5743">
        <w:tblPrEx>
          <w:tblW w:w="9608" w:type="dxa"/>
          <w:tblLayout w:type="fixed"/>
          <w:tblCellMar>
            <w:left w:w="62" w:type="dxa"/>
            <w:right w:w="62" w:type="dxa"/>
          </w:tblCellMar>
          <w:tblLook w:val="0000"/>
        </w:tblPrEx>
        <w:tc>
          <w:tcPr>
            <w:tcW w:w="37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5743">
            <w:pPr>
              <w:pStyle w:val="BodyText"/>
              <w:rPr>
                <w:lang w:val="en-NZ"/>
              </w:rPr>
            </w:pPr>
            <w:r w:rsidRPr="001E5743">
              <w:rPr>
                <w:rStyle w:val="SpecialBold"/>
              </w:rPr>
              <w:t xml:space="preserve">OHS requirements </w:t>
            </w:r>
          </w:p>
        </w:tc>
        <w:tc>
          <w:tcPr>
            <w:tcW w:w="58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E5743" w:rsidP="001E5743">
            <w:pPr>
              <w:pStyle w:val="BodyText"/>
            </w:pPr>
            <w:r w:rsidRPr="001E5743">
              <w:t>OHS requirements may include:</w:t>
            </w:r>
          </w:p>
          <w:p w:rsidR="00000000" w:rsidRPr="001E5743" w:rsidP="001E5743">
            <w:pPr>
              <w:pStyle w:val="ListBullet"/>
            </w:pPr>
            <w:r w:rsidRPr="001E5743">
              <w:t>OHS Acts and regulations</w:t>
            </w:r>
          </w:p>
          <w:p w:rsidR="00000000" w:rsidRPr="001E5743" w:rsidP="001E5743">
            <w:pPr>
              <w:pStyle w:val="ListBullet"/>
            </w:pPr>
            <w:r w:rsidRPr="001E5743">
              <w:t>relevant standards</w:t>
            </w:r>
          </w:p>
          <w:p w:rsidR="00000000" w:rsidRPr="001E5743" w:rsidP="001E5743">
            <w:pPr>
              <w:pStyle w:val="ListBullet"/>
            </w:pPr>
            <w:r w:rsidRPr="001E5743">
              <w:t>industry codes of practice</w:t>
            </w:r>
          </w:p>
          <w:p w:rsidR="00000000" w:rsidRPr="001E5743" w:rsidP="001E5743">
            <w:pPr>
              <w:pStyle w:val="ListBullet"/>
            </w:pPr>
            <w:r w:rsidRPr="001E5743">
              <w:t>risk assessments</w:t>
            </w:r>
          </w:p>
          <w:p w:rsidR="00000000" w:rsidRPr="001E5743" w:rsidP="001E5743">
            <w:pPr>
              <w:pStyle w:val="ListBullet"/>
            </w:pPr>
            <w:r w:rsidRPr="001E5743">
              <w:t xml:space="preserve">registration requirements </w:t>
            </w:r>
          </w:p>
          <w:p w:rsidR="00000000" w:rsidRPr="001E5743" w:rsidP="001E5743">
            <w:pPr>
              <w:pStyle w:val="ListBullet"/>
            </w:pPr>
            <w:r w:rsidRPr="001E5743">
              <w:t>safe work practices</w:t>
            </w:r>
          </w:p>
          <w:p w:rsidR="00000000" w:rsidP="001E5743">
            <w:pPr>
              <w:pStyle w:val="ListBullet"/>
              <w:rPr>
                <w:lang w:val="en-NZ"/>
              </w:rPr>
            </w:pPr>
            <w:r w:rsidRPr="001E5743">
              <w:t xml:space="preserve">state and territory regulatory requirements </w:t>
            </w:r>
          </w:p>
        </w:tc>
      </w:tr>
      <w:tr w:rsidTr="001E5743">
        <w:tblPrEx>
          <w:tblW w:w="9608" w:type="dxa"/>
          <w:tblLayout w:type="fixed"/>
          <w:tblCellMar>
            <w:left w:w="62" w:type="dxa"/>
            <w:right w:w="62" w:type="dxa"/>
          </w:tblCellMar>
          <w:tblLook w:val="0000"/>
        </w:tblPrEx>
        <w:tc>
          <w:tcPr>
            <w:tcW w:w="37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5743">
            <w:pPr>
              <w:pStyle w:val="BodyText"/>
              <w:rPr>
                <w:lang w:val="en-NZ"/>
              </w:rPr>
            </w:pPr>
            <w:r w:rsidRPr="001E5743">
              <w:rPr>
                <w:rStyle w:val="SpecialBold"/>
              </w:rPr>
              <w:t>Standards</w:t>
            </w:r>
          </w:p>
        </w:tc>
        <w:tc>
          <w:tcPr>
            <w:tcW w:w="58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E5743" w:rsidP="001E5743">
            <w:pPr>
              <w:pStyle w:val="BodyText"/>
            </w:pPr>
            <w:r w:rsidRPr="001E5743">
              <w:t xml:space="preserve">Standards may include: </w:t>
            </w:r>
          </w:p>
          <w:p w:rsidR="00000000" w:rsidRPr="001E5743" w:rsidP="001E5743">
            <w:pPr>
              <w:pStyle w:val="ListBullet"/>
            </w:pPr>
            <w:r w:rsidRPr="001E5743">
              <w:t>AS 4024.1-2006 Series Safety of machinery</w:t>
            </w:r>
          </w:p>
          <w:p w:rsidR="00000000" w:rsidRPr="001E5743" w:rsidP="001E5743">
            <w:pPr>
              <w:pStyle w:val="ListBullet"/>
            </w:pPr>
            <w:r w:rsidRPr="001E5743">
              <w:t>AS/NZS ISO 31000:2009 Risk management – Principles and guidelines</w:t>
            </w:r>
          </w:p>
          <w:p w:rsidR="00000000" w:rsidRPr="001E5743" w:rsidP="001E5743">
            <w:pPr>
              <w:pStyle w:val="ListBullet"/>
            </w:pPr>
            <w:r w:rsidRPr="001E5743">
              <w:t>NOH</w:t>
            </w:r>
            <w:r w:rsidRPr="001E5743">
              <w:t>SC:1010 National standard for plant</w:t>
            </w:r>
          </w:p>
          <w:p w:rsidR="00000000" w:rsidRPr="001E5743" w:rsidP="001E5743">
            <w:pPr>
              <w:pStyle w:val="ListBullet"/>
            </w:pPr>
            <w:r w:rsidRPr="001E5743">
              <w:t>NOHSC:1014 National standard for the control of major hazard facilities</w:t>
            </w:r>
          </w:p>
          <w:p w:rsidR="00000000" w:rsidP="001E5743">
            <w:pPr>
              <w:pStyle w:val="ListBullet"/>
              <w:rPr>
                <w:lang w:val="en-NZ"/>
              </w:rPr>
            </w:pPr>
            <w:r w:rsidRPr="001E5743">
              <w:t xml:space="preserve">AS 61508.1-2011 Functional safety of electrical/electronic/programmable electronic safety-related systems – General requirements </w:t>
            </w:r>
          </w:p>
        </w:tc>
      </w:tr>
      <w:tr w:rsidTr="001E5743">
        <w:tblPrEx>
          <w:tblW w:w="9608" w:type="dxa"/>
          <w:tblLayout w:type="fixed"/>
          <w:tblCellMar>
            <w:left w:w="62" w:type="dxa"/>
            <w:right w:w="62" w:type="dxa"/>
          </w:tblCellMar>
          <w:tblLook w:val="0000"/>
        </w:tblPrEx>
        <w:tc>
          <w:tcPr>
            <w:tcW w:w="37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5743">
            <w:pPr>
              <w:pStyle w:val="BodyText"/>
              <w:rPr>
                <w:lang w:val="en-NZ"/>
              </w:rPr>
            </w:pPr>
            <w:r w:rsidRPr="001E5743">
              <w:rPr>
                <w:rStyle w:val="SpecialBold"/>
              </w:rPr>
              <w:t>Sequence and mode</w:t>
            </w:r>
            <w:r w:rsidRPr="001E5743">
              <w:rPr>
                <w:rStyle w:val="SpecialBold"/>
              </w:rPr>
              <w:t xml:space="preserve"> control methods for multi-actuator circuit </w:t>
            </w:r>
          </w:p>
        </w:tc>
        <w:tc>
          <w:tcPr>
            <w:tcW w:w="58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E5743" w:rsidP="001E5743">
            <w:pPr>
              <w:pStyle w:val="BodyText"/>
            </w:pPr>
            <w:r w:rsidRPr="001E5743">
              <w:t>Sequence may include:</w:t>
            </w:r>
          </w:p>
          <w:p w:rsidR="00000000" w:rsidRPr="001E5743" w:rsidP="001E5743">
            <w:pPr>
              <w:pStyle w:val="ListBullet"/>
            </w:pPr>
            <w:r w:rsidRPr="001E5743">
              <w:t>sequential operations with or without conditional jumps</w:t>
            </w:r>
          </w:p>
          <w:p w:rsidR="00000000" w:rsidRPr="001E5743" w:rsidP="001E5743">
            <w:pPr>
              <w:pStyle w:val="ListBullet"/>
            </w:pPr>
            <w:r w:rsidRPr="001E5743">
              <w:t>optimisation techniques</w:t>
            </w:r>
          </w:p>
          <w:p w:rsidR="00000000" w:rsidRPr="001E5743" w:rsidP="001E5743">
            <w:pPr>
              <w:pStyle w:val="ListBullet"/>
            </w:pPr>
            <w:r w:rsidRPr="001E5743">
              <w:t>functions, such as:</w:t>
            </w:r>
          </w:p>
          <w:p w:rsidR="00000000" w:rsidRPr="001E5743" w:rsidP="001E5743">
            <w:pPr>
              <w:pStyle w:val="ListBullet2"/>
            </w:pPr>
            <w:r w:rsidRPr="001E5743">
              <w:t>timing, counting, stop start, cycle selection and boundary conditions</w:t>
            </w:r>
          </w:p>
          <w:p w:rsidR="00000000" w:rsidRPr="001E5743" w:rsidP="001E5743">
            <w:pPr>
              <w:pStyle w:val="BodyText"/>
            </w:pPr>
            <w:r w:rsidRPr="001E5743">
              <w:t>Control methods may include:</w:t>
            </w:r>
          </w:p>
          <w:p w:rsidR="00000000" w:rsidRPr="001E5743" w:rsidP="001E5743">
            <w:pPr>
              <w:pStyle w:val="ListBullet"/>
            </w:pPr>
            <w:r w:rsidRPr="001E5743">
              <w:t>pneumatic and electrical relay cascade control</w:t>
            </w:r>
          </w:p>
          <w:p w:rsidR="00000000" w:rsidRPr="001E5743" w:rsidP="001E5743">
            <w:pPr>
              <w:pStyle w:val="ListBullet"/>
            </w:pPr>
            <w:r w:rsidRPr="001E5743">
              <w:t>pneumatic and electrical relay step-sequenced control</w:t>
            </w:r>
          </w:p>
          <w:p w:rsidR="00000000" w:rsidRPr="001E5743" w:rsidP="001E5743">
            <w:pPr>
              <w:pStyle w:val="ListBullet"/>
            </w:pPr>
            <w:r w:rsidRPr="001E5743">
              <w:t>PLC control</w:t>
            </w:r>
          </w:p>
          <w:p w:rsidR="00000000" w:rsidP="001E5743">
            <w:pPr>
              <w:pStyle w:val="ListBullet"/>
              <w:rPr>
                <w:lang w:val="en-NZ"/>
              </w:rPr>
            </w:pPr>
            <w:r w:rsidRPr="001E5743">
              <w:t>microcontrollers for special purpose machines</w:t>
            </w:r>
          </w:p>
        </w:tc>
      </w:tr>
      <w:tr w:rsidTr="001E5743">
        <w:tblPrEx>
          <w:tblW w:w="9608" w:type="dxa"/>
          <w:tblLayout w:type="fixed"/>
          <w:tblCellMar>
            <w:left w:w="62" w:type="dxa"/>
            <w:right w:w="62" w:type="dxa"/>
          </w:tblCellMar>
          <w:tblLook w:val="0000"/>
        </w:tblPrEx>
        <w:tc>
          <w:tcPr>
            <w:tcW w:w="37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5743">
            <w:pPr>
              <w:pStyle w:val="BodyText"/>
              <w:rPr>
                <w:lang w:val="en-NZ"/>
              </w:rPr>
            </w:pPr>
            <w:r w:rsidRPr="001E5743">
              <w:rPr>
                <w:rStyle w:val="SpecialBold"/>
              </w:rPr>
              <w:t xml:space="preserve">Stand alone and network control </w:t>
            </w:r>
          </w:p>
        </w:tc>
        <w:tc>
          <w:tcPr>
            <w:tcW w:w="58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E5743" w:rsidP="001E5743">
            <w:pPr>
              <w:pStyle w:val="BodyText"/>
            </w:pPr>
            <w:r w:rsidRPr="001E5743">
              <w:t>Options for stand alone and network control of fluid power systems may include:</w:t>
            </w:r>
          </w:p>
          <w:p w:rsidR="00000000" w:rsidRPr="001E5743" w:rsidP="001E5743">
            <w:pPr>
              <w:pStyle w:val="ListBullet"/>
            </w:pPr>
            <w:r w:rsidRPr="001E5743">
              <w:t>compressor control and application control</w:t>
            </w:r>
          </w:p>
          <w:p w:rsidR="00000000" w:rsidRPr="001E5743" w:rsidP="001E5743">
            <w:pPr>
              <w:pStyle w:val="ListBullet"/>
            </w:pPr>
            <w:r w:rsidRPr="001E5743">
              <w:t>fluid powered machine control, including proportional-integral-derivative (PID) parameter control from remote host controller</w:t>
            </w:r>
          </w:p>
          <w:p w:rsidR="00000000" w:rsidRPr="001E5743" w:rsidP="001E5743">
            <w:pPr>
              <w:pStyle w:val="ListBullet"/>
            </w:pPr>
            <w:r w:rsidRPr="001E5743">
              <w:t>commun</w:t>
            </w:r>
            <w:r w:rsidRPr="001E5743">
              <w:t>ications bus systems and serial systems</w:t>
            </w:r>
          </w:p>
          <w:p w:rsidR="00000000" w:rsidRPr="001E5743" w:rsidP="001E5743">
            <w:pPr>
              <w:pStyle w:val="ListBullet"/>
            </w:pPr>
            <w:r w:rsidRPr="001E5743">
              <w:t>distributed control systems (DCS)</w:t>
            </w:r>
          </w:p>
          <w:p w:rsidR="00000000" w:rsidRPr="001E5743" w:rsidP="001E5743">
            <w:pPr>
              <w:pStyle w:val="ListBullet"/>
            </w:pPr>
            <w:r w:rsidRPr="001E5743">
              <w:t>system control and data acquisition (SCADA)</w:t>
            </w:r>
          </w:p>
          <w:p w:rsidR="00000000" w:rsidRPr="001E5743" w:rsidP="001E5743">
            <w:pPr>
              <w:pStyle w:val="ListBullet"/>
            </w:pPr>
            <w:r w:rsidRPr="001E5743">
              <w:t>computer-integrated manufacture (CIM) options</w:t>
            </w:r>
          </w:p>
        </w:tc>
      </w:tr>
    </w:tbl>
    <w:p w:rsidR="00000000" w:rsidRPr="001E5743" w:rsidP="001E5743">
      <w:pPr>
        <w:pStyle w:val="BodyText"/>
      </w:pPr>
    </w:p>
    <w:p w:rsidR="00000000" w:rsidRPr="001E5743" w:rsidP="001E5743">
      <w:pPr>
        <w:pStyle w:val="AllowPageBreak"/>
      </w:pPr>
    </w:p>
    <w:p w:rsidR="00000000" w:rsidRPr="001E5743" w:rsidP="001E5743">
      <w:pPr>
        <w:pStyle w:val="Heading1"/>
      </w:pPr>
      <w:bookmarkStart w:id="12" w:name="O_396930"/>
      <w:bookmarkEnd w:id="12"/>
      <w:r w:rsidRPr="001E5743">
        <w:t>Unit Sector(s)</w:t>
      </w:r>
    </w:p>
    <w:p w:rsidR="00000000" w:rsidRPr="001E5743" w:rsidP="001E5743">
      <w:pPr>
        <w:pStyle w:val="BodyText"/>
      </w:pPr>
      <w:r w:rsidRPr="001E5743">
        <w:t>Engineering practice</w:t>
      </w:r>
    </w:p>
    <w:p w:rsidR="00000000" w:rsidRPr="001E5743" w:rsidP="001E5743">
      <w:pPr>
        <w:pStyle w:val="AllowPageBreak"/>
      </w:pPr>
    </w:p>
    <w:p w:rsidR="00000000" w:rsidRPr="001E5743" w:rsidP="001E5743">
      <w:pPr>
        <w:pStyle w:val="Heading1"/>
      </w:pPr>
      <w:bookmarkStart w:id="13" w:name="O_396931"/>
      <w:bookmarkEnd w:id="13"/>
      <w:r w:rsidRPr="001E5743">
        <w:t>Custom Content Section</w:t>
      </w:r>
    </w:p>
    <w:p w:rsidR="00000000" w:rsidRPr="001E5743" w:rsidP="001E5743">
      <w:pPr>
        <w:pStyle w:val="BodyText"/>
      </w:pPr>
      <w:r w:rsidRPr="001E5743">
        <w:t>Not applicable.</w:t>
      </w:r>
    </w:p>
    <w:p w:rsidR="00000000" w:rsidRPr="001E5743" w:rsidP="001E5743"/>
    <w:sectPr w:rsidSect="001E574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574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47766" w:rsidP="0064776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574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7766" w:rsidP="001E574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647766" w:rsidP="001E574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647766" w:rsidP="001E574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574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47766" w:rsidP="00647766">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574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7766" w:rsidP="001E5743">
    <w:pPr>
      <w:pStyle w:val="Header"/>
      <w:framePr w:wrap="around"/>
    </w:pPr>
    <w:r>
      <w:fldChar w:fldCharType="begin"/>
    </w:r>
    <w:r>
      <w:instrText xml:space="preserve"> TITLE   \* MERGEFORMAT </w:instrText>
    </w:r>
    <w:r>
      <w:fldChar w:fldCharType="separate"/>
    </w:r>
    <w:r>
      <w:t>MEM234007A Design fluid power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647766" w:rsidP="001E574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80807E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AC4E1B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B72C74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E574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E5743"/>
    <w:pPr>
      <w:spacing w:before="360" w:after="60"/>
      <w:outlineLvl w:val="0"/>
    </w:pPr>
    <w:rPr>
      <w:sz w:val="32"/>
    </w:rPr>
  </w:style>
  <w:style w:type="paragraph" w:styleId="Heading2">
    <w:name w:val="heading 2"/>
    <w:basedOn w:val="HeadingBase"/>
    <w:next w:val="BodyText"/>
    <w:link w:val="Heading2Char"/>
    <w:qFormat/>
    <w:rsid w:val="001E5743"/>
    <w:pPr>
      <w:keepLines/>
      <w:spacing w:before="240" w:after="120"/>
      <w:outlineLvl w:val="1"/>
    </w:pPr>
    <w:rPr>
      <w:sz w:val="28"/>
      <w:szCs w:val="40"/>
    </w:rPr>
  </w:style>
  <w:style w:type="paragraph" w:styleId="Heading3">
    <w:name w:val="heading 3"/>
    <w:basedOn w:val="HeadingBase"/>
    <w:next w:val="BodyText"/>
    <w:link w:val="Heading3Char"/>
    <w:qFormat/>
    <w:rsid w:val="001E5743"/>
    <w:pPr>
      <w:spacing w:before="180" w:after="120"/>
      <w:outlineLvl w:val="2"/>
    </w:pPr>
    <w:rPr>
      <w:spacing w:val="-10"/>
      <w:kern w:val="32"/>
    </w:rPr>
  </w:style>
  <w:style w:type="paragraph" w:styleId="Heading4">
    <w:name w:val="heading 4"/>
    <w:basedOn w:val="HeadingBase"/>
    <w:next w:val="BodyText"/>
    <w:link w:val="Heading4Char"/>
    <w:qFormat/>
    <w:rsid w:val="001E5743"/>
    <w:pPr>
      <w:spacing w:before="160" w:after="120"/>
      <w:outlineLvl w:val="3"/>
    </w:pPr>
    <w:rPr>
      <w:sz w:val="22"/>
    </w:rPr>
  </w:style>
  <w:style w:type="paragraph" w:styleId="Heading5">
    <w:name w:val="heading 5"/>
    <w:basedOn w:val="HeadingBase"/>
    <w:next w:val="Normal"/>
    <w:link w:val="Heading5Char"/>
    <w:qFormat/>
    <w:rsid w:val="001E5743"/>
    <w:pPr>
      <w:spacing w:before="80"/>
      <w:outlineLvl w:val="4"/>
    </w:pPr>
    <w:rPr>
      <w:color w:val="918585"/>
      <w:sz w:val="20"/>
    </w:rPr>
  </w:style>
  <w:style w:type="paragraph" w:styleId="Heading6">
    <w:name w:val="heading 6"/>
    <w:basedOn w:val="HeadingBase"/>
    <w:next w:val="Normal"/>
    <w:link w:val="Heading6Char"/>
    <w:qFormat/>
    <w:rsid w:val="001E5743"/>
    <w:pPr>
      <w:spacing w:before="60"/>
      <w:outlineLvl w:val="5"/>
    </w:pPr>
    <w:rPr>
      <w:color w:val="918585"/>
      <w:sz w:val="20"/>
    </w:rPr>
  </w:style>
  <w:style w:type="paragraph" w:styleId="Heading7">
    <w:name w:val="heading 7"/>
    <w:basedOn w:val="Normal"/>
    <w:next w:val="Normal"/>
    <w:link w:val="Heading7Char"/>
    <w:qFormat/>
    <w:rsid w:val="001E5743"/>
    <w:pPr>
      <w:ind w:left="720"/>
      <w:outlineLvl w:val="6"/>
    </w:pPr>
    <w:rPr>
      <w:i/>
    </w:rPr>
  </w:style>
  <w:style w:type="paragraph" w:styleId="Heading8">
    <w:name w:val="heading 8"/>
    <w:basedOn w:val="Normal"/>
    <w:next w:val="Normal"/>
    <w:link w:val="Heading8Char"/>
    <w:qFormat/>
    <w:rsid w:val="001E5743"/>
    <w:pPr>
      <w:ind w:left="720"/>
      <w:outlineLvl w:val="7"/>
    </w:pPr>
    <w:rPr>
      <w:i/>
    </w:rPr>
  </w:style>
  <w:style w:type="paragraph" w:styleId="Heading9">
    <w:name w:val="heading 9"/>
    <w:basedOn w:val="Normal"/>
    <w:next w:val="Normal"/>
    <w:link w:val="Heading9Char"/>
    <w:qFormat/>
    <w:rsid w:val="001E5743"/>
    <w:pPr>
      <w:ind w:left="720"/>
      <w:outlineLvl w:val="8"/>
    </w:pPr>
    <w:rPr>
      <w:i/>
    </w:rPr>
  </w:style>
  <w:style w:type="character" w:default="1" w:styleId="DefaultParagraphFont">
    <w:name w:val="Default Paragraph Font"/>
    <w:uiPriority w:val="1"/>
    <w:unhideWhenUsed/>
    <w:rsid w:val="001E574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E5743"/>
  </w:style>
  <w:style w:type="character" w:customStyle="1" w:styleId="Heading1Char">
    <w:name w:val="Heading 1 Char"/>
    <w:link w:val="Heading1"/>
    <w:rsid w:val="001E5743"/>
    <w:rPr>
      <w:rFonts w:ascii="Times New Roman" w:eastAsia="Times New Roman" w:hAnsi="Times New Roman" w:cs="Times New Roman"/>
      <w:b/>
      <w:sz w:val="32"/>
      <w:szCs w:val="20"/>
      <w:lang w:eastAsia="en-US"/>
    </w:rPr>
  </w:style>
  <w:style w:type="paragraph" w:styleId="BodyText">
    <w:name w:val="Body Text"/>
    <w:basedOn w:val="Normal"/>
    <w:link w:val="BodyTextChar"/>
    <w:rsid w:val="001E5743"/>
    <w:pPr>
      <w:spacing w:before="120" w:after="120"/>
      <w:contextualSpacing/>
    </w:pPr>
    <w:rPr>
      <w:rFonts w:ascii="Times New Roman" w:hAnsi="Times New Roman"/>
      <w:sz w:val="24"/>
      <w:szCs w:val="22"/>
    </w:rPr>
  </w:style>
  <w:style w:type="character" w:customStyle="1" w:styleId="BodyTextChar">
    <w:name w:val="Body Text Char"/>
    <w:link w:val="BodyText"/>
    <w:rsid w:val="001E5743"/>
    <w:rPr>
      <w:rFonts w:ascii="Times New Roman" w:eastAsia="Times New Roman" w:hAnsi="Times New Roman" w:cs="Times New Roman"/>
      <w:sz w:val="24"/>
      <w:lang w:val="en-US" w:eastAsia="en-US"/>
    </w:rPr>
  </w:style>
  <w:style w:type="paragraph" w:styleId="Footer">
    <w:name w:val="footer"/>
    <w:basedOn w:val="Normal"/>
    <w:link w:val="FooterChar"/>
    <w:rsid w:val="001E574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1E5743"/>
    <w:rPr>
      <w:rFonts w:ascii="Times New Roman" w:eastAsia="Times New Roman" w:hAnsi="Times New Roman" w:cs="Times New Roman"/>
      <w:sz w:val="16"/>
      <w:lang w:val="en-US" w:eastAsia="en-US"/>
    </w:rPr>
  </w:style>
  <w:style w:type="paragraph" w:styleId="ListBullet">
    <w:name w:val="List Bullet"/>
    <w:basedOn w:val="List"/>
    <w:rsid w:val="001E5743"/>
    <w:pPr>
      <w:numPr>
        <w:numId w:val="13"/>
      </w:numPr>
      <w:tabs>
        <w:tab w:val="clear" w:pos="340"/>
      </w:tabs>
      <w:spacing w:before="40" w:after="40"/>
    </w:pPr>
  </w:style>
  <w:style w:type="character" w:customStyle="1" w:styleId="SpecialBold">
    <w:name w:val="Special Bold"/>
    <w:rsid w:val="001E5743"/>
    <w:rPr>
      <w:b/>
      <w:spacing w:val="0"/>
    </w:rPr>
  </w:style>
  <w:style w:type="paragraph" w:styleId="ListBullet2">
    <w:name w:val="List Bullet 2"/>
    <w:basedOn w:val="List2"/>
    <w:rsid w:val="001E5743"/>
    <w:pPr>
      <w:numPr>
        <w:numId w:val="14"/>
      </w:numPr>
      <w:tabs>
        <w:tab w:val="clear" w:pos="680"/>
      </w:tabs>
    </w:pPr>
  </w:style>
  <w:style w:type="paragraph" w:styleId="Header">
    <w:name w:val="header"/>
    <w:basedOn w:val="Normal"/>
    <w:link w:val="HeaderChar"/>
    <w:rsid w:val="001E574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1E574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E5743"/>
    <w:pPr>
      <w:spacing w:before="240" w:after="120"/>
      <w:outlineLvl w:val="0"/>
    </w:pPr>
    <w:rPr>
      <w:rFonts w:ascii="Times New Roman" w:hAnsi="Times New Roman"/>
      <w:b/>
      <w:sz w:val="28"/>
    </w:rPr>
  </w:style>
  <w:style w:type="paragraph" w:customStyle="1" w:styleId="AllowPageBreak">
    <w:name w:val="AllowPageBreak"/>
    <w:rsid w:val="001E574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1E5743"/>
    <w:rPr>
      <w:rFonts w:ascii="Times New Roman" w:eastAsia="Times New Roman" w:hAnsi="Times New Roman" w:cs="Times New Roman"/>
      <w:b/>
      <w:sz w:val="28"/>
      <w:szCs w:val="40"/>
      <w:lang w:eastAsia="en-US"/>
    </w:rPr>
  </w:style>
  <w:style w:type="character" w:customStyle="1" w:styleId="Heading3Char">
    <w:name w:val="Heading 3 Char"/>
    <w:link w:val="Heading3"/>
    <w:rsid w:val="001E5743"/>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1E5743"/>
    <w:rPr>
      <w:rFonts w:ascii="Times New Roman" w:eastAsia="Times New Roman" w:hAnsi="Times New Roman" w:cs="Times New Roman"/>
      <w:b/>
      <w:szCs w:val="20"/>
      <w:lang w:eastAsia="en-US"/>
    </w:rPr>
  </w:style>
  <w:style w:type="character" w:customStyle="1" w:styleId="Heading5Char">
    <w:name w:val="Heading 5 Char"/>
    <w:link w:val="Heading5"/>
    <w:rsid w:val="001E5743"/>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1E574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E574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E574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E5743"/>
    <w:rPr>
      <w:rFonts w:ascii="Courier New" w:eastAsia="Times New Roman" w:hAnsi="Courier New" w:cs="Times New Roman"/>
      <w:i/>
      <w:szCs w:val="20"/>
      <w:lang w:val="en-US" w:eastAsia="en-US"/>
    </w:rPr>
  </w:style>
  <w:style w:type="paragraph" w:customStyle="1" w:styleId="HeadingBase">
    <w:name w:val="Heading Base"/>
    <w:rsid w:val="001E574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E5743"/>
    <w:pPr>
      <w:tabs>
        <w:tab w:val="right" w:leader="dot" w:pos="9072"/>
      </w:tabs>
      <w:ind w:left="567"/>
    </w:pPr>
    <w:rPr>
      <w:szCs w:val="22"/>
    </w:rPr>
  </w:style>
  <w:style w:type="paragraph" w:customStyle="1" w:styleId="TOCBase">
    <w:name w:val="TOC Base"/>
    <w:rsid w:val="001E574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E5743"/>
    <w:pPr>
      <w:tabs>
        <w:tab w:val="right" w:leader="dot" w:pos="9072"/>
      </w:tabs>
      <w:spacing w:before="40" w:after="40"/>
      <w:ind w:left="284"/>
    </w:pPr>
    <w:rPr>
      <w:rFonts w:ascii="Times New Roman" w:hAnsi="Times New Roman"/>
    </w:rPr>
  </w:style>
  <w:style w:type="paragraph" w:styleId="TOC1">
    <w:name w:val="toc 1"/>
    <w:basedOn w:val="TOCBase"/>
    <w:next w:val="Normal"/>
    <w:rsid w:val="001E574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E5743"/>
    <w:pPr>
      <w:spacing w:before="5040"/>
      <w:jc w:val="center"/>
    </w:pPr>
    <w:rPr>
      <w:sz w:val="48"/>
      <w:szCs w:val="72"/>
      <w:lang w:val="en-US"/>
    </w:rPr>
  </w:style>
  <w:style w:type="character" w:customStyle="1" w:styleId="TitleChar">
    <w:name w:val="Title Char"/>
    <w:link w:val="Title"/>
    <w:rsid w:val="001E574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E5743"/>
    <w:pPr>
      <w:tabs>
        <w:tab w:val="left" w:pos="3600"/>
        <w:tab w:val="left" w:pos="3958"/>
      </w:tabs>
    </w:pPr>
  </w:style>
  <w:style w:type="paragraph" w:styleId="List">
    <w:name w:val="List"/>
    <w:basedOn w:val="BodyText"/>
    <w:next w:val="BodyText"/>
    <w:rsid w:val="001E5743"/>
    <w:pPr>
      <w:tabs>
        <w:tab w:val="left" w:pos="340"/>
      </w:tabs>
      <w:spacing w:before="60" w:after="60"/>
      <w:ind w:left="340" w:hanging="340"/>
    </w:pPr>
  </w:style>
  <w:style w:type="paragraph" w:customStyle="1" w:styleId="Note">
    <w:name w:val="Note"/>
    <w:basedOn w:val="BodyText"/>
    <w:rsid w:val="001E574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E5743"/>
    <w:pPr>
      <w:framePr w:wrap="auto" w:hAnchor="text" w:y="6049"/>
    </w:pPr>
    <w:rPr>
      <w:color w:val="000000"/>
      <w:sz w:val="40"/>
    </w:rPr>
  </w:style>
  <w:style w:type="paragraph" w:customStyle="1" w:styleId="TOCTitle">
    <w:name w:val="TOCTitle"/>
    <w:basedOn w:val="Heading1"/>
    <w:rsid w:val="001E5743"/>
    <w:pPr>
      <w:spacing w:after="240"/>
      <w:jc w:val="center"/>
      <w:outlineLvl w:val="9"/>
    </w:pPr>
    <w:rPr>
      <w:caps/>
    </w:rPr>
  </w:style>
  <w:style w:type="paragraph" w:customStyle="1" w:styleId="Version">
    <w:name w:val="Version"/>
    <w:rsid w:val="001E574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E5743"/>
    <w:pPr>
      <w:keepNext w:val="0"/>
      <w:tabs>
        <w:tab w:val="right" w:pos="4176"/>
      </w:tabs>
      <w:ind w:left="198" w:hanging="198"/>
    </w:pPr>
    <w:rPr>
      <w:rFonts w:ascii="Garamond" w:hAnsi="Garamond"/>
    </w:rPr>
  </w:style>
  <w:style w:type="paragraph" w:styleId="IndexHeading">
    <w:name w:val="index heading"/>
    <w:basedOn w:val="Normal"/>
    <w:next w:val="Index1"/>
    <w:semiHidden/>
    <w:rsid w:val="001E5743"/>
    <w:pPr>
      <w:spacing w:before="120" w:after="120"/>
    </w:pPr>
    <w:rPr>
      <w:rFonts w:ascii="Arial" w:hAnsi="Arial"/>
      <w:b/>
      <w:color w:val="918585"/>
      <w:sz w:val="24"/>
    </w:rPr>
  </w:style>
  <w:style w:type="paragraph" w:customStyle="1" w:styleId="Chapter">
    <w:name w:val="Chapter"/>
    <w:basedOn w:val="Normal"/>
    <w:rsid w:val="001E5743"/>
    <w:pPr>
      <w:spacing w:before="240"/>
    </w:pPr>
    <w:rPr>
      <w:rFonts w:ascii="Times New Roman" w:hAnsi="Times New Roman"/>
      <w:smallCaps/>
      <w:spacing w:val="80"/>
      <w:sz w:val="28"/>
    </w:rPr>
  </w:style>
  <w:style w:type="paragraph" w:customStyle="1" w:styleId="InChapter">
    <w:name w:val="InChapter"/>
    <w:basedOn w:val="Heading3"/>
    <w:rsid w:val="001E5743"/>
    <w:pPr>
      <w:spacing w:after="240"/>
      <w:outlineLvl w:val="9"/>
    </w:pPr>
    <w:rPr>
      <w:noProof/>
    </w:rPr>
  </w:style>
  <w:style w:type="paragraph" w:styleId="Index2">
    <w:name w:val="index 2"/>
    <w:basedOn w:val="Normal"/>
    <w:next w:val="Normal"/>
    <w:semiHidden/>
    <w:rsid w:val="001E5743"/>
    <w:pPr>
      <w:tabs>
        <w:tab w:val="right" w:pos="4176"/>
      </w:tabs>
      <w:ind w:left="568" w:hanging="284"/>
    </w:pPr>
    <w:rPr>
      <w:rFonts w:ascii="Garamond" w:hAnsi="Garamond"/>
    </w:rPr>
  </w:style>
  <w:style w:type="paragraph" w:customStyle="1" w:styleId="Byline">
    <w:name w:val="Byline"/>
    <w:rsid w:val="001E574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E5743"/>
    <w:pPr>
      <w:tabs>
        <w:tab w:val="clear" w:pos="3600"/>
        <w:tab w:val="clear" w:pos="3958"/>
      </w:tabs>
      <w:jc w:val="right"/>
    </w:pPr>
  </w:style>
  <w:style w:type="character" w:styleId="Emphasis">
    <w:name w:val="Emphasis"/>
    <w:qFormat/>
    <w:rsid w:val="001E5743"/>
    <w:rPr>
      <w:i/>
    </w:rPr>
  </w:style>
  <w:style w:type="paragraph" w:styleId="Caption">
    <w:name w:val="caption"/>
    <w:basedOn w:val="BodyText"/>
    <w:next w:val="Normal"/>
    <w:qFormat/>
    <w:rsid w:val="001E5743"/>
    <w:pPr>
      <w:framePr w:w="2268" w:hSpace="181" w:vSpace="181" w:wrap="around" w:vAnchor="text" w:hAnchor="page" w:x="1135" w:y="285" w:anchorLock="1"/>
    </w:pPr>
    <w:rPr>
      <w:i/>
    </w:rPr>
  </w:style>
  <w:style w:type="paragraph" w:customStyle="1" w:styleId="MiniTOCTitle">
    <w:name w:val="MiniTOCTitle"/>
    <w:basedOn w:val="Heading4"/>
    <w:rsid w:val="001E5743"/>
    <w:pPr>
      <w:spacing w:before="240"/>
      <w:outlineLvl w:val="9"/>
    </w:pPr>
    <w:rPr>
      <w:noProof/>
      <w:sz w:val="24"/>
    </w:rPr>
  </w:style>
  <w:style w:type="paragraph" w:customStyle="1" w:styleId="MiniTOCItem">
    <w:name w:val="MiniTOCItem"/>
    <w:basedOn w:val="ListBullet"/>
    <w:rsid w:val="001E5743"/>
    <w:pPr>
      <w:numPr>
        <w:numId w:val="0"/>
      </w:numPr>
      <w:tabs>
        <w:tab w:val="right" w:leader="dot" w:pos="6521"/>
      </w:tabs>
      <w:spacing w:before="0" w:after="0"/>
    </w:pPr>
  </w:style>
  <w:style w:type="paragraph" w:customStyle="1" w:styleId="TOFTitle">
    <w:name w:val="TOFTitle"/>
    <w:basedOn w:val="TOCTitle"/>
    <w:rsid w:val="001E5743"/>
  </w:style>
  <w:style w:type="paragraph" w:styleId="TableofFigures">
    <w:name w:val="table of figures"/>
    <w:basedOn w:val="Normal"/>
    <w:next w:val="Normal"/>
    <w:semiHidden/>
    <w:rsid w:val="001E5743"/>
    <w:pPr>
      <w:tabs>
        <w:tab w:val="right" w:leader="dot" w:pos="9072"/>
      </w:tabs>
      <w:ind w:left="970" w:hanging="403"/>
    </w:pPr>
    <w:rPr>
      <w:rFonts w:ascii="Times New Roman" w:hAnsi="Times New Roman"/>
      <w:b/>
    </w:rPr>
  </w:style>
  <w:style w:type="paragraph" w:styleId="ListNumber">
    <w:name w:val="List Number"/>
    <w:basedOn w:val="List"/>
    <w:rsid w:val="001E5743"/>
    <w:pPr>
      <w:numPr>
        <w:numId w:val="11"/>
      </w:numPr>
    </w:pPr>
  </w:style>
  <w:style w:type="character" w:customStyle="1" w:styleId="WingdingSymbols">
    <w:name w:val="Wingding Symbols"/>
    <w:rsid w:val="001E5743"/>
    <w:rPr>
      <w:rFonts w:ascii="Wingdings" w:hAnsi="Wingdings"/>
    </w:rPr>
  </w:style>
  <w:style w:type="paragraph" w:customStyle="1" w:styleId="TableHeading">
    <w:name w:val="Table Heading"/>
    <w:basedOn w:val="HeadingBase"/>
    <w:rsid w:val="001E5743"/>
    <w:pPr>
      <w:keepLines/>
      <w:pBdr>
        <w:bottom w:val="single" w:sz="6" w:space="1" w:color="918585"/>
      </w:pBdr>
      <w:spacing w:before="240"/>
    </w:pPr>
  </w:style>
  <w:style w:type="character" w:customStyle="1" w:styleId="HotSpot">
    <w:name w:val="HotSpot"/>
    <w:rsid w:val="001E5743"/>
    <w:rPr>
      <w:color w:val="0033CC"/>
      <w:u w:val="none"/>
    </w:rPr>
  </w:style>
  <w:style w:type="paragraph" w:customStyle="1" w:styleId="BodyTextRight">
    <w:name w:val="Body Text Right"/>
    <w:basedOn w:val="BodyText"/>
    <w:rsid w:val="001E5743"/>
    <w:pPr>
      <w:spacing w:before="0" w:after="0"/>
      <w:jc w:val="right"/>
    </w:pPr>
  </w:style>
  <w:style w:type="paragraph" w:styleId="Index3">
    <w:name w:val="index 3"/>
    <w:basedOn w:val="ListNumber2"/>
    <w:next w:val="Normal"/>
    <w:semiHidden/>
    <w:rsid w:val="001E5743"/>
    <w:pPr>
      <w:numPr>
        <w:numId w:val="0"/>
      </w:numPr>
      <w:tabs>
        <w:tab w:val="right" w:leader="dot" w:pos="4176"/>
      </w:tabs>
    </w:pPr>
  </w:style>
  <w:style w:type="paragraph" w:styleId="ListNumber2">
    <w:name w:val="List Number 2"/>
    <w:basedOn w:val="List2"/>
    <w:rsid w:val="001E5743"/>
    <w:pPr>
      <w:numPr>
        <w:numId w:val="10"/>
      </w:numPr>
      <w:tabs>
        <w:tab w:val="clear" w:pos="1060"/>
      </w:tabs>
    </w:pPr>
  </w:style>
  <w:style w:type="paragraph" w:customStyle="1" w:styleId="MarginNote">
    <w:name w:val="Margin Note"/>
    <w:basedOn w:val="BodyText"/>
    <w:rsid w:val="001E574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E574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1E574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E5743"/>
    <w:rPr>
      <w:sz w:val="32"/>
    </w:rPr>
  </w:style>
  <w:style w:type="paragraph" w:customStyle="1" w:styleId="HeadingProcedure">
    <w:name w:val="Heading Procedure"/>
    <w:basedOn w:val="HeadingBase"/>
    <w:next w:val="Normal"/>
    <w:rsid w:val="001E5743"/>
    <w:pPr>
      <w:tabs>
        <w:tab w:val="left" w:pos="0"/>
      </w:tabs>
      <w:spacing w:before="120" w:after="60"/>
    </w:pPr>
    <w:rPr>
      <w:i/>
      <w:color w:val="918585"/>
      <w:sz w:val="22"/>
    </w:rPr>
  </w:style>
  <w:style w:type="paragraph" w:customStyle="1" w:styleId="TableBodyText">
    <w:name w:val="Table Body Text"/>
    <w:basedOn w:val="BodyText"/>
    <w:rsid w:val="001E5743"/>
    <w:pPr>
      <w:spacing w:before="60" w:after="60"/>
    </w:pPr>
  </w:style>
  <w:style w:type="paragraph" w:styleId="ListContinue">
    <w:name w:val="List Continue"/>
    <w:basedOn w:val="List"/>
    <w:rsid w:val="001E5743"/>
    <w:pPr>
      <w:ind w:firstLine="0"/>
    </w:pPr>
  </w:style>
  <w:style w:type="paragraph" w:customStyle="1" w:styleId="ListNote">
    <w:name w:val="List Note"/>
    <w:basedOn w:val="List"/>
    <w:rsid w:val="001E5743"/>
    <w:pPr>
      <w:pBdr>
        <w:top w:val="single" w:sz="6" w:space="2" w:color="918585"/>
        <w:bottom w:val="single" w:sz="6" w:space="2" w:color="918585"/>
      </w:pBdr>
      <w:tabs>
        <w:tab w:val="left" w:pos="1021"/>
      </w:tabs>
      <w:ind w:firstLine="0"/>
    </w:pPr>
  </w:style>
  <w:style w:type="paragraph" w:customStyle="1" w:styleId="Warning">
    <w:name w:val="Warning"/>
    <w:basedOn w:val="BodyText"/>
    <w:rsid w:val="001E5743"/>
    <w:pPr>
      <w:shd w:val="clear" w:color="auto" w:fill="D9D9D9"/>
      <w:tabs>
        <w:tab w:val="left" w:pos="992"/>
      </w:tabs>
      <w:ind w:left="119" w:right="119"/>
    </w:pPr>
    <w:rPr>
      <w:sz w:val="20"/>
    </w:rPr>
  </w:style>
  <w:style w:type="paragraph" w:customStyle="1" w:styleId="MarginIcons">
    <w:name w:val="Margin Icons"/>
    <w:basedOn w:val="BodyText"/>
    <w:rsid w:val="001E5743"/>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1E5743"/>
    <w:rPr>
      <w:rFonts w:ascii="Courier New" w:hAnsi="Courier New"/>
    </w:rPr>
  </w:style>
  <w:style w:type="paragraph" w:customStyle="1" w:styleId="NoteBullet">
    <w:name w:val="Note Bullet"/>
    <w:basedOn w:val="Note"/>
    <w:rsid w:val="001E5743"/>
    <w:pPr>
      <w:tabs>
        <w:tab w:val="clear" w:pos="680"/>
      </w:tabs>
      <w:spacing w:before="60" w:after="60"/>
    </w:pPr>
  </w:style>
  <w:style w:type="paragraph" w:customStyle="1" w:styleId="SubHeading2">
    <w:name w:val="SubHeading2"/>
    <w:basedOn w:val="HeadingBase"/>
    <w:rsid w:val="001E5743"/>
    <w:pPr>
      <w:spacing w:before="240" w:after="60"/>
    </w:pPr>
    <w:rPr>
      <w:sz w:val="20"/>
    </w:rPr>
  </w:style>
  <w:style w:type="paragraph" w:customStyle="1" w:styleId="SubHeading1">
    <w:name w:val="SubHeading1"/>
    <w:basedOn w:val="HeadingBase"/>
    <w:rsid w:val="001E5743"/>
    <w:pPr>
      <w:spacing w:before="240" w:after="60"/>
    </w:pPr>
    <w:rPr>
      <w:color w:val="918585"/>
      <w:sz w:val="22"/>
    </w:rPr>
  </w:style>
  <w:style w:type="paragraph" w:customStyle="1" w:styleId="SideHeading">
    <w:name w:val="Side Heading"/>
    <w:basedOn w:val="HeadingBase"/>
    <w:rsid w:val="001E574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E5743"/>
    <w:pPr>
      <w:numPr>
        <w:numId w:val="12"/>
      </w:numPr>
    </w:pPr>
  </w:style>
  <w:style w:type="paragraph" w:styleId="PlainText">
    <w:name w:val="Plain Text"/>
    <w:basedOn w:val="Normal"/>
    <w:link w:val="PlainTextChar"/>
    <w:rsid w:val="001E5743"/>
    <w:rPr>
      <w:sz w:val="20"/>
    </w:rPr>
  </w:style>
  <w:style w:type="character" w:customStyle="1" w:styleId="PlainTextChar">
    <w:name w:val="Plain Text Char"/>
    <w:basedOn w:val="DefaultParagraphFont"/>
    <w:link w:val="PlainText"/>
    <w:rsid w:val="001E5743"/>
    <w:rPr>
      <w:rFonts w:ascii="Courier New" w:eastAsia="Times New Roman" w:hAnsi="Courier New" w:cs="Times New Roman"/>
      <w:sz w:val="20"/>
      <w:szCs w:val="20"/>
      <w:lang w:val="en-US" w:eastAsia="en-US"/>
    </w:rPr>
  </w:style>
  <w:style w:type="character" w:customStyle="1" w:styleId="MenuOption">
    <w:name w:val="Menu Option"/>
    <w:rsid w:val="001E5743"/>
    <w:rPr>
      <w:b/>
      <w:smallCaps/>
    </w:rPr>
  </w:style>
  <w:style w:type="paragraph" w:customStyle="1" w:styleId="TableListNumber">
    <w:name w:val="Table List Number"/>
    <w:basedOn w:val="ListNumber"/>
    <w:rsid w:val="001E5743"/>
    <w:pPr>
      <w:numPr>
        <w:numId w:val="0"/>
      </w:numPr>
    </w:pPr>
  </w:style>
  <w:style w:type="paragraph" w:styleId="TOC4">
    <w:name w:val="toc 4"/>
    <w:basedOn w:val="TOCBase"/>
    <w:next w:val="Normal"/>
    <w:semiHidden/>
    <w:rsid w:val="001E5743"/>
    <w:pPr>
      <w:tabs>
        <w:tab w:val="right" w:leader="dot" w:pos="9071"/>
      </w:tabs>
      <w:ind w:left="1701"/>
    </w:pPr>
  </w:style>
  <w:style w:type="paragraph" w:customStyle="1" w:styleId="ListAlpha">
    <w:name w:val="List Alpha"/>
    <w:basedOn w:val="List"/>
    <w:rsid w:val="001E5743"/>
    <w:pPr>
      <w:numPr>
        <w:numId w:val="9"/>
      </w:numPr>
    </w:pPr>
  </w:style>
  <w:style w:type="paragraph" w:customStyle="1" w:styleId="ListAlpha2">
    <w:name w:val="List Alpha 2"/>
    <w:basedOn w:val="List2"/>
    <w:rsid w:val="001E5743"/>
    <w:pPr>
      <w:numPr>
        <w:numId w:val="8"/>
      </w:numPr>
    </w:pPr>
  </w:style>
  <w:style w:type="paragraph" w:styleId="List2">
    <w:name w:val="List 2"/>
    <w:basedOn w:val="BodyText"/>
    <w:rsid w:val="001E5743"/>
    <w:pPr>
      <w:tabs>
        <w:tab w:val="left" w:pos="680"/>
      </w:tabs>
      <w:spacing w:before="60" w:after="60"/>
      <w:ind w:left="680" w:hanging="340"/>
    </w:pPr>
  </w:style>
  <w:style w:type="paragraph" w:styleId="List3">
    <w:name w:val="List 3"/>
    <w:basedOn w:val="BodyText"/>
    <w:rsid w:val="001E5743"/>
    <w:pPr>
      <w:tabs>
        <w:tab w:val="left" w:pos="1021"/>
      </w:tabs>
      <w:spacing w:before="60" w:after="60"/>
      <w:ind w:left="1020" w:hanging="340"/>
    </w:pPr>
  </w:style>
  <w:style w:type="paragraph" w:styleId="List4">
    <w:name w:val="List 4"/>
    <w:basedOn w:val="BodyText"/>
    <w:rsid w:val="001E5743"/>
    <w:pPr>
      <w:tabs>
        <w:tab w:val="left" w:pos="1361"/>
      </w:tabs>
      <w:spacing w:before="60" w:after="60"/>
      <w:ind w:left="1361" w:hanging="340"/>
    </w:pPr>
  </w:style>
  <w:style w:type="paragraph" w:styleId="List5">
    <w:name w:val="List 5"/>
    <w:basedOn w:val="BodyText"/>
    <w:rsid w:val="001E5743"/>
    <w:pPr>
      <w:tabs>
        <w:tab w:val="left" w:pos="1701"/>
      </w:tabs>
      <w:spacing w:before="60" w:after="60"/>
      <w:ind w:left="1701" w:hanging="340"/>
    </w:pPr>
  </w:style>
  <w:style w:type="paragraph" w:styleId="ListBullet3">
    <w:name w:val="List Bullet 3"/>
    <w:basedOn w:val="List3"/>
    <w:rsid w:val="001E5743"/>
    <w:pPr>
      <w:numPr>
        <w:numId w:val="15"/>
      </w:numPr>
      <w:tabs>
        <w:tab w:val="clear" w:pos="1021"/>
      </w:tabs>
      <w:ind w:left="1037" w:hanging="357"/>
    </w:pPr>
  </w:style>
  <w:style w:type="paragraph" w:styleId="ListBullet4">
    <w:name w:val="List Bullet 4"/>
    <w:basedOn w:val="List4"/>
    <w:rsid w:val="001E5743"/>
    <w:pPr>
      <w:numPr>
        <w:numId w:val="3"/>
      </w:numPr>
    </w:pPr>
  </w:style>
  <w:style w:type="paragraph" w:styleId="ListBullet5">
    <w:name w:val="List Bullet 5"/>
    <w:basedOn w:val="List5"/>
    <w:rsid w:val="001E5743"/>
    <w:pPr>
      <w:numPr>
        <w:numId w:val="4"/>
      </w:numPr>
    </w:pPr>
  </w:style>
  <w:style w:type="paragraph" w:styleId="ListContinue2">
    <w:name w:val="List Continue 2"/>
    <w:basedOn w:val="List2"/>
    <w:rsid w:val="001E5743"/>
    <w:pPr>
      <w:ind w:firstLine="0"/>
    </w:pPr>
  </w:style>
  <w:style w:type="paragraph" w:styleId="ListContinue3">
    <w:name w:val="List Continue 3"/>
    <w:basedOn w:val="List3"/>
    <w:rsid w:val="001E5743"/>
    <w:pPr>
      <w:ind w:left="1021" w:firstLine="0"/>
    </w:pPr>
  </w:style>
  <w:style w:type="paragraph" w:styleId="ListContinue4">
    <w:name w:val="List Continue 4"/>
    <w:basedOn w:val="List4"/>
    <w:rsid w:val="001E5743"/>
    <w:pPr>
      <w:ind w:firstLine="0"/>
    </w:pPr>
  </w:style>
  <w:style w:type="paragraph" w:styleId="ListContinue5">
    <w:name w:val="List Continue 5"/>
    <w:basedOn w:val="List5"/>
    <w:rsid w:val="001E5743"/>
    <w:pPr>
      <w:ind w:firstLine="0"/>
    </w:pPr>
  </w:style>
  <w:style w:type="paragraph" w:styleId="ListNumber3">
    <w:name w:val="List Number 3"/>
    <w:basedOn w:val="List3"/>
    <w:rsid w:val="001E5743"/>
    <w:pPr>
      <w:numPr>
        <w:numId w:val="5"/>
      </w:numPr>
    </w:pPr>
  </w:style>
  <w:style w:type="paragraph" w:styleId="ListNumber4">
    <w:name w:val="List Number 4"/>
    <w:basedOn w:val="List4"/>
    <w:rsid w:val="001E5743"/>
    <w:pPr>
      <w:numPr>
        <w:numId w:val="6"/>
      </w:numPr>
    </w:pPr>
  </w:style>
  <w:style w:type="paragraph" w:styleId="ListNumber5">
    <w:name w:val="List Number 5"/>
    <w:basedOn w:val="List5"/>
    <w:rsid w:val="001E5743"/>
    <w:pPr>
      <w:numPr>
        <w:numId w:val="7"/>
      </w:numPr>
    </w:pPr>
  </w:style>
  <w:style w:type="paragraph" w:styleId="BlockText">
    <w:name w:val="Block Text"/>
    <w:basedOn w:val="Normal"/>
    <w:rsid w:val="001E5743"/>
    <w:pPr>
      <w:spacing w:after="120"/>
      <w:ind w:left="1440" w:right="1440"/>
    </w:pPr>
  </w:style>
  <w:style w:type="character" w:customStyle="1" w:styleId="Subscript">
    <w:name w:val="Subscript"/>
    <w:rsid w:val="001E5743"/>
    <w:rPr>
      <w:sz w:val="16"/>
      <w:vertAlign w:val="subscript"/>
    </w:rPr>
  </w:style>
  <w:style w:type="character" w:customStyle="1" w:styleId="Superscript">
    <w:name w:val="Superscript"/>
    <w:rsid w:val="001E5743"/>
    <w:rPr>
      <w:sz w:val="16"/>
      <w:vertAlign w:val="superscript"/>
    </w:rPr>
  </w:style>
  <w:style w:type="character" w:customStyle="1" w:styleId="Symbols">
    <w:name w:val="Symbols"/>
    <w:rsid w:val="001E5743"/>
    <w:rPr>
      <w:rFonts w:ascii="Symbol" w:hAnsi="Symbol"/>
    </w:rPr>
  </w:style>
  <w:style w:type="character" w:customStyle="1" w:styleId="MenuOptions">
    <w:name w:val="Menu Options"/>
    <w:rsid w:val="001E5743"/>
    <w:rPr>
      <w:rFonts w:ascii="Arial Narrow" w:hAnsi="Arial Narrow"/>
      <w:smallCaps/>
    </w:rPr>
  </w:style>
  <w:style w:type="character" w:customStyle="1" w:styleId="Buttons">
    <w:name w:val="Buttons"/>
    <w:rsid w:val="001E5743"/>
    <w:rPr>
      <w:b/>
    </w:rPr>
  </w:style>
  <w:style w:type="character" w:customStyle="1" w:styleId="Underlined">
    <w:name w:val="Underlined"/>
    <w:rsid w:val="001E5743"/>
    <w:rPr>
      <w:u w:val="single"/>
    </w:rPr>
  </w:style>
  <w:style w:type="paragraph" w:customStyle="1" w:styleId="TableBodyTextRight">
    <w:name w:val="Table Body Text Right"/>
    <w:basedOn w:val="TableBodyText"/>
    <w:rsid w:val="001E5743"/>
    <w:pPr>
      <w:widowControl w:val="0"/>
      <w:autoSpaceDE w:val="0"/>
      <w:autoSpaceDN w:val="0"/>
      <w:adjustRightInd w:val="0"/>
      <w:jc w:val="right"/>
    </w:pPr>
    <w:rPr>
      <w:rFonts w:cs="Arial"/>
      <w:szCs w:val="18"/>
    </w:rPr>
  </w:style>
  <w:style w:type="paragraph" w:customStyle="1" w:styleId="CopyrightText">
    <w:name w:val="Copyright Text"/>
    <w:basedOn w:val="BodyText"/>
    <w:rsid w:val="001E5743"/>
    <w:rPr>
      <w:sz w:val="18"/>
    </w:rPr>
  </w:style>
  <w:style w:type="paragraph" w:customStyle="1" w:styleId="BodySmallRight">
    <w:name w:val="Body Small Right"/>
    <w:basedOn w:val="BodyTextRight"/>
    <w:rsid w:val="001E5743"/>
    <w:rPr>
      <w:sz w:val="18"/>
      <w:szCs w:val="18"/>
    </w:rPr>
  </w:style>
  <w:style w:type="paragraph" w:customStyle="1" w:styleId="MarginEdition">
    <w:name w:val="Margin Edition"/>
    <w:basedOn w:val="MarginNote"/>
    <w:rsid w:val="001E5743"/>
    <w:pPr>
      <w:spacing w:before="0" w:after="0"/>
    </w:pPr>
    <w:rPr>
      <w:rFonts w:ascii="Times New Roman" w:hAnsi="Times New Roman"/>
      <w:color w:val="999999"/>
    </w:rPr>
  </w:style>
  <w:style w:type="paragraph" w:customStyle="1" w:styleId="Spacer">
    <w:name w:val="Spacer"/>
    <w:basedOn w:val="Normal"/>
    <w:rsid w:val="001E5743"/>
    <w:rPr>
      <w:sz w:val="2"/>
      <w:szCs w:val="2"/>
    </w:rPr>
  </w:style>
  <w:style w:type="character" w:customStyle="1" w:styleId="Small">
    <w:name w:val="Small"/>
    <w:rsid w:val="001E5743"/>
    <w:rPr>
      <w:sz w:val="16"/>
    </w:rPr>
  </w:style>
  <w:style w:type="paragraph" w:customStyle="1" w:styleId="WideTable">
    <w:name w:val="Wide Table"/>
    <w:basedOn w:val="Normal"/>
    <w:rsid w:val="001E5743"/>
    <w:pPr>
      <w:ind w:left="-1418"/>
    </w:pPr>
    <w:rPr>
      <w:sz w:val="2"/>
      <w:szCs w:val="2"/>
    </w:rPr>
  </w:style>
  <w:style w:type="character" w:styleId="PageNumber">
    <w:name w:val="page number"/>
    <w:rsid w:val="001E5743"/>
  </w:style>
  <w:style w:type="paragraph" w:styleId="Quote">
    <w:name w:val="Quote"/>
    <w:basedOn w:val="Heading1"/>
    <w:link w:val="QuoteChar"/>
    <w:qFormat/>
    <w:rsid w:val="001E5743"/>
    <w:rPr>
      <w:b w:val="0"/>
      <w:sz w:val="72"/>
      <w:szCs w:val="72"/>
      <w:lang w:val="en-NZ"/>
    </w:rPr>
  </w:style>
  <w:style w:type="character" w:customStyle="1" w:styleId="QuoteChar">
    <w:name w:val="Quote Char"/>
    <w:link w:val="Quote"/>
    <w:rsid w:val="001E574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E5743"/>
    <w:pPr>
      <w:pageBreakBefore/>
    </w:pPr>
  </w:style>
  <w:style w:type="paragraph" w:customStyle="1" w:styleId="Border">
    <w:name w:val="Border"/>
    <w:basedOn w:val="Normal"/>
    <w:qFormat/>
    <w:rsid w:val="001E5743"/>
    <w:pPr>
      <w:pBdr>
        <w:top w:val="single" w:sz="18" w:space="1" w:color="auto"/>
      </w:pBdr>
    </w:pPr>
    <w:rPr>
      <w:rFonts w:ascii="Times New Roman" w:hAnsi="Times New Roman"/>
      <w:color w:val="FFFFFF"/>
      <w:sz w:val="2"/>
    </w:rPr>
  </w:style>
  <w:style w:type="character" w:styleId="IntenseEmphasis">
    <w:name w:val="Intense Emphasis"/>
    <w:uiPriority w:val="21"/>
    <w:qFormat/>
    <w:rsid w:val="001E5743"/>
    <w:rPr>
      <w:b/>
      <w:bCs/>
      <w:i/>
      <w:iCs/>
      <w:color w:val="auto"/>
    </w:rPr>
  </w:style>
  <w:style w:type="paragraph" w:styleId="IntenseQuote">
    <w:name w:val="Intense Quote"/>
    <w:basedOn w:val="Normal"/>
    <w:next w:val="Normal"/>
    <w:link w:val="IntenseQuoteChar"/>
    <w:uiPriority w:val="30"/>
    <w:qFormat/>
    <w:rsid w:val="001E5743"/>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1E5743"/>
    <w:rPr>
      <w:rFonts w:ascii="Courier New" w:eastAsia="Times New Roman" w:hAnsi="Courier New" w:cs="Times New Roman"/>
      <w:b/>
      <w:bCs/>
      <w:i/>
      <w:iCs/>
      <w:szCs w:val="20"/>
      <w:lang w:val="en-US" w:eastAsia="en-US"/>
    </w:rPr>
  </w:style>
  <w:style w:type="character" w:styleId="SubtleReference">
    <w:name w:val="Subtle Reference"/>
    <w:uiPriority w:val="31"/>
    <w:qFormat/>
    <w:rsid w:val="001E5743"/>
    <w:rPr>
      <w:smallCaps/>
      <w:color w:val="auto"/>
      <w:u w:val="single"/>
    </w:rPr>
  </w:style>
  <w:style w:type="character" w:styleId="IntenseReference">
    <w:name w:val="Intense Reference"/>
    <w:uiPriority w:val="32"/>
    <w:qFormat/>
    <w:rsid w:val="001E5743"/>
    <w:rPr>
      <w:b/>
      <w:bCs/>
      <w:smallCaps/>
      <w:color w:val="auto"/>
      <w:spacing w:val="5"/>
      <w:u w:val="single"/>
    </w:rPr>
  </w:style>
  <w:style w:type="paragraph" w:customStyle="1" w:styleId="2ColumnHeading">
    <w:name w:val="2Column Heading"/>
    <w:basedOn w:val="BodyText"/>
    <w:qFormat/>
    <w:rsid w:val="001E5743"/>
    <w:pPr>
      <w:spacing w:after="60"/>
      <w:ind w:left="-2268"/>
    </w:pPr>
    <w:rPr>
      <w:b/>
    </w:rPr>
  </w:style>
  <w:style w:type="paragraph" w:customStyle="1" w:styleId="Heading1TOC">
    <w:name w:val="Heading1 TOC"/>
    <w:basedOn w:val="Normal"/>
    <w:qFormat/>
    <w:rsid w:val="001E5743"/>
    <w:pPr>
      <w:spacing w:before="240" w:after="120"/>
    </w:pPr>
    <w:rPr>
      <w:rFonts w:ascii="Times New Roman" w:hAnsi="Times New Roman"/>
      <w:b/>
      <w:sz w:val="32"/>
    </w:rPr>
  </w:style>
  <w:style w:type="paragraph" w:customStyle="1" w:styleId="Heading2TOC">
    <w:name w:val="Heading2 TOC"/>
    <w:basedOn w:val="Normal"/>
    <w:qFormat/>
    <w:rsid w:val="001E5743"/>
    <w:pPr>
      <w:spacing w:before="240" w:after="60"/>
    </w:pPr>
    <w:rPr>
      <w:rFonts w:ascii="Times New Roman" w:hAnsi="Times New Roman"/>
      <w:b/>
      <w:sz w:val="28"/>
    </w:rPr>
  </w:style>
  <w:style w:type="character" w:customStyle="1" w:styleId="Underline">
    <w:name w:val="Underline"/>
    <w:qFormat/>
    <w:rsid w:val="001E5743"/>
    <w:rPr>
      <w:u w:val="single"/>
    </w:rPr>
  </w:style>
  <w:style w:type="character" w:customStyle="1" w:styleId="BoldandItalics">
    <w:name w:val="Bold and Italics"/>
    <w:qFormat/>
    <w:rsid w:val="001E5743"/>
    <w:rPr>
      <w:b/>
      <w:i/>
      <w:u w:val="none"/>
    </w:rPr>
  </w:style>
  <w:style w:type="paragraph" w:styleId="BalloonText">
    <w:name w:val="Balloon Text"/>
    <w:basedOn w:val="Normal"/>
    <w:link w:val="BalloonTextChar"/>
    <w:rsid w:val="001E5743"/>
    <w:rPr>
      <w:rFonts w:ascii="Tahoma" w:hAnsi="Tahoma" w:cs="Tahoma"/>
      <w:sz w:val="16"/>
      <w:szCs w:val="16"/>
    </w:rPr>
  </w:style>
  <w:style w:type="character" w:customStyle="1" w:styleId="BalloonTextChar">
    <w:name w:val="Balloon Text Char"/>
    <w:link w:val="BalloonText"/>
    <w:rsid w:val="001E574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E5743"/>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1E5743"/>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1691</Words>
  <Characters>11081</Characters>
  <Application>Microsoft Office Word</Application>
  <DocSecurity>0</DocSecurity>
  <Lines>379</Lines>
  <Paragraphs>206</Paragraphs>
  <ScaleCrop>false</ScaleCrop>
  <Company>Author-it Software Corporation Ltd.</Company>
  <LinksUpToDate>false</LinksUpToDate>
  <CharactersWithSpaces>12694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MEM234007A Design fluid power systems</dc:title>
  <dc:subject>Approved</dc:subject>
  <dc:creator>Manufacturing Skills Australia</dc:creator>
  <cp:keywords>Release: 1</cp:keywords>
  <dc:description>Copyright © 1996-2007 Author-it Software Corporation Ltd., all rights reserved.</dc:description>
  <cp:lastModifiedBy>Andrew Campey</cp:lastModifiedBy>
  <cp:revision>3</cp:revision>
  <dcterms:created xsi:type="dcterms:W3CDTF">2012-05-26T18:19:00Z</dcterms:created>
  <dcterms:modified xsi:type="dcterms:W3CDTF">2012-05-26T18:19:00Z</dcterms:modified>
</cp:coreProperties>
</file>