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C49" w:rsidP="00890C49">
      <w:pPr>
        <w:pStyle w:val="Title"/>
      </w:pPr>
      <w:r>
        <w:fldChar w:fldCharType="begin"/>
      </w:r>
      <w:r>
        <w:instrText xml:space="preserve"> TITLE   \* MERGEFORMAT </w:instrText>
      </w:r>
      <w:r>
        <w:fldChar w:fldCharType="separate"/>
      </w:r>
      <w:r>
        <w:t>MEM234001A Plan and manage engineering-related projects or operations</w:t>
      </w:r>
      <w:r>
        <w:fldChar w:fldCharType="end"/>
      </w:r>
    </w:p>
    <w:p w:rsidR="00890C49" w:rsidP="00890C49">
      <w:pPr>
        <w:pStyle w:val="Version"/>
        <w:sectPr w:rsidSect="00565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509A" w:rsidP="0056509A">
      <w:pPr>
        <w:pStyle w:val="SuperHeading"/>
      </w:pPr>
      <w:r w:rsidRPr="0056509A">
        <w:t>MEM234001A Plan and manage engineering-related projects or operations</w:t>
      </w:r>
    </w:p>
    <w:p w:rsidR="00000000" w:rsidRPr="0056509A" w:rsidP="0056509A">
      <w:pPr>
        <w:pStyle w:val="Heading1"/>
      </w:pPr>
      <w:bookmarkStart w:id="1" w:name="O_657743"/>
      <w:bookmarkEnd w:id="1"/>
      <w:r w:rsidRPr="0056509A">
        <w:t>Modification History</w:t>
      </w:r>
    </w:p>
    <w:p w:rsidR="00000000" w:rsidRPr="0056509A" w:rsidP="0056509A">
      <w:pPr>
        <w:pStyle w:val="BodyText"/>
      </w:pPr>
      <w:r w:rsidRPr="0056509A">
        <w:t>Release 2 - Replacement of text missing from Element 3 PCs. Equivalent.</w:t>
      </w:r>
    </w:p>
    <w:p w:rsidR="00000000" w:rsidRPr="0056509A" w:rsidP="0056509A">
      <w:pPr>
        <w:pStyle w:val="AllowPageBreak"/>
      </w:pPr>
    </w:p>
    <w:p w:rsidR="00000000" w:rsidRPr="0056509A" w:rsidP="0056509A">
      <w:pPr>
        <w:pStyle w:val="Heading1"/>
      </w:pPr>
      <w:bookmarkStart w:id="2" w:name="O_657742"/>
      <w:bookmarkEnd w:id="2"/>
      <w:r w:rsidRPr="0056509A">
        <w:t>Unit Descriptor</w:t>
      </w:r>
    </w:p>
    <w:p w:rsidR="00000000" w:rsidRPr="0056509A" w:rsidP="0056509A">
      <w:pPr>
        <w:pStyle w:val="BodyText"/>
      </w:pPr>
      <w:r w:rsidRPr="0056509A">
        <w:t>This unit of competency covers the skills associated with high level planning and management of engineering-related projects or operations. The unit covers the skills required to plan, establish, maintain and manage complex engineering systems and resource</w:t>
      </w:r>
      <w:r w:rsidRPr="0056509A">
        <w:t>s associated with time-defined engineering-related projects or high level engineering operations management in a manufacturing or engineering-related organisation.</w:t>
      </w:r>
    </w:p>
    <w:p w:rsidR="00000000" w:rsidRPr="0056509A" w:rsidP="0056509A">
      <w:pPr>
        <w:pStyle w:val="AllowPageBreak"/>
      </w:pPr>
    </w:p>
    <w:p w:rsidR="00000000" w:rsidRPr="0056509A" w:rsidP="0056509A">
      <w:pPr>
        <w:pStyle w:val="Heading1"/>
      </w:pPr>
      <w:bookmarkStart w:id="3" w:name="O_657741"/>
      <w:bookmarkEnd w:id="3"/>
      <w:r w:rsidRPr="0056509A">
        <w:t>Application of the Unit</w:t>
      </w:r>
    </w:p>
    <w:p w:rsidR="00000000" w:rsidRPr="0056509A" w:rsidP="0056509A">
      <w:pPr>
        <w:pStyle w:val="BodyText"/>
      </w:pPr>
      <w:r w:rsidRPr="0056509A">
        <w:t>This unit applies to the planning and management of</w:t>
      </w:r>
      <w:r w:rsidRPr="0056509A">
        <w:t xml:space="preserve"> engineering-related projects or operations. Activities include significant project or operations management responsibilities and may require personal and electronic communication, self-directed and group activities, business planning, project or operation</w:t>
      </w:r>
      <w:r w:rsidRPr="0056509A">
        <w:t>s planning and scheduling, and an understanding of the technology, skills and techniques, and quality aspects required by the project or operations.</w:t>
      </w:r>
    </w:p>
    <w:p w:rsidR="00000000" w:rsidRPr="0056509A" w:rsidP="0056509A">
      <w:pPr>
        <w:pStyle w:val="AllowPageBreak"/>
      </w:pPr>
    </w:p>
    <w:p w:rsidR="00000000" w:rsidRPr="0056509A" w:rsidP="0056509A">
      <w:pPr>
        <w:pStyle w:val="Heading1"/>
      </w:pPr>
      <w:bookmarkStart w:id="4" w:name="O_657740"/>
      <w:bookmarkEnd w:id="4"/>
      <w:r w:rsidRPr="0056509A">
        <w:t>Licensing/Regulatory Information</w:t>
      </w:r>
    </w:p>
    <w:p w:rsidR="00000000" w:rsidRPr="0056509A" w:rsidP="0056509A">
      <w:pPr>
        <w:pStyle w:val="BodyText"/>
      </w:pPr>
      <w:r w:rsidRPr="0056509A">
        <w:t>Not applicable.</w:t>
      </w:r>
    </w:p>
    <w:p w:rsidR="00000000" w:rsidRPr="0056509A" w:rsidP="0056509A">
      <w:pPr>
        <w:pStyle w:val="AllowPageBreak"/>
      </w:pPr>
    </w:p>
    <w:p w:rsidR="00000000" w:rsidRPr="0056509A" w:rsidP="0056509A">
      <w:pPr>
        <w:pStyle w:val="Heading1"/>
      </w:pPr>
      <w:bookmarkStart w:id="5" w:name="O_657739"/>
      <w:bookmarkEnd w:id="5"/>
      <w:r w:rsidRPr="0056509A">
        <w:t>Pre-Requisites</w:t>
      </w:r>
    </w:p>
    <w:p w:rsidR="00000000" w:rsidRPr="0056509A" w:rsidP="0056509A">
      <w:pPr>
        <w:pStyle w:val="BodyText"/>
      </w:pPr>
      <w:r w:rsidRPr="0056509A">
        <w:t>Not appli</w:t>
      </w:r>
      <w:r w:rsidRPr="0056509A">
        <w:t>cable.</w:t>
      </w:r>
    </w:p>
    <w:p w:rsidR="00000000" w:rsidRPr="0056509A" w:rsidP="0056509A">
      <w:pPr>
        <w:pStyle w:val="AllowPageBreak"/>
      </w:pPr>
    </w:p>
    <w:p w:rsidR="00000000" w:rsidRPr="0056509A" w:rsidP="0056509A">
      <w:pPr>
        <w:pStyle w:val="Heading1"/>
      </w:pPr>
      <w:bookmarkStart w:id="6" w:name="O_657738"/>
      <w:bookmarkEnd w:id="6"/>
      <w:r w:rsidRPr="0056509A">
        <w:t>Employability Skills Information</w:t>
      </w:r>
    </w:p>
    <w:p w:rsidR="00000000" w:rsidRPr="0056509A" w:rsidP="0056509A">
      <w:pPr>
        <w:pStyle w:val="BodyText"/>
      </w:pPr>
      <w:r w:rsidRPr="0056509A">
        <w:t>This unit contains employability skills.</w:t>
      </w:r>
    </w:p>
    <w:p w:rsidR="00000000" w:rsidRPr="0056509A" w:rsidP="0056509A">
      <w:pPr>
        <w:pStyle w:val="AllowPageBreak"/>
      </w:pPr>
    </w:p>
    <w:p w:rsidR="00000000" w:rsidRPr="0056509A" w:rsidP="0056509A">
      <w:pPr>
        <w:pStyle w:val="Heading1"/>
      </w:pPr>
      <w:bookmarkStart w:id="7" w:name="O_657737"/>
      <w:bookmarkEnd w:id="7"/>
      <w:r w:rsidRPr="0056509A">
        <w:t>Elements and Performance Criteria Pre-Content</w:t>
      </w:r>
    </w:p>
    <w:tbl>
      <w:tblPr>
        <w:tblW w:w="0" w:type="auto"/>
        <w:tblLayout w:type="fixed"/>
        <w:tblCellMar>
          <w:left w:w="62" w:type="dxa"/>
          <w:right w:w="62" w:type="dxa"/>
        </w:tblCellMar>
        <w:tblLook w:val="0000"/>
      </w:tblPr>
      <w:tblGrid>
        <w:gridCol w:w="2640"/>
        <w:gridCol w:w="6380"/>
      </w:tblGrid>
      <w:tr w:rsidTr="0056509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Performance criteria describe</w:t>
            </w:r>
            <w:r w:rsidRPr="0056509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6509A">
              <w:t>the evidence guide.</w:t>
            </w:r>
          </w:p>
        </w:tc>
      </w:tr>
    </w:tbl>
    <w:p w:rsidR="00000000" w:rsidRPr="0056509A" w:rsidP="0056509A">
      <w:pPr>
        <w:pStyle w:val="BodyText"/>
      </w:pPr>
    </w:p>
    <w:p w:rsidR="00000000" w:rsidRPr="0056509A" w:rsidP="0056509A">
      <w:pPr>
        <w:pStyle w:val="AllowPageBreak"/>
      </w:pPr>
    </w:p>
    <w:p w:rsidR="00000000" w:rsidRPr="0056509A" w:rsidP="0056509A">
      <w:pPr>
        <w:pStyle w:val="Heading1"/>
      </w:pPr>
      <w:bookmarkStart w:id="8" w:name="O_657736"/>
      <w:bookmarkEnd w:id="8"/>
      <w:r w:rsidRPr="005650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w:t>
            </w:r>
          </w:p>
        </w:tc>
        <w:tc>
          <w:tcPr>
            <w:tcW w:w="1962" w:type="dxa"/>
            <w:vMerge w:val="restart"/>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Establish parameters for project or operations management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1.1</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Establish budget and control measures for project or operations to conform to the business plan</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1.2</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Prepare project or operations management plan to conform with the business plan</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1.3</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Establish procurement requirements</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1.4</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Establish the need and provide for appropriate technical and professional assistance</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1.5</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Establish physical resources requirements</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1.6</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Establish human resources and skills development requirements</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1.7</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Establish compliance and environmental requirements for project or operation, including occupational health and safety (OHS) requirements, codes of practice, regulations, standards and other regulatory requirements, and enterprise procedures</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1.8</w:t>
            </w:r>
          </w:p>
        </w:tc>
        <w:tc>
          <w:tcPr>
            <w:tcW w:w="5610" w:type="dxa"/>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Carry o</w:t>
            </w:r>
            <w:r w:rsidRPr="0056509A">
              <w:t>ut required project and operations modelling and calculations using appropriate modelling and analysis software</w:t>
            </w:r>
          </w:p>
        </w:tc>
      </w:tr>
    </w:tbl>
    <w:p w:rsidR="00000000" w:rsidRPr="0056509A" w:rsidP="0056509A">
      <w:pPr>
        <w:pStyle w:val="BodyText"/>
      </w:pPr>
    </w:p>
    <w:tbl>
      <w:tblPr>
        <w:tblW w:w="0" w:type="auto"/>
        <w:tblLayout w:type="fixed"/>
        <w:tblCellMar>
          <w:left w:w="62" w:type="dxa"/>
          <w:right w:w="62" w:type="dxa"/>
        </w:tblCellMar>
        <w:tblLook w:val="0000"/>
      </w:tblPr>
      <w:tblGrid>
        <w:gridCol w:w="678"/>
        <w:gridCol w:w="1962"/>
        <w:gridCol w:w="770"/>
        <w:gridCol w:w="5610"/>
      </w:tblGrid>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2</w:t>
            </w:r>
          </w:p>
        </w:tc>
        <w:tc>
          <w:tcPr>
            <w:tcW w:w="1962" w:type="dxa"/>
            <w:vMerge w:val="restart"/>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Implement project or operations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2.1</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Select an appropriate team and establish communication and cooperation within the team</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2.2</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Review and agree on plans, schedules and requirements with the team, assign responsibilities within the team, and establish other functional groups and expert support, as required</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2.3</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 xml:space="preserve">Determine internal and external reporting requirements, </w:t>
            </w:r>
            <w:r w:rsidRPr="0056509A">
              <w:t xml:space="preserve">including content, regulatory compliance, schedule and sign-off arrangements </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2.4</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 xml:space="preserve">Establish suppliers, contractors and delivery schedules </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2.5</w:t>
            </w:r>
          </w:p>
        </w:tc>
        <w:tc>
          <w:tcPr>
            <w:tcW w:w="5610" w:type="dxa"/>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Arrange for any required recruitment and train</w:t>
            </w:r>
            <w:r w:rsidRPr="0056509A">
              <w:t xml:space="preserve">ing of employees </w:t>
            </w:r>
          </w:p>
        </w:tc>
      </w:tr>
    </w:tbl>
    <w:p w:rsidR="00000000" w:rsidRPr="0056509A" w:rsidP="0056509A">
      <w:pPr>
        <w:pStyle w:val="BodyText"/>
      </w:pPr>
    </w:p>
    <w:tbl>
      <w:tblPr>
        <w:tblW w:w="0" w:type="auto"/>
        <w:tblLayout w:type="fixed"/>
        <w:tblCellMar>
          <w:left w:w="62" w:type="dxa"/>
          <w:right w:w="62" w:type="dxa"/>
        </w:tblCellMar>
        <w:tblLook w:val="0000"/>
      </w:tblPr>
      <w:tblGrid>
        <w:gridCol w:w="678"/>
        <w:gridCol w:w="1962"/>
        <w:gridCol w:w="770"/>
        <w:gridCol w:w="5610"/>
      </w:tblGrid>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3</w:t>
            </w:r>
          </w:p>
        </w:tc>
        <w:tc>
          <w:tcPr>
            <w:tcW w:w="1962" w:type="dxa"/>
            <w:vMerge w:val="restart"/>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Monitor and review accountability for project or operations implementation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3.1</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Monitor, review and maintain records of operations or project for accountability against the project objectives, and schedule and cost budget, including r</w:t>
            </w:r>
            <w:r w:rsidRPr="0056509A">
              <w:t>equired quality outcomes</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3.2</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Monitor, review and maintain records of regulatory compliance, including enterprise agreements or awards, OHS, codes of practice and other legislative requirements, environmental and social obligations, and ethical practice</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3.3</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Maintain records of professional, trades and industry contacts, sources of information and resources used in the implementation of the project or operation</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3.4</w:t>
            </w:r>
          </w:p>
        </w:tc>
        <w:tc>
          <w:tcPr>
            <w:tcW w:w="5610" w:type="dxa"/>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Establish, monitor and review a schedule of procurement requirements and associated co</w:t>
            </w:r>
            <w:r w:rsidRPr="0056509A">
              <w:t>ntracts and any installation requirements</w:t>
            </w:r>
          </w:p>
        </w:tc>
      </w:tr>
    </w:tbl>
    <w:p w:rsidR="00000000" w:rsidRPr="0056509A" w:rsidP="0056509A">
      <w:pPr>
        <w:pStyle w:val="BodyText"/>
      </w:pPr>
    </w:p>
    <w:tbl>
      <w:tblPr>
        <w:tblW w:w="0" w:type="auto"/>
        <w:tblLayout w:type="fixed"/>
        <w:tblCellMar>
          <w:left w:w="62" w:type="dxa"/>
          <w:right w:w="62" w:type="dxa"/>
        </w:tblCellMar>
        <w:tblLook w:val="0000"/>
      </w:tblPr>
      <w:tblGrid>
        <w:gridCol w:w="678"/>
        <w:gridCol w:w="1962"/>
        <w:gridCol w:w="770"/>
        <w:gridCol w:w="5610"/>
      </w:tblGrid>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4</w:t>
            </w:r>
          </w:p>
        </w:tc>
        <w:tc>
          <w:tcPr>
            <w:tcW w:w="1962" w:type="dxa"/>
            <w:vMerge w:val="restart"/>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Manage progress of implementation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4.1</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 xml:space="preserve">Establish mechanisms to manage constraints and contingencies, including coordination with team members, project stakeholders and contractors </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4.2</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Adjust short-term planning and schedules, as required</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4.3</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Manage technical support, specialist and professionals services to meet schedules, budgets and quality and performance requirements</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4.4</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Apply principles of continuous improvement to implementa</w:t>
            </w:r>
            <w:r w:rsidRPr="0056509A">
              <w:t>tion</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4.5</w:t>
            </w:r>
          </w:p>
        </w:tc>
        <w:tc>
          <w:tcPr>
            <w:tcW w:w="561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Document the project outcomes against the project requirements, as required</w:t>
            </w:r>
          </w:p>
        </w:tc>
      </w:tr>
      <w:tr w:rsidTr="00565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4.6</w:t>
            </w:r>
          </w:p>
        </w:tc>
        <w:tc>
          <w:tcPr>
            <w:tcW w:w="5610" w:type="dxa"/>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Supervise the completion of project, including sign-off and completion of required documentation of the project, as required</w:t>
            </w:r>
          </w:p>
        </w:tc>
      </w:tr>
    </w:tbl>
    <w:p w:rsidR="00890C49" w:rsidP="0056509A">
      <w:pPr>
        <w:pStyle w:val="BodyText"/>
      </w:pPr>
    </w:p>
    <w:p w:rsidR="00890C49" w:rsidP="0056509A">
      <w:pPr>
        <w:pStyle w:val="BodyText"/>
      </w:pPr>
    </w:p>
    <w:p w:rsidR="00000000" w:rsidRPr="0056509A" w:rsidP="0056509A">
      <w:pPr>
        <w:pStyle w:val="Heading1"/>
      </w:pPr>
      <w:bookmarkStart w:id="9" w:name="O_657735"/>
      <w:bookmarkEnd w:id="9"/>
      <w:r w:rsidRPr="0056509A">
        <w:t>Required Skills and Knowledge</w:t>
      </w:r>
    </w:p>
    <w:tbl>
      <w:tblPr>
        <w:tblW w:w="9570" w:type="dxa"/>
        <w:tblLayout w:type="fixed"/>
        <w:tblCellMar>
          <w:left w:w="62" w:type="dxa"/>
          <w:right w:w="62" w:type="dxa"/>
        </w:tblCellMar>
        <w:tblLook w:val="0000"/>
      </w:tblPr>
      <w:tblGrid>
        <w:gridCol w:w="9570"/>
      </w:tblGrid>
      <w:tr w:rsidTr="0056509A">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t>This section describes the skills and knowledge required for this unit.</w:t>
            </w:r>
          </w:p>
        </w:tc>
      </w:tr>
      <w:tr w:rsidTr="0056509A">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rPr>
                <w:rStyle w:val="SpecialBold"/>
              </w:rPr>
              <w:t>Required skills</w:t>
            </w:r>
          </w:p>
        </w:tc>
      </w:tr>
      <w:tr w:rsidTr="0056509A">
        <w:tblPrEx>
          <w:tblW w:w="9570" w:type="dxa"/>
          <w:tblLayout w:type="fixed"/>
          <w:tblCellMar>
            <w:left w:w="62" w:type="dxa"/>
            <w:right w:w="62" w:type="dxa"/>
          </w:tblCellMar>
          <w:tblLook w:val="0000"/>
        </w:tblPrEx>
        <w:trPr>
          <w:trHeight w:val="792"/>
        </w:trPr>
        <w:tc>
          <w:tcPr>
            <w:tcW w:w="9570" w:type="dxa"/>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Required skills include:</w:t>
            </w:r>
          </w:p>
          <w:p w:rsidR="00000000" w:rsidRPr="0056509A" w:rsidP="0056509A">
            <w:pPr>
              <w:pStyle w:val="ListBullet"/>
            </w:pPr>
            <w:r w:rsidRPr="0056509A">
              <w:t xml:space="preserve">ensuring project or operations activities are accurately identified and implemented </w:t>
            </w:r>
            <w:r w:rsidRPr="0056509A">
              <w:t>in priority order in accordance with implementation schedules</w:t>
            </w:r>
          </w:p>
          <w:p w:rsidR="00000000" w:rsidRPr="0056509A" w:rsidP="0056509A">
            <w:pPr>
              <w:pStyle w:val="ListBullet"/>
            </w:pPr>
            <w:r w:rsidRPr="0056509A">
              <w:t>investigating and validating the suitability of performance analysis, modelling and simulation software</w:t>
            </w:r>
          </w:p>
          <w:p w:rsidR="00000000" w:rsidRPr="0056509A" w:rsidP="0056509A">
            <w:pPr>
              <w:pStyle w:val="ListBullet"/>
            </w:pPr>
            <w:r w:rsidRPr="0056509A">
              <w:t>identifying potential implications for the project or operation from non-engineering conte</w:t>
            </w:r>
            <w:r w:rsidRPr="0056509A">
              <w:t>xts, including:</w:t>
            </w:r>
          </w:p>
          <w:p w:rsidR="00000000" w:rsidRPr="0056509A" w:rsidP="0056509A">
            <w:pPr>
              <w:pStyle w:val="ListBullet2"/>
            </w:pPr>
            <w:r w:rsidRPr="0056509A">
              <w:t>competitive environment for the organisation</w:t>
            </w:r>
          </w:p>
          <w:p w:rsidR="00000000" w:rsidRPr="0056509A" w:rsidP="0056509A">
            <w:pPr>
              <w:pStyle w:val="ListBullet2"/>
            </w:pPr>
            <w:r w:rsidRPr="0056509A">
              <w:t>customer and supplier relationships</w:t>
            </w:r>
          </w:p>
          <w:p w:rsidR="00000000" w:rsidRPr="0056509A" w:rsidP="0056509A">
            <w:pPr>
              <w:pStyle w:val="ListBullet2"/>
            </w:pPr>
            <w:r w:rsidRPr="0056509A">
              <w:t>labour and skill supply and demand</w:t>
            </w:r>
          </w:p>
          <w:p w:rsidR="00000000" w:rsidRPr="0056509A" w:rsidP="0056509A">
            <w:pPr>
              <w:pStyle w:val="ListBullet2"/>
            </w:pPr>
            <w:r w:rsidRPr="0056509A">
              <w:t xml:space="preserve">industrial relations </w:t>
            </w:r>
          </w:p>
          <w:p w:rsidR="00000000" w:rsidRPr="0056509A" w:rsidP="0056509A">
            <w:pPr>
              <w:pStyle w:val="ListBullet2"/>
            </w:pPr>
            <w:r w:rsidRPr="0056509A">
              <w:t>regulatory environment</w:t>
            </w:r>
          </w:p>
          <w:p w:rsidR="00000000" w:rsidRPr="0056509A" w:rsidP="0056509A">
            <w:pPr>
              <w:pStyle w:val="ListBullet"/>
            </w:pPr>
            <w:r w:rsidRPr="0056509A">
              <w:t xml:space="preserve">managing complex engineering-related projects and operations </w:t>
            </w:r>
          </w:p>
          <w:p w:rsidR="00000000" w:rsidRPr="0056509A" w:rsidP="0056509A">
            <w:pPr>
              <w:pStyle w:val="ListBullet"/>
            </w:pPr>
            <w:r w:rsidRPr="0056509A">
              <w:t>managing the interrelationships between concurrent engineering techniques, electronic data control and supervisory systems</w:t>
            </w:r>
          </w:p>
          <w:p w:rsidR="00000000" w:rsidRPr="0056509A" w:rsidP="0056509A">
            <w:pPr>
              <w:pStyle w:val="ListBullet"/>
            </w:pPr>
            <w:r w:rsidRPr="0056509A">
              <w:t>managing roles, responsibilities and levels of authority, and delegating, as appropriate, to team members and in accordance with proj</w:t>
            </w:r>
            <w:r w:rsidRPr="0056509A">
              <w:t>ect and operation schedules</w:t>
            </w:r>
          </w:p>
          <w:p w:rsidR="00000000" w:rsidRPr="0056509A" w:rsidP="0056509A">
            <w:pPr>
              <w:pStyle w:val="ListBullet"/>
            </w:pPr>
            <w:r w:rsidRPr="0056509A">
              <w:t>evaluating projects and operations for feasibility against business plan, including relevant engineering and financial calculations and analysis</w:t>
            </w:r>
          </w:p>
          <w:p w:rsidR="00000000" w:rsidP="0056509A">
            <w:pPr>
              <w:pStyle w:val="ListBullet"/>
              <w:rPr>
                <w:lang w:val="en-NZ"/>
              </w:rPr>
            </w:pPr>
            <w:r w:rsidRPr="0056509A">
              <w:t>communicating, negotiating and reviewing actions with relevant stakeholders and tea</w:t>
            </w:r>
            <w:r w:rsidRPr="0056509A">
              <w:t xml:space="preserve">m members </w:t>
            </w:r>
          </w:p>
        </w:tc>
      </w:tr>
      <w:tr w:rsidTr="0056509A">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p>
        </w:tc>
      </w:tr>
      <w:tr w:rsidTr="0056509A">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56509A">
            <w:pPr>
              <w:pStyle w:val="BodyText"/>
              <w:rPr>
                <w:lang w:val="en-NZ"/>
              </w:rPr>
            </w:pPr>
            <w:r w:rsidRPr="0056509A">
              <w:rPr>
                <w:rStyle w:val="SpecialBold"/>
              </w:rPr>
              <w:t>Required knowledge</w:t>
            </w:r>
          </w:p>
        </w:tc>
      </w:tr>
      <w:tr w:rsidTr="0056509A">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56509A" w:rsidP="0056509A">
            <w:pPr>
              <w:pStyle w:val="BodyText"/>
            </w:pPr>
            <w:r w:rsidRPr="0056509A">
              <w:t>Required knowledge includes:</w:t>
            </w:r>
          </w:p>
          <w:p w:rsidR="00000000" w:rsidRPr="0056509A" w:rsidP="0056509A">
            <w:pPr>
              <w:pStyle w:val="ListBullet"/>
            </w:pPr>
            <w:r w:rsidRPr="0056509A">
              <w:t>personal authorities and priorities for projects or operations</w:t>
            </w:r>
          </w:p>
          <w:p w:rsidR="00000000" w:rsidRPr="0056509A" w:rsidP="0056509A">
            <w:pPr>
              <w:pStyle w:val="ListBullet"/>
            </w:pPr>
            <w:r w:rsidRPr="0056509A">
              <w:t>current options and trends in performance analysis, project and financial modelling, engineering-related modelling and simulation software, including underpinning program and software validation techniques</w:t>
            </w:r>
          </w:p>
          <w:p w:rsidR="00000000" w:rsidRPr="0056509A" w:rsidP="0056509A">
            <w:pPr>
              <w:pStyle w:val="ListBullet"/>
            </w:pPr>
            <w:r w:rsidRPr="0056509A">
              <w:t>budget and control measurement and analysis techni</w:t>
            </w:r>
            <w:r w:rsidRPr="0056509A">
              <w:t>ques for project or operations management</w:t>
            </w:r>
          </w:p>
          <w:p w:rsidR="00000000" w:rsidRPr="0056509A" w:rsidP="0056509A">
            <w:pPr>
              <w:pStyle w:val="ListBullet"/>
            </w:pPr>
            <w:r w:rsidRPr="0056509A">
              <w:t>project plan and schedule from project design activities</w:t>
            </w:r>
          </w:p>
          <w:p w:rsidR="00000000" w:rsidRPr="0056509A" w:rsidP="0056509A">
            <w:pPr>
              <w:pStyle w:val="ListBullet"/>
            </w:pPr>
            <w:r w:rsidRPr="0056509A">
              <w:t>physical resource availability for project or operations</w:t>
            </w:r>
          </w:p>
          <w:p w:rsidR="00000000" w:rsidRPr="0056509A" w:rsidP="0056509A">
            <w:pPr>
              <w:pStyle w:val="ListBullet"/>
            </w:pPr>
            <w:r w:rsidRPr="0056509A">
              <w:t xml:space="preserve">human resource/skills availability for engineering-related projects </w:t>
            </w:r>
          </w:p>
          <w:p w:rsidR="00000000" w:rsidRPr="0056509A" w:rsidP="0056509A">
            <w:pPr>
              <w:pStyle w:val="ListBullet"/>
            </w:pPr>
            <w:r w:rsidRPr="0056509A">
              <w:t>accountability –</w:t>
            </w:r>
            <w:r w:rsidRPr="0056509A">
              <w:t xml:space="preserve"> audit, recording and implementation requirements for projects or operations, such as tenders, contracts, schedules, budgets, personnel and resource allocations, and financial management procedures and standard operating procedures, including maintenance p</w:t>
            </w:r>
            <w:r w:rsidRPr="0056509A">
              <w:t>rocedures</w:t>
            </w:r>
          </w:p>
          <w:p w:rsidR="00000000" w:rsidRPr="0056509A" w:rsidP="0056509A">
            <w:pPr>
              <w:pStyle w:val="ListBullet"/>
            </w:pPr>
            <w:r w:rsidRPr="0056509A">
              <w:t>technical documentation management, graphics and specifications and records of meetings, communications, negotiations, and decisions and agreements with stakeholders</w:t>
            </w:r>
          </w:p>
          <w:p w:rsidR="00000000" w:rsidRPr="0056509A" w:rsidP="0056509A">
            <w:pPr>
              <w:pStyle w:val="ListBullet"/>
            </w:pPr>
            <w:r w:rsidRPr="0056509A">
              <w:t>sources of information and resources, including:</w:t>
            </w:r>
          </w:p>
          <w:p w:rsidR="00000000" w:rsidRPr="0056509A" w:rsidP="0056509A">
            <w:pPr>
              <w:pStyle w:val="ListBullet2"/>
            </w:pPr>
            <w:r w:rsidRPr="0056509A">
              <w:t>professional services</w:t>
            </w:r>
          </w:p>
          <w:p w:rsidR="00000000" w:rsidRPr="0056509A" w:rsidP="0056509A">
            <w:pPr>
              <w:pStyle w:val="ListBullet2"/>
            </w:pPr>
            <w:r w:rsidRPr="0056509A">
              <w:t>finance</w:t>
            </w:r>
          </w:p>
          <w:p w:rsidR="00000000" w:rsidRPr="0056509A" w:rsidP="0056509A">
            <w:pPr>
              <w:pStyle w:val="ListBullet2"/>
            </w:pPr>
            <w:r w:rsidRPr="0056509A">
              <w:t>accounts</w:t>
            </w:r>
          </w:p>
          <w:p w:rsidR="00000000" w:rsidRPr="0056509A" w:rsidP="0056509A">
            <w:pPr>
              <w:pStyle w:val="ListBullet2"/>
            </w:pPr>
            <w:r w:rsidRPr="0056509A">
              <w:t>taxation</w:t>
            </w:r>
          </w:p>
          <w:p w:rsidR="00000000" w:rsidRPr="0056509A" w:rsidP="0056509A">
            <w:pPr>
              <w:pStyle w:val="ListBullet2"/>
            </w:pPr>
            <w:r w:rsidRPr="0056509A">
              <w:t>legal</w:t>
            </w:r>
          </w:p>
          <w:p w:rsidR="00000000" w:rsidRPr="0056509A" w:rsidP="0056509A">
            <w:pPr>
              <w:pStyle w:val="ListBullet2"/>
            </w:pPr>
            <w:r w:rsidRPr="0056509A">
              <w:t xml:space="preserve">insurance </w:t>
            </w:r>
          </w:p>
          <w:p w:rsidR="00000000" w:rsidRPr="0056509A" w:rsidP="0056509A">
            <w:pPr>
              <w:pStyle w:val="ListBullet2"/>
            </w:pPr>
            <w:r w:rsidRPr="0056509A">
              <w:t>human resources</w:t>
            </w:r>
          </w:p>
          <w:p w:rsidR="00000000" w:rsidRPr="0056509A" w:rsidP="0056509A">
            <w:pPr>
              <w:pStyle w:val="ListBullet2"/>
            </w:pPr>
            <w:r w:rsidRPr="0056509A">
              <w:t>trade and industry contacts</w:t>
            </w:r>
          </w:p>
          <w:p w:rsidR="00000000" w:rsidRPr="0056509A" w:rsidP="0056509A">
            <w:pPr>
              <w:pStyle w:val="ListBullet"/>
            </w:pPr>
            <w:r w:rsidRPr="0056509A">
              <w:t>contemporary contingency and constraints management approaches</w:t>
            </w:r>
          </w:p>
          <w:p w:rsidR="00000000" w:rsidRPr="0056509A" w:rsidP="0056509A">
            <w:pPr>
              <w:pStyle w:val="ListBullet"/>
            </w:pPr>
            <w:r w:rsidRPr="0056509A">
              <w:t>implications for engineering projects or operations associated with typical financial planning and accounting processes which may relate to an engineering project or operation such as:</w:t>
            </w:r>
          </w:p>
          <w:p w:rsidR="00000000" w:rsidRPr="0056509A" w:rsidP="0056509A">
            <w:pPr>
              <w:pStyle w:val="ListBullet2"/>
            </w:pPr>
            <w:r w:rsidRPr="0056509A">
              <w:t>capital flow and liquidity</w:t>
            </w:r>
          </w:p>
          <w:p w:rsidR="00000000" w:rsidRPr="0056509A" w:rsidP="0056509A">
            <w:pPr>
              <w:pStyle w:val="ListBullet2"/>
            </w:pPr>
            <w:r w:rsidRPr="0056509A">
              <w:t>assets and liabilities</w:t>
            </w:r>
          </w:p>
          <w:p w:rsidR="00000000" w:rsidRPr="0056509A" w:rsidP="0056509A">
            <w:pPr>
              <w:pStyle w:val="ListBullet2"/>
            </w:pPr>
            <w:r w:rsidRPr="0056509A">
              <w:t>depreciation</w:t>
            </w:r>
          </w:p>
          <w:p w:rsidR="00000000" w:rsidRPr="0056509A" w:rsidP="0056509A">
            <w:pPr>
              <w:pStyle w:val="ListBullet2"/>
            </w:pPr>
            <w:r w:rsidRPr="0056509A">
              <w:t>balance</w:t>
            </w:r>
            <w:r w:rsidRPr="0056509A">
              <w:t xml:space="preserve"> sheet </w:t>
            </w:r>
          </w:p>
          <w:p w:rsidR="00000000" w:rsidRPr="0056509A" w:rsidP="0056509A">
            <w:pPr>
              <w:pStyle w:val="ListBullet2"/>
            </w:pPr>
            <w:r w:rsidRPr="0056509A">
              <w:t>costing</w:t>
            </w:r>
          </w:p>
          <w:p w:rsidR="00000000" w:rsidRPr="0056509A" w:rsidP="0056509A">
            <w:pPr>
              <w:pStyle w:val="ListBullet2"/>
            </w:pPr>
            <w:r w:rsidRPr="0056509A">
              <w:t>budgeting and cost control</w:t>
            </w:r>
          </w:p>
          <w:p w:rsidR="00000000" w:rsidRPr="0056509A" w:rsidP="0056509A">
            <w:pPr>
              <w:pStyle w:val="ListBullet2"/>
            </w:pPr>
            <w:r w:rsidRPr="0056509A">
              <w:t>break-even analysis</w:t>
            </w:r>
          </w:p>
          <w:p w:rsidR="00000000" w:rsidRPr="0056509A" w:rsidP="0056509A">
            <w:pPr>
              <w:pStyle w:val="ListBullet2"/>
            </w:pPr>
            <w:r w:rsidRPr="0056509A">
              <w:t>profit and loss</w:t>
            </w:r>
          </w:p>
          <w:p w:rsidR="00000000" w:rsidRPr="0056509A" w:rsidP="0056509A">
            <w:pPr>
              <w:pStyle w:val="ListBullet2"/>
            </w:pPr>
            <w:r w:rsidRPr="0056509A">
              <w:t>capital investment and return on investment</w:t>
            </w:r>
          </w:p>
          <w:p w:rsidR="00000000" w:rsidRPr="0056509A" w:rsidP="0056509A">
            <w:pPr>
              <w:pStyle w:val="ListBullet2"/>
            </w:pPr>
            <w:r w:rsidRPr="0056509A">
              <w:t>financial record keeping procedures for expenditures</w:t>
            </w:r>
          </w:p>
          <w:p w:rsidR="00000000" w:rsidRPr="0056509A" w:rsidP="0056509A">
            <w:pPr>
              <w:pStyle w:val="ListBullet"/>
            </w:pPr>
            <w:r w:rsidRPr="0056509A">
              <w:t xml:space="preserve">typical legal requirements for engineering-related projects or operations </w:t>
            </w:r>
          </w:p>
          <w:p w:rsidR="00000000" w:rsidRPr="0056509A" w:rsidP="0056509A">
            <w:pPr>
              <w:pStyle w:val="ListBullet"/>
            </w:pPr>
            <w:r w:rsidRPr="0056509A">
              <w:t xml:space="preserve">OHS </w:t>
            </w:r>
            <w:r w:rsidRPr="0056509A">
              <w:t>requirements, codes of practice, regulations, standards and regulatory requirements for project or operations</w:t>
            </w:r>
          </w:p>
          <w:p w:rsidR="00000000" w:rsidRPr="0056509A" w:rsidP="0056509A">
            <w:pPr>
              <w:pStyle w:val="ListBullet"/>
            </w:pPr>
            <w:r w:rsidRPr="0056509A">
              <w:t>risk management and reduction, current safe work methods statements, material safety data sheets (MSDS) and work permits</w:t>
            </w:r>
          </w:p>
          <w:p w:rsidR="00000000" w:rsidRPr="0056509A" w:rsidP="0056509A">
            <w:pPr>
              <w:pStyle w:val="ListBullet"/>
            </w:pPr>
            <w:r w:rsidRPr="0056509A">
              <w:t>professional and et</w:t>
            </w:r>
            <w:r w:rsidRPr="0056509A">
              <w:t>hical practice</w:t>
            </w:r>
          </w:p>
          <w:p w:rsidR="00000000" w:rsidRPr="0056509A" w:rsidP="0056509A">
            <w:pPr>
              <w:pStyle w:val="ListBullet"/>
            </w:pPr>
            <w:r w:rsidRPr="0056509A">
              <w:t>tendering and contracts requirements and processes, including agreement on design and specification, negotiations and optimisations, provisions for variations, delays and penalties</w:t>
            </w:r>
          </w:p>
          <w:p w:rsidR="00000000" w:rsidRPr="0056509A" w:rsidP="0056509A">
            <w:pPr>
              <w:pStyle w:val="ListBullet"/>
            </w:pPr>
            <w:r w:rsidRPr="0056509A">
              <w:t>work organisation and management theory</w:t>
            </w:r>
          </w:p>
          <w:p w:rsidR="00000000" w:rsidRPr="0056509A" w:rsidP="0056509A">
            <w:pPr>
              <w:pStyle w:val="ListBullet"/>
            </w:pPr>
            <w:r w:rsidRPr="0056509A">
              <w:t>conflict resolution,</w:t>
            </w:r>
            <w:r w:rsidRPr="0056509A">
              <w:t xml:space="preserve"> problem solving and decision making</w:t>
            </w:r>
          </w:p>
        </w:tc>
      </w:tr>
    </w:tbl>
    <w:p w:rsidR="00000000" w:rsidRPr="0056509A" w:rsidP="0056509A">
      <w:pPr>
        <w:pStyle w:val="BodyText"/>
      </w:pPr>
    </w:p>
    <w:p w:rsidR="00000000" w:rsidRPr="0056509A" w:rsidP="0056509A">
      <w:pPr>
        <w:pStyle w:val="AllowPageBreak"/>
      </w:pPr>
    </w:p>
    <w:p w:rsidR="00000000" w:rsidRPr="0056509A" w:rsidP="0056509A">
      <w:pPr>
        <w:pStyle w:val="Heading1"/>
      </w:pPr>
      <w:bookmarkStart w:id="10" w:name="O_657734"/>
      <w:bookmarkEnd w:id="10"/>
      <w:r w:rsidRPr="0056509A">
        <w:t>Evidence Guide</w:t>
      </w:r>
    </w:p>
    <w:tbl>
      <w:tblPr>
        <w:tblW w:w="9570" w:type="dxa"/>
        <w:tblLayout w:type="fixed"/>
        <w:tblCellMar>
          <w:left w:w="62" w:type="dxa"/>
          <w:right w:w="62" w:type="dxa"/>
        </w:tblCellMar>
        <w:tblLook w:val="0000"/>
      </w:tblPr>
      <w:tblGrid>
        <w:gridCol w:w="2630"/>
        <w:gridCol w:w="6940"/>
      </w:tblGrid>
      <w:tr w:rsidTr="0056509A">
        <w:tblPrEx>
          <w:tblW w:w="9570" w:type="dxa"/>
          <w:tblLayout w:type="fixed"/>
          <w:tblCellMar>
            <w:left w:w="62" w:type="dxa"/>
            <w:right w:w="62" w:type="dxa"/>
          </w:tblCellMar>
          <w:tblLook w:val="0000"/>
        </w:tblPrEx>
        <w:tc>
          <w:tcPr>
            <w:tcW w:w="9570" w:type="dxa"/>
            <w:gridSpan w:val="2"/>
            <w:tcBorders>
              <w:top w:val="nil"/>
              <w:left w:val="nil"/>
              <w:bottom w:val="single" w:sz="4" w:space="0" w:color="auto"/>
              <w:right w:val="nil"/>
            </w:tcBorders>
            <w:tcMar>
              <w:top w:w="0" w:type="dxa"/>
              <w:left w:w="62" w:type="dxa"/>
              <w:bottom w:w="0" w:type="dxa"/>
              <w:right w:w="62" w:type="dxa"/>
            </w:tcMar>
          </w:tcPr>
          <w:p w:rsidR="00000000" w:rsidP="0056509A">
            <w:pPr>
              <w:pStyle w:val="BodyText"/>
              <w:rPr>
                <w:lang w:val="en-NZ"/>
              </w:rPr>
            </w:pPr>
            <w:r w:rsidRPr="0056509A">
              <w:t>The evidence guide provides advice on assessment and must be read in conjunction with the performance criteria, required skills and knowledge, range statement and the Assessment Guideli</w:t>
            </w:r>
            <w:r w:rsidRPr="0056509A">
              <w:t xml:space="preserve">nes for the Training </w:t>
            </w:r>
            <w:r w:rsidRPr="0056509A">
              <w:t>Package.</w:t>
            </w:r>
          </w:p>
        </w:tc>
      </w:tr>
      <w:tr w:rsidTr="0056509A">
        <w:tblPrEx>
          <w:tblW w:w="957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t>Critical aspects for assessment and evidence required to demonstrate competency in this unit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Assessors must be satisfied that the candidate can competently and consistently:</w:t>
            </w:r>
          </w:p>
          <w:p w:rsidR="00000000" w:rsidRPr="0056509A" w:rsidP="0056509A">
            <w:pPr>
              <w:pStyle w:val="ListBullet"/>
            </w:pPr>
            <w:r w:rsidRPr="0056509A">
              <w:t>identify, plan and establish engineering and organisation requirements for the project or operation</w:t>
            </w:r>
          </w:p>
          <w:p w:rsidR="00000000" w:rsidRPr="0056509A" w:rsidP="0056509A">
            <w:pPr>
              <w:pStyle w:val="ListBullet"/>
            </w:pPr>
            <w:r w:rsidRPr="0056509A">
              <w:t>establish resources required, including labour, materials, equipment within budgets, and procedures</w:t>
            </w:r>
          </w:p>
          <w:p w:rsidR="00000000" w:rsidRPr="0056509A" w:rsidP="0056509A">
            <w:pPr>
              <w:pStyle w:val="ListBullet"/>
            </w:pPr>
            <w:r w:rsidRPr="0056509A">
              <w:t>investigate and validate performance analysis, modelling</w:t>
            </w:r>
            <w:r w:rsidRPr="0056509A">
              <w:t xml:space="preserve"> and simulation software</w:t>
            </w:r>
          </w:p>
          <w:p w:rsidR="00000000" w:rsidRPr="0056509A" w:rsidP="0056509A">
            <w:pPr>
              <w:pStyle w:val="ListBullet"/>
            </w:pPr>
            <w:r w:rsidRPr="0056509A">
              <w:t>commence project or operation management, including establishing support team and responsibilities</w:t>
            </w:r>
          </w:p>
          <w:p w:rsidR="00000000" w:rsidRPr="0056509A" w:rsidP="0056509A">
            <w:pPr>
              <w:pStyle w:val="ListBullet"/>
            </w:pPr>
            <w:r w:rsidRPr="0056509A">
              <w:t>overcome constraints and contingencies to achieve schedules and budgets as contained in business plan</w:t>
            </w:r>
          </w:p>
          <w:p w:rsidR="00000000" w:rsidRPr="0056509A" w:rsidP="0056509A">
            <w:pPr>
              <w:pStyle w:val="ListBullet"/>
            </w:pPr>
            <w:r w:rsidRPr="0056509A">
              <w:t>undertake appropriate internal</w:t>
            </w:r>
            <w:r w:rsidRPr="0056509A">
              <w:t xml:space="preserve"> and external reporting </w:t>
            </w:r>
          </w:p>
          <w:p w:rsidR="00000000" w:rsidP="0056509A">
            <w:pPr>
              <w:pStyle w:val="ListBullet"/>
              <w:rPr>
                <w:lang w:val="en-NZ"/>
              </w:rPr>
            </w:pPr>
            <w:r w:rsidRPr="0056509A">
              <w:t>manage continuous improvement.</w:t>
            </w:r>
          </w:p>
        </w:tc>
      </w:tr>
      <w:tr w:rsidTr="0056509A">
        <w:tblPrEx>
          <w:tblW w:w="957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t>Context of and specific resources for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ListBullet"/>
            </w:pPr>
            <w:r w:rsidRPr="0056509A">
              <w:t xml:space="preserve">This unit may be assessed on the job, or a combination of both on and off the job </w:t>
            </w:r>
            <w:r w:rsidRPr="0056509A">
              <w:t>assessment based on appropriate project and simulation activities. Where assessment occurs off the job, that is, the candidate is not in productive work, then a simulated working environment must be used where the range of conditions reflects realistic wor</w:t>
            </w:r>
            <w:r w:rsidRPr="0056509A">
              <w:t xml:space="preserve">kplace situations. The competencies covered by this unit would be demonstrated by an individual working alone or as part of a team. </w:t>
            </w:r>
          </w:p>
          <w:p w:rsidR="00000000" w:rsidRPr="0056509A" w:rsidP="0056509A">
            <w:pPr>
              <w:pStyle w:val="ListBullet"/>
            </w:pPr>
            <w:r w:rsidRPr="0056509A">
              <w:t>Where applicable, reasonable adjustment must be made to work environments and training situations to accommodate ethnicity,</w:t>
            </w:r>
            <w:r w:rsidRPr="0056509A">
              <w:t xml:space="preserve"> age, gender, demographics and disability.</w:t>
            </w:r>
          </w:p>
          <w:p w:rsidR="00000000" w:rsidP="0056509A">
            <w:pPr>
              <w:pStyle w:val="ListBullet"/>
              <w:rPr>
                <w:lang w:val="en-NZ"/>
              </w:rPr>
            </w:pPr>
            <w:r w:rsidRPr="0056509A">
              <w:t>Access must be provided to appropriate learning and/or assessment support when required. Where applicable, physical resources should include equipment modified for people with disabilities.</w:t>
            </w:r>
          </w:p>
        </w:tc>
      </w:tr>
      <w:tr w:rsidTr="0056509A">
        <w:tblPrEx>
          <w:tblW w:w="957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t>Method of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ListBullet"/>
            </w:pPr>
            <w:r w:rsidRPr="0056509A">
              <w:t>Assessment must satisfy the endorsed Assessment Guidelines of the MEM05 Metal and Engineering Training Package.</w:t>
            </w:r>
          </w:p>
          <w:p w:rsidR="00000000" w:rsidRPr="0056509A" w:rsidP="0056509A">
            <w:pPr>
              <w:pStyle w:val="ListBullet"/>
            </w:pPr>
            <w:r w:rsidRPr="0056509A">
              <w:t xml:space="preserve">Assessment methods must confirm consistency and accuracy of performance (over time and in a range of workplace relevant contexts) together with </w:t>
            </w:r>
            <w:r w:rsidRPr="0056509A">
              <w:t>application of underpinning knowledge.</w:t>
            </w:r>
          </w:p>
          <w:p w:rsidR="00000000" w:rsidRPr="0056509A" w:rsidP="0056509A">
            <w:pPr>
              <w:pStyle w:val="ListBullet"/>
            </w:pPr>
            <w:r w:rsidRPr="0056509A">
              <w:t>Assessment methods must be by direct observation of tasks and include questioning on underpinning knowledge to ensure its correct interpretation and application.</w:t>
            </w:r>
          </w:p>
          <w:p w:rsidR="00000000" w:rsidRPr="0056509A" w:rsidP="0056509A">
            <w:pPr>
              <w:pStyle w:val="ListBullet"/>
            </w:pPr>
            <w:r w:rsidRPr="0056509A">
              <w:t>Assessment may be applied under project-related conditi</w:t>
            </w:r>
            <w:r w:rsidRPr="0056509A">
              <w:t>ons (real or simulated) and require evidence of process.</w:t>
            </w:r>
          </w:p>
          <w:p w:rsidR="00000000" w:rsidRPr="0056509A" w:rsidP="0056509A">
            <w:pPr>
              <w:pStyle w:val="ListBullet"/>
            </w:pPr>
            <w:r w:rsidRPr="0056509A">
              <w:t>Assessment must confirm a reasonable inference that competency is able not only to be satisfied under the particular circumstance, but is able to be transferred to other circumstances.</w:t>
            </w:r>
          </w:p>
          <w:p w:rsidR="00000000" w:rsidP="0056509A">
            <w:pPr>
              <w:pStyle w:val="ListBullet"/>
              <w:rPr>
                <w:lang w:val="en-NZ"/>
              </w:rPr>
            </w:pPr>
            <w:r w:rsidRPr="0056509A">
              <w:t>Assessment may</w:t>
            </w:r>
            <w:r w:rsidRPr="0056509A">
              <w:t xml:space="preserve"> be in conjunction with assessment of other units of competency where required.</w:t>
            </w:r>
          </w:p>
        </w:tc>
      </w:tr>
      <w:tr w:rsidTr="0056509A">
        <w:tblPrEx>
          <w:tblW w:w="957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t>Guidance information for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Assessment processes and techniques must be culturally appropriate and appropriate to the language and literacy capacity of the candidate a</w:t>
            </w:r>
            <w:r w:rsidRPr="0056509A">
              <w:t>nd the work being performed.</w:t>
            </w:r>
          </w:p>
        </w:tc>
      </w:tr>
    </w:tbl>
    <w:p w:rsidR="00890C49" w:rsidP="0056509A">
      <w:pPr>
        <w:pStyle w:val="BodyText"/>
      </w:pPr>
    </w:p>
    <w:p w:rsidR="00890C49" w:rsidP="0056509A">
      <w:pPr>
        <w:pStyle w:val="BodyText"/>
      </w:pPr>
    </w:p>
    <w:p w:rsidR="00000000" w:rsidRPr="0056509A" w:rsidP="0056509A">
      <w:pPr>
        <w:pStyle w:val="Heading1"/>
      </w:pPr>
      <w:bookmarkStart w:id="11" w:name="O_657733"/>
      <w:bookmarkEnd w:id="11"/>
      <w:r w:rsidRPr="0056509A">
        <w:t>Range Statement</w:t>
      </w:r>
    </w:p>
    <w:tbl>
      <w:tblPr>
        <w:tblW w:w="9608" w:type="dxa"/>
        <w:tblLayout w:type="fixed"/>
        <w:tblCellMar>
          <w:left w:w="62" w:type="dxa"/>
          <w:right w:w="62" w:type="dxa"/>
        </w:tblCellMar>
        <w:tblLook w:val="0000"/>
      </w:tblPr>
      <w:tblGrid>
        <w:gridCol w:w="2528"/>
        <w:gridCol w:w="7080"/>
      </w:tblGrid>
      <w:tr w:rsidTr="0056509A">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6509A">
            <w:pPr>
              <w:pStyle w:val="BodyText"/>
              <w:rPr>
                <w:lang w:val="en-NZ"/>
              </w:rPr>
            </w:pPr>
            <w:r w:rsidRPr="0056509A">
              <w:t xml:space="preserve">The range statement relates to the unit of competency as a whole. It allows for different work </w:t>
            </w:r>
            <w:r w:rsidRPr="0056509A">
              <w:t xml:space="preserve">environments and situations that may affect </w:t>
            </w:r>
            <w:r w:rsidRPr="0056509A">
              <w:t>performance. Bold italicised wording, if used in the performance criteria, is detailed below. Essential operating conditions that may be present with training and assessment (depending on the work situation, needs of the candidate, accessibility of the ite</w:t>
            </w:r>
            <w:r w:rsidRPr="0056509A">
              <w:t>m, and local industry and regional contexts) may also be included.</w:t>
            </w:r>
          </w:p>
        </w:tc>
      </w:tr>
      <w:tr w:rsidTr="0056509A">
        <w:tblPrEx>
          <w:tblW w:w="9608"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Engineering-related projects or operation</w:t>
            </w:r>
          </w:p>
        </w:tc>
        <w:tc>
          <w:tcPr>
            <w:tcW w:w="7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Engineering-related projects or operations may occur in a wide variety of industries, for example:</w:t>
            </w:r>
          </w:p>
          <w:p w:rsidR="00000000" w:rsidRPr="0056509A" w:rsidP="0056509A">
            <w:pPr>
              <w:pStyle w:val="ListBullet"/>
            </w:pPr>
            <w:r w:rsidRPr="0056509A">
              <w:t>manufacturing</w:t>
            </w:r>
          </w:p>
          <w:p w:rsidR="00000000" w:rsidRPr="0056509A" w:rsidP="0056509A">
            <w:pPr>
              <w:pStyle w:val="ListBullet"/>
            </w:pPr>
            <w:r w:rsidRPr="0056509A">
              <w:t>defence</w:t>
            </w:r>
          </w:p>
          <w:p w:rsidR="00000000" w:rsidRPr="0056509A" w:rsidP="0056509A">
            <w:pPr>
              <w:pStyle w:val="ListBullet"/>
            </w:pPr>
            <w:r w:rsidRPr="0056509A">
              <w:t>transport and logistics</w:t>
            </w:r>
          </w:p>
          <w:p w:rsidR="00000000" w:rsidRPr="0056509A" w:rsidP="0056509A">
            <w:pPr>
              <w:pStyle w:val="ListBullet"/>
            </w:pPr>
            <w:r w:rsidRPr="0056509A">
              <w:t>health</w:t>
            </w:r>
          </w:p>
          <w:p w:rsidR="00000000" w:rsidRPr="0056509A" w:rsidP="0056509A">
            <w:pPr>
              <w:pStyle w:val="ListBullet"/>
            </w:pPr>
            <w:r w:rsidRPr="0056509A">
              <w:t>utilities</w:t>
            </w:r>
          </w:p>
          <w:p w:rsidR="00000000" w:rsidP="0056509A">
            <w:pPr>
              <w:pStyle w:val="BodyText"/>
              <w:rPr>
                <w:lang w:val="en-NZ"/>
              </w:rPr>
            </w:pPr>
            <w:r w:rsidRPr="0056509A">
              <w:t>The distinguishing feature for the engineering-related project or operation, as it applies to this unit, is that the project or operations management requires high level para-professional engineering skills in an established engineering d</w:t>
            </w:r>
            <w:r w:rsidRPr="0056509A">
              <w:t>iscipline or area</w:t>
            </w:r>
          </w:p>
        </w:tc>
      </w:tr>
      <w:tr w:rsidTr="0056509A">
        <w:tblPrEx>
          <w:tblW w:w="9608"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Business plan</w:t>
            </w:r>
          </w:p>
        </w:tc>
        <w:tc>
          <w:tcPr>
            <w:tcW w:w="7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Business plan means a plan for either a time-defined project or an ongoing engineering-related operation that:</w:t>
            </w:r>
          </w:p>
          <w:p w:rsidR="00000000" w:rsidRPr="0056509A" w:rsidP="0056509A">
            <w:pPr>
              <w:pStyle w:val="ListBullet"/>
            </w:pPr>
            <w:r w:rsidRPr="0056509A">
              <w:t>is approved by the client or management of the organisation</w:t>
            </w:r>
          </w:p>
          <w:p w:rsidR="00000000" w:rsidRPr="0056509A" w:rsidP="0056509A">
            <w:pPr>
              <w:pStyle w:val="ListBullet"/>
            </w:pPr>
            <w:r w:rsidRPr="0056509A">
              <w:t>contains budgets and which has financial and perfor</w:t>
            </w:r>
            <w:r w:rsidRPr="0056509A">
              <w:t xml:space="preserve">mance targets </w:t>
            </w:r>
          </w:p>
          <w:p w:rsidR="00000000" w:rsidRPr="0056509A" w:rsidP="0056509A">
            <w:pPr>
              <w:pStyle w:val="ListBullet"/>
            </w:pPr>
            <w:r w:rsidRPr="0056509A">
              <w:t>specifies a project or operational schedule</w:t>
            </w:r>
          </w:p>
          <w:p w:rsidR="00000000" w:rsidRPr="0056509A" w:rsidP="0056509A">
            <w:pPr>
              <w:pStyle w:val="ListBullet"/>
            </w:pPr>
            <w:r w:rsidRPr="0056509A">
              <w:t>specifies stakeholder reporting/approval mechanisms and degree of autonomy for decision making</w:t>
            </w:r>
          </w:p>
          <w:p w:rsidR="00000000" w:rsidP="0056509A">
            <w:pPr>
              <w:pStyle w:val="ListBullet"/>
              <w:rPr>
                <w:lang w:val="en-NZ"/>
              </w:rPr>
            </w:pPr>
            <w:r w:rsidRPr="0056509A">
              <w:t xml:space="preserve">specifies any legal requirements or other resources available or required to be established </w:t>
            </w:r>
          </w:p>
        </w:tc>
      </w:tr>
      <w:tr w:rsidTr="0056509A">
        <w:tblPrEx>
          <w:tblW w:w="9608"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Appropri</w:t>
            </w:r>
            <w:r w:rsidRPr="0056509A">
              <w:rPr>
                <w:rStyle w:val="SpecialBold"/>
              </w:rPr>
              <w:t>ate technical and professional assistance</w:t>
            </w:r>
          </w:p>
        </w:tc>
        <w:tc>
          <w:tcPr>
            <w:tcW w:w="7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Appropriate technical and professional assistance may include:</w:t>
            </w:r>
          </w:p>
          <w:p w:rsidR="00000000" w:rsidRPr="0056509A" w:rsidP="0056509A">
            <w:pPr>
              <w:pStyle w:val="ListBullet"/>
            </w:pPr>
            <w:r w:rsidRPr="0056509A">
              <w:t>technical support and advice relating to elements which have intrinsic dangers, for example:</w:t>
            </w:r>
          </w:p>
          <w:p w:rsidR="00000000" w:rsidRPr="0056509A" w:rsidP="0056509A">
            <w:pPr>
              <w:pStyle w:val="ListBullet2"/>
            </w:pPr>
            <w:r w:rsidRPr="0056509A">
              <w:t>high pressure</w:t>
            </w:r>
          </w:p>
          <w:p w:rsidR="00000000" w:rsidRPr="0056509A" w:rsidP="0056509A">
            <w:pPr>
              <w:pStyle w:val="ListBullet2"/>
            </w:pPr>
            <w:r w:rsidRPr="0056509A">
              <w:t>energised fluid vessels</w:t>
            </w:r>
          </w:p>
          <w:p w:rsidR="00000000" w:rsidRPr="0056509A" w:rsidP="0056509A">
            <w:pPr>
              <w:pStyle w:val="ListBullet2"/>
            </w:pPr>
            <w:r w:rsidRPr="0056509A">
              <w:t>high temperatures and heat energy capacity</w:t>
            </w:r>
          </w:p>
          <w:p w:rsidR="00000000" w:rsidRPr="0056509A" w:rsidP="0056509A">
            <w:pPr>
              <w:pStyle w:val="ListBullet2"/>
            </w:pPr>
            <w:r w:rsidRPr="0056509A">
              <w:t>wiring or devices with high current or voltages above extra low voltage</w:t>
            </w:r>
          </w:p>
          <w:p w:rsidR="00000000" w:rsidRPr="0056509A" w:rsidP="0056509A">
            <w:pPr>
              <w:pStyle w:val="ListBullet"/>
            </w:pPr>
            <w:r w:rsidRPr="0056509A">
              <w:t>professional support for technologies, such as:</w:t>
            </w:r>
          </w:p>
          <w:p w:rsidR="00000000" w:rsidRPr="0056509A" w:rsidP="0056509A">
            <w:pPr>
              <w:pStyle w:val="ListBullet2"/>
            </w:pPr>
            <w:r w:rsidRPr="0056509A">
              <w:t>specialist electric motor drives and controllers</w:t>
            </w:r>
          </w:p>
          <w:p w:rsidR="00000000" w:rsidRPr="0056509A" w:rsidP="0056509A">
            <w:pPr>
              <w:pStyle w:val="ListBullet2"/>
            </w:pPr>
            <w:r w:rsidRPr="0056509A">
              <w:t>specialist materials, plastics, metal allo</w:t>
            </w:r>
            <w:r w:rsidRPr="0056509A">
              <w:t>ys and nano materials</w:t>
            </w:r>
          </w:p>
          <w:p w:rsidR="00000000" w:rsidRPr="0056509A" w:rsidP="0056509A">
            <w:pPr>
              <w:pStyle w:val="ListBullet2"/>
            </w:pPr>
            <w:r w:rsidRPr="0056509A">
              <w:t>special processes, foundry, alloy welding, heat treatment, sealing and fastening</w:t>
            </w:r>
          </w:p>
          <w:p w:rsidR="00000000" w:rsidRPr="0056509A" w:rsidP="0056509A">
            <w:pPr>
              <w:pStyle w:val="ListBullet"/>
            </w:pPr>
            <w:r w:rsidRPr="0056509A">
              <w:t>professional services for:</w:t>
            </w:r>
          </w:p>
          <w:p w:rsidR="00000000" w:rsidRPr="0056509A" w:rsidP="0056509A">
            <w:pPr>
              <w:pStyle w:val="ListBullet2"/>
            </w:pPr>
            <w:r w:rsidRPr="0056509A">
              <w:t>finance, accounts and tax</w:t>
            </w:r>
          </w:p>
          <w:p w:rsidR="00000000" w:rsidRPr="0056509A" w:rsidP="0056509A">
            <w:pPr>
              <w:pStyle w:val="ListBullet2"/>
            </w:pPr>
            <w:r w:rsidRPr="0056509A">
              <w:t>insurance and legal</w:t>
            </w:r>
          </w:p>
          <w:p w:rsidR="00000000" w:rsidP="0056509A">
            <w:pPr>
              <w:pStyle w:val="ListBullet2"/>
              <w:rPr>
                <w:lang w:val="en-NZ"/>
              </w:rPr>
            </w:pPr>
            <w:r w:rsidRPr="0056509A">
              <w:t>training and human resources (HR)</w:t>
            </w:r>
          </w:p>
        </w:tc>
      </w:tr>
      <w:tr w:rsidTr="0056509A">
        <w:tblPrEx>
          <w:tblW w:w="9608"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OHS requirements, codes of practice, regulatory requirements and enterprise procedures</w:t>
            </w:r>
          </w:p>
        </w:tc>
        <w:tc>
          <w:tcPr>
            <w:tcW w:w="7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OHS, codes of practice, regulatory requirements and enterprise procedures may include:</w:t>
            </w:r>
          </w:p>
          <w:p w:rsidR="00000000" w:rsidRPr="0056509A" w:rsidP="0056509A">
            <w:pPr>
              <w:pStyle w:val="ListBullet"/>
            </w:pPr>
            <w:r w:rsidRPr="0056509A">
              <w:t>OHS Acts and regulations</w:t>
            </w:r>
          </w:p>
          <w:p w:rsidR="00000000" w:rsidRPr="0056509A" w:rsidP="0056509A">
            <w:pPr>
              <w:pStyle w:val="ListBullet"/>
            </w:pPr>
            <w:r w:rsidRPr="0056509A">
              <w:t>relevant standards</w:t>
            </w:r>
          </w:p>
          <w:p w:rsidR="00000000" w:rsidRPr="0056509A" w:rsidP="0056509A">
            <w:pPr>
              <w:pStyle w:val="ListBullet"/>
            </w:pPr>
            <w:r w:rsidRPr="0056509A">
              <w:t>codes of practice from Australian and overseas engineering and technical associations and societies</w:t>
            </w:r>
          </w:p>
          <w:p w:rsidR="00000000" w:rsidRPr="0056509A" w:rsidP="0056509A">
            <w:pPr>
              <w:pStyle w:val="ListBullet"/>
            </w:pPr>
            <w:r w:rsidRPr="0056509A">
              <w:t>risk assessments</w:t>
            </w:r>
          </w:p>
          <w:p w:rsidR="00000000" w:rsidRPr="0056509A" w:rsidP="0056509A">
            <w:pPr>
              <w:pStyle w:val="ListBullet"/>
            </w:pPr>
            <w:r w:rsidRPr="0056509A">
              <w:t xml:space="preserve">registration requirements </w:t>
            </w:r>
          </w:p>
          <w:p w:rsidR="00000000" w:rsidRPr="0056509A" w:rsidP="0056509A">
            <w:pPr>
              <w:pStyle w:val="ListBullet"/>
            </w:pPr>
            <w:r w:rsidRPr="0056509A">
              <w:t>safe work practices</w:t>
            </w:r>
          </w:p>
          <w:p w:rsidR="00000000" w:rsidP="0056509A">
            <w:pPr>
              <w:pStyle w:val="ListBullet"/>
              <w:rPr>
                <w:lang w:val="en-NZ"/>
              </w:rPr>
            </w:pPr>
            <w:r w:rsidRPr="0056509A">
              <w:t xml:space="preserve">state and territory regulatory requirements </w:t>
            </w:r>
          </w:p>
        </w:tc>
      </w:tr>
      <w:tr w:rsidTr="0056509A">
        <w:tblPrEx>
          <w:tblW w:w="9608"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 xml:space="preserve">Appropriate modelling and analysis software </w:t>
            </w:r>
          </w:p>
        </w:tc>
        <w:tc>
          <w:tcPr>
            <w:tcW w:w="7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A</w:t>
            </w:r>
            <w:r w:rsidRPr="0056509A">
              <w:t>ppropriate modelling and analysis software may include:</w:t>
            </w:r>
          </w:p>
          <w:p w:rsidR="00000000" w:rsidRPr="0056509A" w:rsidP="0056509A">
            <w:pPr>
              <w:pStyle w:val="ListBullet"/>
            </w:pPr>
            <w:r w:rsidRPr="0056509A">
              <w:t xml:space="preserve">project tracking </w:t>
            </w:r>
          </w:p>
          <w:p w:rsidR="00000000" w:rsidRPr="0056509A" w:rsidP="0056509A">
            <w:pPr>
              <w:pStyle w:val="ListBullet"/>
            </w:pPr>
            <w:r w:rsidRPr="0056509A">
              <w:t>financial modelling, analysis and tracking</w:t>
            </w:r>
          </w:p>
          <w:p w:rsidR="00000000" w:rsidRPr="0056509A" w:rsidP="0056509A">
            <w:pPr>
              <w:pStyle w:val="ListBullet"/>
            </w:pPr>
            <w:r w:rsidRPr="0056509A">
              <w:t>process modelling and analysis</w:t>
            </w:r>
          </w:p>
          <w:p w:rsidR="00000000" w:rsidRPr="0056509A" w:rsidP="0056509A">
            <w:pPr>
              <w:pStyle w:val="ListBullet"/>
            </w:pPr>
            <w:r w:rsidRPr="0056509A">
              <w:t>engineering simulation and modelling</w:t>
            </w:r>
          </w:p>
          <w:p w:rsidR="00000000" w:rsidP="0056509A">
            <w:pPr>
              <w:pStyle w:val="ListBullet"/>
              <w:rPr>
                <w:lang w:val="en-NZ"/>
              </w:rPr>
            </w:pPr>
            <w:r w:rsidRPr="0056509A">
              <w:t>manufacturing operation simulation</w:t>
            </w:r>
          </w:p>
        </w:tc>
      </w:tr>
      <w:tr w:rsidTr="0056509A">
        <w:tblPrEx>
          <w:tblW w:w="9608"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Records of operations or project</w:t>
            </w:r>
          </w:p>
        </w:tc>
        <w:tc>
          <w:tcPr>
            <w:tcW w:w="7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Records of operations include:</w:t>
            </w:r>
          </w:p>
          <w:p w:rsidR="00000000" w:rsidRPr="0056509A" w:rsidP="0056509A">
            <w:pPr>
              <w:pStyle w:val="ListBullet"/>
            </w:pPr>
            <w:r w:rsidRPr="0056509A">
              <w:t>tenders, contracts and schedule</w:t>
            </w:r>
          </w:p>
          <w:p w:rsidR="00000000" w:rsidRPr="0056509A" w:rsidP="0056509A">
            <w:pPr>
              <w:pStyle w:val="ListBullet"/>
            </w:pPr>
            <w:r w:rsidRPr="0056509A">
              <w:t xml:space="preserve"> personnel, resource allocations and financial management procedures</w:t>
            </w:r>
          </w:p>
          <w:p w:rsidR="00000000" w:rsidRPr="0056509A" w:rsidP="0056509A">
            <w:pPr>
              <w:pStyle w:val="ListBullet"/>
            </w:pPr>
            <w:r w:rsidRPr="0056509A">
              <w:t>standard operating procedures, including maintenance procedures</w:t>
            </w:r>
          </w:p>
          <w:p w:rsidR="00000000" w:rsidRPr="0056509A" w:rsidP="0056509A">
            <w:pPr>
              <w:pStyle w:val="ListBullet"/>
            </w:pPr>
            <w:r w:rsidRPr="0056509A">
              <w:t>OHS committee minutes and actions</w:t>
            </w:r>
          </w:p>
          <w:p w:rsidR="00000000" w:rsidRPr="0056509A" w:rsidP="0056509A">
            <w:pPr>
              <w:pStyle w:val="ListBullet"/>
            </w:pPr>
            <w:r w:rsidRPr="0056509A">
              <w:t>risk management and mitig</w:t>
            </w:r>
            <w:r w:rsidRPr="0056509A">
              <w:t>ation</w:t>
            </w:r>
          </w:p>
          <w:p w:rsidR="00000000" w:rsidRPr="0056509A" w:rsidP="0056509A">
            <w:pPr>
              <w:pStyle w:val="ListBullet"/>
            </w:pPr>
            <w:r w:rsidRPr="0056509A">
              <w:t>documentation and records of current safe work methods statements</w:t>
            </w:r>
          </w:p>
          <w:p w:rsidR="00000000" w:rsidRPr="0056509A" w:rsidP="0056509A">
            <w:pPr>
              <w:pStyle w:val="ListBullet"/>
            </w:pPr>
            <w:r w:rsidRPr="0056509A">
              <w:t>MSDS, work permits, standards and codes of practice</w:t>
            </w:r>
          </w:p>
          <w:p w:rsidR="00000000" w:rsidRPr="0056509A" w:rsidP="0056509A">
            <w:pPr>
              <w:pStyle w:val="ListBullet"/>
            </w:pPr>
            <w:r w:rsidRPr="0056509A">
              <w:t>Audits</w:t>
            </w:r>
          </w:p>
          <w:p w:rsidR="00000000" w:rsidRPr="0056509A" w:rsidP="0056509A">
            <w:pPr>
              <w:pStyle w:val="ListBullet"/>
            </w:pPr>
            <w:r w:rsidRPr="0056509A">
              <w:t>Meetings and communications</w:t>
            </w:r>
          </w:p>
          <w:p w:rsidR="00000000" w:rsidP="0056509A">
            <w:pPr>
              <w:pStyle w:val="ListBullet"/>
              <w:rPr>
                <w:lang w:val="en-NZ"/>
              </w:rPr>
            </w:pPr>
            <w:r w:rsidRPr="0056509A">
              <w:t>graphics and specifications</w:t>
            </w:r>
          </w:p>
        </w:tc>
      </w:tr>
      <w:tr w:rsidTr="0056509A">
        <w:tblPrEx>
          <w:tblW w:w="9608" w:type="dxa"/>
          <w:tblLayout w:type="fixed"/>
          <w:tblCellMar>
            <w:left w:w="62" w:type="dxa"/>
            <w:right w:w="62" w:type="dxa"/>
          </w:tblCellMar>
          <w:tblLook w:val="0000"/>
        </w:tblPrEx>
        <w:trPr>
          <w:trHeight w:val="2178"/>
        </w:trPr>
        <w:tc>
          <w:tcPr>
            <w:tcW w:w="2528" w:type="dxa"/>
            <w:tcBorders>
              <w:top w:val="nil"/>
              <w:left w:val="single" w:sz="4" w:space="0" w:color="auto"/>
              <w:bottom w:val="nil"/>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Manage constraints and contingencies</w:t>
            </w:r>
          </w:p>
        </w:tc>
        <w:tc>
          <w:tcPr>
            <w:tcW w:w="7080" w:type="dxa"/>
            <w:tcBorders>
              <w:top w:val="nil"/>
              <w:left w:val="single" w:sz="4" w:space="0" w:color="auto"/>
              <w:bottom w:val="nil"/>
              <w:right w:val="single" w:sz="4" w:space="0" w:color="auto"/>
            </w:tcBorders>
            <w:tcMar>
              <w:top w:w="0" w:type="dxa"/>
              <w:left w:w="62" w:type="dxa"/>
              <w:bottom w:w="0" w:type="dxa"/>
              <w:right w:w="62" w:type="dxa"/>
            </w:tcMar>
          </w:tcPr>
          <w:p w:rsidR="00000000" w:rsidRPr="0056509A" w:rsidP="0056509A">
            <w:pPr>
              <w:pStyle w:val="BodyText"/>
            </w:pPr>
            <w:r w:rsidRPr="0056509A">
              <w:t>Contingencies arising during op</w:t>
            </w:r>
            <w:r w:rsidRPr="0056509A">
              <w:t>erations or improvement projects are responded to in the context of constraints. Contingencies may threaten operations or improvement projects and planning for contingencies may be essential to maintain resources, skilled labour and schedules. Each conting</w:t>
            </w:r>
            <w:r w:rsidRPr="0056509A">
              <w:t>ency will have constraints on possible solutions. These may be:</w:t>
            </w:r>
          </w:p>
          <w:p w:rsidR="00000000" w:rsidRPr="0056509A" w:rsidP="0056509A">
            <w:pPr>
              <w:pStyle w:val="ListBullet"/>
            </w:pPr>
            <w:r w:rsidRPr="0056509A">
              <w:t xml:space="preserve">financial, organisation procedural or culture constraints </w:t>
            </w:r>
          </w:p>
          <w:p w:rsidR="00000000" w:rsidP="0056509A">
            <w:pPr>
              <w:pStyle w:val="ListBullet"/>
              <w:rPr>
                <w:lang w:val="en-NZ"/>
              </w:rPr>
            </w:pPr>
            <w:r w:rsidRPr="0056509A">
              <w:t>physical constraints, such as limits to resources, limits to site access or logistical limitations</w:t>
            </w:r>
          </w:p>
        </w:tc>
      </w:tr>
      <w:tr w:rsidTr="0056509A">
        <w:tblPrEx>
          <w:tblW w:w="9608"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Legislative requirements</w:t>
            </w:r>
          </w:p>
        </w:tc>
        <w:tc>
          <w:tcPr>
            <w:tcW w:w="7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Legislative requirements may include:</w:t>
            </w:r>
          </w:p>
          <w:p w:rsidR="00000000" w:rsidRPr="0056509A" w:rsidP="0056509A">
            <w:pPr>
              <w:pStyle w:val="ListBullet"/>
            </w:pPr>
            <w:r w:rsidRPr="0056509A">
              <w:t>industrial law and awards</w:t>
            </w:r>
          </w:p>
          <w:p w:rsidR="00000000" w:rsidRPr="0056509A" w:rsidP="0056509A">
            <w:pPr>
              <w:pStyle w:val="ListBullet"/>
            </w:pPr>
            <w:r w:rsidRPr="0056509A">
              <w:t>customer protection law</w:t>
            </w:r>
          </w:p>
          <w:p w:rsidR="00000000" w:rsidRPr="0056509A" w:rsidP="0056509A">
            <w:pPr>
              <w:pStyle w:val="ListBullet"/>
            </w:pPr>
            <w:r w:rsidRPr="0056509A">
              <w:t>restrictive trade practice</w:t>
            </w:r>
          </w:p>
          <w:p w:rsidR="00000000" w:rsidRPr="0056509A" w:rsidP="0056509A">
            <w:pPr>
              <w:pStyle w:val="ListBullet"/>
            </w:pPr>
            <w:r w:rsidRPr="0056509A">
              <w:t>environmental protection</w:t>
            </w:r>
          </w:p>
          <w:p w:rsidR="00000000" w:rsidRPr="0056509A" w:rsidP="0056509A">
            <w:pPr>
              <w:pStyle w:val="ListBullet"/>
            </w:pPr>
            <w:r w:rsidRPr="0056509A">
              <w:t>workers compensation</w:t>
            </w:r>
          </w:p>
          <w:p w:rsidR="00000000" w:rsidRPr="0056509A" w:rsidP="0056509A">
            <w:pPr>
              <w:pStyle w:val="ListBullet"/>
            </w:pPr>
            <w:r w:rsidRPr="0056509A">
              <w:t>equality and anti-discrimination</w:t>
            </w:r>
          </w:p>
          <w:p w:rsidR="00000000" w:rsidP="0056509A">
            <w:pPr>
              <w:pStyle w:val="ListBullet"/>
              <w:rPr>
                <w:lang w:val="en-NZ"/>
              </w:rPr>
            </w:pPr>
            <w:r w:rsidRPr="0056509A">
              <w:t>contract law</w:t>
            </w:r>
          </w:p>
        </w:tc>
      </w:tr>
      <w:tr w:rsidTr="0056509A">
        <w:tblPrEx>
          <w:tblW w:w="9608"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09A">
            <w:pPr>
              <w:pStyle w:val="BodyText"/>
              <w:rPr>
                <w:lang w:val="en-NZ"/>
              </w:rPr>
            </w:pPr>
            <w:r w:rsidRPr="0056509A">
              <w:rPr>
                <w:rStyle w:val="SpecialBold"/>
              </w:rPr>
              <w:t xml:space="preserve">Continuous improvement </w:t>
            </w:r>
          </w:p>
        </w:tc>
        <w:tc>
          <w:tcPr>
            <w:tcW w:w="7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09A" w:rsidP="0056509A">
            <w:pPr>
              <w:pStyle w:val="BodyText"/>
            </w:pPr>
            <w:r w:rsidRPr="0056509A">
              <w:t>Continuous improvement may relate to plant, products, processes, systems or services, including design, development, implementation or manufacture, commissioning, operation or delivery and maintenance.</w:t>
            </w:r>
          </w:p>
          <w:p w:rsidR="00000000" w:rsidRPr="0056509A" w:rsidP="0056509A">
            <w:pPr>
              <w:pStyle w:val="BodyText"/>
            </w:pPr>
            <w:r w:rsidRPr="0056509A">
              <w:t>Improvement processes may include techniques such as:</w:t>
            </w:r>
          </w:p>
          <w:p w:rsidR="00000000" w:rsidRPr="0056509A" w:rsidP="0056509A">
            <w:pPr>
              <w:pStyle w:val="ListBullet"/>
            </w:pPr>
            <w:r w:rsidRPr="0056509A">
              <w:t xml:space="preserve">balanced scorecard </w:t>
            </w:r>
          </w:p>
          <w:p w:rsidR="00000000" w:rsidRPr="0056509A" w:rsidP="0056509A">
            <w:pPr>
              <w:pStyle w:val="ListBullet"/>
            </w:pPr>
            <w:r w:rsidRPr="0056509A">
              <w:t>current and future state mapping</w:t>
            </w:r>
          </w:p>
          <w:p w:rsidR="00000000" w:rsidRPr="0056509A" w:rsidP="0056509A">
            <w:pPr>
              <w:pStyle w:val="ListBullet"/>
            </w:pPr>
            <w:r w:rsidRPr="0056509A">
              <w:t xml:space="preserve">measuring performance against benchmarks </w:t>
            </w:r>
          </w:p>
          <w:p w:rsidR="00000000" w:rsidRPr="0056509A" w:rsidP="0056509A">
            <w:pPr>
              <w:pStyle w:val="ListBullet"/>
            </w:pPr>
            <w:r w:rsidRPr="0056509A">
              <w:t>process improvement, problem solving and decision making</w:t>
            </w:r>
          </w:p>
          <w:p w:rsidR="00000000" w:rsidRPr="0056509A" w:rsidP="0056509A">
            <w:pPr>
              <w:pStyle w:val="ListBullet"/>
            </w:pPr>
            <w:r w:rsidRPr="0056509A">
              <w:t>data management, generation, recording, analysing, storing and use of software</w:t>
            </w:r>
          </w:p>
          <w:p w:rsidR="00000000" w:rsidRPr="0056509A" w:rsidP="0056509A">
            <w:pPr>
              <w:pStyle w:val="ListBullet"/>
            </w:pPr>
            <w:r w:rsidRPr="0056509A">
              <w:t>training for improvement</w:t>
            </w:r>
            <w:r w:rsidRPr="0056509A">
              <w:t xml:space="preserve"> systems participation</w:t>
            </w:r>
          </w:p>
          <w:p w:rsidR="00000000" w:rsidRPr="0056509A" w:rsidP="0056509A">
            <w:pPr>
              <w:pStyle w:val="ListBullet"/>
            </w:pPr>
            <w:r w:rsidRPr="0056509A">
              <w:t>technical training</w:t>
            </w:r>
          </w:p>
        </w:tc>
      </w:tr>
    </w:tbl>
    <w:p w:rsidR="00890C49" w:rsidP="0056509A">
      <w:pPr>
        <w:pStyle w:val="BodyText"/>
      </w:pPr>
    </w:p>
    <w:p w:rsidR="00890C49" w:rsidP="0056509A">
      <w:pPr>
        <w:pStyle w:val="BodyText"/>
      </w:pPr>
    </w:p>
    <w:p w:rsidR="00000000" w:rsidRPr="0056509A" w:rsidP="0056509A">
      <w:pPr>
        <w:pStyle w:val="Heading1"/>
      </w:pPr>
      <w:bookmarkStart w:id="12" w:name="O_657732"/>
      <w:bookmarkEnd w:id="12"/>
      <w:r w:rsidRPr="0056509A">
        <w:t>Unit Sector(s)</w:t>
      </w:r>
    </w:p>
    <w:p w:rsidR="00000000" w:rsidRPr="0056509A" w:rsidP="0056509A">
      <w:pPr>
        <w:pStyle w:val="BodyText"/>
      </w:pPr>
      <w:r w:rsidRPr="0056509A">
        <w:t>Engineering practice</w:t>
      </w:r>
    </w:p>
    <w:p w:rsidR="00000000" w:rsidRPr="0056509A" w:rsidP="0056509A">
      <w:pPr>
        <w:pStyle w:val="AllowPageBreak"/>
      </w:pPr>
    </w:p>
    <w:p w:rsidR="00000000" w:rsidRPr="0056509A" w:rsidP="0056509A">
      <w:pPr>
        <w:pStyle w:val="Heading1"/>
      </w:pPr>
      <w:bookmarkStart w:id="13" w:name="O_657731"/>
      <w:bookmarkEnd w:id="13"/>
      <w:r w:rsidRPr="0056509A">
        <w:t>Custom Content Section</w:t>
      </w:r>
    </w:p>
    <w:p w:rsidR="00000000" w:rsidRPr="0056509A" w:rsidP="0056509A">
      <w:pPr>
        <w:pStyle w:val="BodyText"/>
      </w:pPr>
      <w:r w:rsidRPr="0056509A">
        <w:t>Not applicable.</w:t>
      </w:r>
    </w:p>
    <w:p w:rsidR="00000000" w:rsidRPr="0056509A" w:rsidP="0056509A"/>
    <w:sectPr w:rsidSect="00565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9A" w:rsidRPr="00890C49" w:rsidP="00890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49" w:rsidP="005650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0C49" w:rsidP="0056509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0C49" w:rsidP="005650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9A" w:rsidRPr="00890C49" w:rsidP="00890C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49" w:rsidRPr="002D2AF8" w:rsidP="0056509A">
    <w:pPr>
      <w:pStyle w:val="Header"/>
      <w:framePr w:wrap="around"/>
    </w:pPr>
    <w:r>
      <w:fldChar w:fldCharType="begin"/>
    </w:r>
    <w:r>
      <w:instrText xml:space="preserve"> TITLE   \* MERGEFORMAT </w:instrText>
    </w:r>
    <w:r>
      <w:fldChar w:fldCharType="separate"/>
    </w:r>
    <w:r>
      <w:t>MEM234001A Plan and manage engineering-related projects 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June 2014</w:t>
    </w:r>
    <w:r>
      <w:fldChar w:fldCharType="end"/>
    </w:r>
  </w:p>
  <w:p w:rsidR="00890C49" w:rsidP="005650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EC6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EB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29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0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09A"/>
    <w:pPr>
      <w:spacing w:before="360" w:after="60"/>
      <w:outlineLvl w:val="0"/>
    </w:pPr>
    <w:rPr>
      <w:sz w:val="32"/>
    </w:rPr>
  </w:style>
  <w:style w:type="paragraph" w:styleId="Heading2">
    <w:name w:val="heading 2"/>
    <w:basedOn w:val="HeadingBase"/>
    <w:next w:val="BodyText"/>
    <w:link w:val="Heading2Char"/>
    <w:qFormat/>
    <w:rsid w:val="0056509A"/>
    <w:pPr>
      <w:keepLines/>
      <w:spacing w:before="240" w:after="120"/>
      <w:outlineLvl w:val="1"/>
    </w:pPr>
    <w:rPr>
      <w:sz w:val="28"/>
      <w:szCs w:val="40"/>
    </w:rPr>
  </w:style>
  <w:style w:type="paragraph" w:styleId="Heading3">
    <w:name w:val="heading 3"/>
    <w:basedOn w:val="HeadingBase"/>
    <w:next w:val="BodyText"/>
    <w:link w:val="Heading3Char"/>
    <w:qFormat/>
    <w:rsid w:val="0056509A"/>
    <w:pPr>
      <w:spacing w:before="180" w:after="120"/>
      <w:outlineLvl w:val="2"/>
    </w:pPr>
    <w:rPr>
      <w:spacing w:val="-10"/>
      <w:kern w:val="32"/>
    </w:rPr>
  </w:style>
  <w:style w:type="paragraph" w:styleId="Heading4">
    <w:name w:val="heading 4"/>
    <w:basedOn w:val="HeadingBase"/>
    <w:next w:val="BodyText"/>
    <w:link w:val="Heading4Char"/>
    <w:qFormat/>
    <w:rsid w:val="0056509A"/>
    <w:pPr>
      <w:spacing w:before="160" w:after="120"/>
      <w:outlineLvl w:val="3"/>
    </w:pPr>
    <w:rPr>
      <w:sz w:val="22"/>
    </w:rPr>
  </w:style>
  <w:style w:type="paragraph" w:styleId="Heading5">
    <w:name w:val="heading 5"/>
    <w:basedOn w:val="HeadingBase"/>
    <w:next w:val="Normal"/>
    <w:link w:val="Heading5Char"/>
    <w:qFormat/>
    <w:rsid w:val="0056509A"/>
    <w:pPr>
      <w:spacing w:before="80"/>
      <w:outlineLvl w:val="4"/>
    </w:pPr>
    <w:rPr>
      <w:color w:val="918585"/>
      <w:sz w:val="20"/>
    </w:rPr>
  </w:style>
  <w:style w:type="paragraph" w:styleId="Heading6">
    <w:name w:val="heading 6"/>
    <w:basedOn w:val="HeadingBase"/>
    <w:next w:val="Normal"/>
    <w:link w:val="Heading6Char"/>
    <w:qFormat/>
    <w:rsid w:val="0056509A"/>
    <w:pPr>
      <w:spacing w:before="60"/>
      <w:outlineLvl w:val="5"/>
    </w:pPr>
    <w:rPr>
      <w:color w:val="918585"/>
      <w:sz w:val="20"/>
    </w:rPr>
  </w:style>
  <w:style w:type="paragraph" w:styleId="Heading7">
    <w:name w:val="heading 7"/>
    <w:basedOn w:val="Normal"/>
    <w:next w:val="Normal"/>
    <w:link w:val="Heading7Char"/>
    <w:qFormat/>
    <w:rsid w:val="0056509A"/>
    <w:pPr>
      <w:ind w:left="720"/>
      <w:outlineLvl w:val="6"/>
    </w:pPr>
    <w:rPr>
      <w:i/>
    </w:rPr>
  </w:style>
  <w:style w:type="paragraph" w:styleId="Heading8">
    <w:name w:val="heading 8"/>
    <w:basedOn w:val="Normal"/>
    <w:next w:val="Normal"/>
    <w:link w:val="Heading8Char"/>
    <w:qFormat/>
    <w:rsid w:val="0056509A"/>
    <w:pPr>
      <w:ind w:left="720"/>
      <w:outlineLvl w:val="7"/>
    </w:pPr>
    <w:rPr>
      <w:i/>
    </w:rPr>
  </w:style>
  <w:style w:type="paragraph" w:styleId="Heading9">
    <w:name w:val="heading 9"/>
    <w:basedOn w:val="Normal"/>
    <w:next w:val="Normal"/>
    <w:link w:val="Heading9Char"/>
    <w:qFormat/>
    <w:rsid w:val="0056509A"/>
    <w:pPr>
      <w:ind w:left="720"/>
      <w:outlineLvl w:val="8"/>
    </w:pPr>
    <w:rPr>
      <w:i/>
    </w:rPr>
  </w:style>
  <w:style w:type="character" w:default="1" w:styleId="DefaultParagraphFont">
    <w:name w:val="Default Paragraph Font"/>
    <w:uiPriority w:val="1"/>
    <w:unhideWhenUsed/>
    <w:rsid w:val="00565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09A"/>
  </w:style>
  <w:style w:type="character" w:customStyle="1" w:styleId="Heading1Char">
    <w:name w:val="Heading 1 Char"/>
    <w:basedOn w:val="DefaultParagraphFont"/>
    <w:link w:val="Heading1"/>
    <w:rsid w:val="0056509A"/>
    <w:rPr>
      <w:rFonts w:ascii="Times New Roman" w:eastAsia="Times New Roman" w:hAnsi="Times New Roman" w:cs="Times New Roman"/>
      <w:b/>
      <w:sz w:val="32"/>
      <w:szCs w:val="20"/>
      <w:lang w:eastAsia="en-US"/>
    </w:rPr>
  </w:style>
  <w:style w:type="paragraph" w:styleId="BodyText">
    <w:name w:val="Body Text"/>
    <w:basedOn w:val="Normal"/>
    <w:link w:val="BodyTextChar"/>
    <w:rsid w:val="005650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09A"/>
    <w:rPr>
      <w:rFonts w:ascii="Times New Roman" w:eastAsia="Times New Roman" w:hAnsi="Times New Roman" w:cs="Times New Roman"/>
      <w:sz w:val="24"/>
      <w:lang w:eastAsia="en-US"/>
    </w:rPr>
  </w:style>
  <w:style w:type="paragraph" w:styleId="ListBullet">
    <w:name w:val="List Bullet"/>
    <w:basedOn w:val="List"/>
    <w:rsid w:val="0056509A"/>
    <w:pPr>
      <w:numPr>
        <w:numId w:val="13"/>
      </w:numPr>
      <w:tabs>
        <w:tab w:val="clear" w:pos="340"/>
      </w:tabs>
      <w:spacing w:before="40" w:after="40"/>
    </w:pPr>
  </w:style>
  <w:style w:type="character" w:customStyle="1" w:styleId="SpecialBold">
    <w:name w:val="Special Bold"/>
    <w:basedOn w:val="DefaultParagraphFont"/>
    <w:rsid w:val="0056509A"/>
    <w:rPr>
      <w:b/>
      <w:spacing w:val="0"/>
    </w:rPr>
  </w:style>
  <w:style w:type="paragraph" w:styleId="ListBullet2">
    <w:name w:val="List Bullet 2"/>
    <w:basedOn w:val="List2"/>
    <w:rsid w:val="0056509A"/>
    <w:pPr>
      <w:numPr>
        <w:numId w:val="14"/>
      </w:numPr>
      <w:tabs>
        <w:tab w:val="clear" w:pos="680"/>
      </w:tabs>
    </w:pPr>
  </w:style>
  <w:style w:type="paragraph" w:customStyle="1" w:styleId="SuperHeading">
    <w:name w:val="SuperHeading"/>
    <w:basedOn w:val="Normal"/>
    <w:rsid w:val="0056509A"/>
    <w:pPr>
      <w:spacing w:before="240" w:after="120"/>
      <w:outlineLvl w:val="0"/>
    </w:pPr>
    <w:rPr>
      <w:rFonts w:ascii="Times New Roman" w:hAnsi="Times New Roman"/>
      <w:b/>
      <w:sz w:val="32"/>
    </w:rPr>
  </w:style>
  <w:style w:type="paragraph" w:customStyle="1" w:styleId="AllowPageBreak">
    <w:name w:val="AllowPageBreak"/>
    <w:rsid w:val="005650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0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0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09A"/>
    <w:rPr>
      <w:rFonts w:ascii="Courier New" w:eastAsia="Times New Roman" w:hAnsi="Courier New" w:cs="Times New Roman"/>
      <w:i/>
      <w:szCs w:val="20"/>
      <w:lang w:eastAsia="en-US"/>
    </w:rPr>
  </w:style>
  <w:style w:type="paragraph" w:customStyle="1" w:styleId="HeadingBase">
    <w:name w:val="Heading Base"/>
    <w:rsid w:val="00565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09A"/>
    <w:pPr>
      <w:tabs>
        <w:tab w:val="right" w:leader="dot" w:pos="9072"/>
      </w:tabs>
      <w:ind w:left="567"/>
    </w:pPr>
    <w:rPr>
      <w:szCs w:val="22"/>
    </w:rPr>
  </w:style>
  <w:style w:type="paragraph" w:customStyle="1" w:styleId="TOCBase">
    <w:name w:val="TOC Base"/>
    <w:rsid w:val="00565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09A"/>
    <w:pPr>
      <w:tabs>
        <w:tab w:val="right" w:leader="dot" w:pos="9072"/>
      </w:tabs>
      <w:spacing w:before="40" w:after="40"/>
      <w:ind w:left="284"/>
    </w:pPr>
    <w:rPr>
      <w:rFonts w:ascii="Times New Roman" w:hAnsi="Times New Roman"/>
    </w:rPr>
  </w:style>
  <w:style w:type="paragraph" w:styleId="TOC1">
    <w:name w:val="toc 1"/>
    <w:basedOn w:val="TOCBase"/>
    <w:next w:val="Normal"/>
    <w:rsid w:val="005650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09A"/>
    <w:rPr>
      <w:rFonts w:ascii="Times New Roman" w:eastAsia="Times New Roman" w:hAnsi="Times New Roman" w:cs="Times New Roman"/>
      <w:sz w:val="16"/>
      <w:lang w:eastAsia="en-US"/>
    </w:rPr>
  </w:style>
  <w:style w:type="paragraph" w:styleId="Title">
    <w:name w:val="Title"/>
    <w:basedOn w:val="HeadingBase"/>
    <w:link w:val="TitleChar"/>
    <w:qFormat/>
    <w:rsid w:val="0056509A"/>
    <w:pPr>
      <w:spacing w:before="5040"/>
      <w:jc w:val="center"/>
    </w:pPr>
    <w:rPr>
      <w:sz w:val="48"/>
      <w:szCs w:val="72"/>
      <w:lang w:val="en-US"/>
    </w:rPr>
  </w:style>
  <w:style w:type="character" w:customStyle="1" w:styleId="TitleChar">
    <w:name w:val="Title Char"/>
    <w:basedOn w:val="DefaultParagraphFont"/>
    <w:link w:val="Title"/>
    <w:rsid w:val="00565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09A"/>
    <w:pPr>
      <w:tabs>
        <w:tab w:val="left" w:pos="3600"/>
        <w:tab w:val="left" w:pos="3958"/>
      </w:tabs>
    </w:pPr>
  </w:style>
  <w:style w:type="paragraph" w:styleId="List">
    <w:name w:val="List"/>
    <w:basedOn w:val="BodyText"/>
    <w:next w:val="BodyText"/>
    <w:rsid w:val="0056509A"/>
    <w:pPr>
      <w:tabs>
        <w:tab w:val="left" w:pos="340"/>
      </w:tabs>
      <w:spacing w:before="60" w:after="60"/>
      <w:ind w:left="340" w:hanging="340"/>
    </w:pPr>
  </w:style>
  <w:style w:type="paragraph" w:customStyle="1" w:styleId="Note">
    <w:name w:val="Note"/>
    <w:basedOn w:val="BodyText"/>
    <w:rsid w:val="00565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09A"/>
    <w:pPr>
      <w:framePr w:wrap="auto" w:hAnchor="text" w:y="6049"/>
    </w:pPr>
    <w:rPr>
      <w:color w:val="000000"/>
      <w:sz w:val="40"/>
    </w:rPr>
  </w:style>
  <w:style w:type="paragraph" w:customStyle="1" w:styleId="TOCTitle">
    <w:name w:val="TOCTitle"/>
    <w:basedOn w:val="Heading1"/>
    <w:rsid w:val="0056509A"/>
    <w:pPr>
      <w:spacing w:after="240"/>
      <w:jc w:val="center"/>
      <w:outlineLvl w:val="9"/>
    </w:pPr>
    <w:rPr>
      <w:caps/>
    </w:rPr>
  </w:style>
  <w:style w:type="paragraph" w:customStyle="1" w:styleId="Version">
    <w:name w:val="Version"/>
    <w:rsid w:val="005650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09A"/>
    <w:pPr>
      <w:keepNext w:val="0"/>
      <w:tabs>
        <w:tab w:val="right" w:pos="4176"/>
      </w:tabs>
      <w:ind w:left="198" w:hanging="198"/>
    </w:pPr>
    <w:rPr>
      <w:rFonts w:ascii="Garamond" w:hAnsi="Garamond"/>
    </w:rPr>
  </w:style>
  <w:style w:type="paragraph" w:styleId="IndexHeading">
    <w:name w:val="index heading"/>
    <w:basedOn w:val="Normal"/>
    <w:next w:val="Index1"/>
    <w:semiHidden/>
    <w:rsid w:val="0056509A"/>
    <w:pPr>
      <w:spacing w:before="120" w:after="120"/>
    </w:pPr>
    <w:rPr>
      <w:rFonts w:ascii="Arial" w:hAnsi="Arial"/>
      <w:b/>
      <w:color w:val="918585"/>
      <w:sz w:val="24"/>
    </w:rPr>
  </w:style>
  <w:style w:type="paragraph" w:styleId="Header">
    <w:name w:val="header"/>
    <w:basedOn w:val="Normal"/>
    <w:link w:val="HeaderChar"/>
    <w:rsid w:val="00565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09A"/>
    <w:rPr>
      <w:rFonts w:ascii="Times New Roman" w:eastAsia="Times New Roman" w:hAnsi="Times New Roman" w:cs="Times New Roman"/>
      <w:sz w:val="16"/>
      <w:szCs w:val="20"/>
      <w:lang w:val="en-GB" w:eastAsia="en-US"/>
    </w:rPr>
  </w:style>
  <w:style w:type="paragraph" w:customStyle="1" w:styleId="Chapter">
    <w:name w:val="Chapter"/>
    <w:basedOn w:val="Normal"/>
    <w:rsid w:val="0056509A"/>
    <w:pPr>
      <w:spacing w:before="240"/>
    </w:pPr>
    <w:rPr>
      <w:rFonts w:ascii="Times New Roman" w:hAnsi="Times New Roman"/>
      <w:smallCaps/>
      <w:spacing w:val="80"/>
      <w:sz w:val="28"/>
    </w:rPr>
  </w:style>
  <w:style w:type="paragraph" w:customStyle="1" w:styleId="InChapter">
    <w:name w:val="InChapter"/>
    <w:basedOn w:val="Heading3"/>
    <w:rsid w:val="0056509A"/>
    <w:pPr>
      <w:spacing w:after="240"/>
      <w:outlineLvl w:val="9"/>
    </w:pPr>
    <w:rPr>
      <w:noProof/>
    </w:rPr>
  </w:style>
  <w:style w:type="paragraph" w:styleId="Index2">
    <w:name w:val="index 2"/>
    <w:basedOn w:val="Normal"/>
    <w:next w:val="Normal"/>
    <w:semiHidden/>
    <w:rsid w:val="0056509A"/>
    <w:pPr>
      <w:tabs>
        <w:tab w:val="right" w:pos="4176"/>
      </w:tabs>
      <w:ind w:left="568" w:hanging="284"/>
    </w:pPr>
    <w:rPr>
      <w:rFonts w:ascii="Garamond" w:hAnsi="Garamond"/>
    </w:rPr>
  </w:style>
  <w:style w:type="paragraph" w:customStyle="1" w:styleId="Byline">
    <w:name w:val="Byline"/>
    <w:rsid w:val="00565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09A"/>
    <w:pPr>
      <w:tabs>
        <w:tab w:val="clear" w:pos="3600"/>
        <w:tab w:val="clear" w:pos="3958"/>
      </w:tabs>
      <w:jc w:val="right"/>
    </w:pPr>
  </w:style>
  <w:style w:type="character" w:styleId="Emphasis">
    <w:name w:val="Emphasis"/>
    <w:basedOn w:val="DefaultParagraphFont"/>
    <w:qFormat/>
    <w:rsid w:val="0056509A"/>
    <w:rPr>
      <w:i/>
    </w:rPr>
  </w:style>
  <w:style w:type="paragraph" w:styleId="Caption">
    <w:name w:val="caption"/>
    <w:basedOn w:val="BodyText"/>
    <w:next w:val="Normal"/>
    <w:qFormat/>
    <w:rsid w:val="0056509A"/>
    <w:pPr>
      <w:framePr w:w="2268" w:hSpace="181" w:vSpace="181" w:wrap="around" w:vAnchor="text" w:hAnchor="page" w:x="1135" w:y="285" w:anchorLock="1"/>
    </w:pPr>
    <w:rPr>
      <w:i/>
    </w:rPr>
  </w:style>
  <w:style w:type="paragraph" w:customStyle="1" w:styleId="MiniTOCTitle">
    <w:name w:val="MiniTOCTitle"/>
    <w:basedOn w:val="Heading4"/>
    <w:rsid w:val="0056509A"/>
    <w:pPr>
      <w:spacing w:before="240"/>
      <w:outlineLvl w:val="9"/>
    </w:pPr>
    <w:rPr>
      <w:noProof/>
      <w:sz w:val="24"/>
    </w:rPr>
  </w:style>
  <w:style w:type="paragraph" w:customStyle="1" w:styleId="MiniTOCItem">
    <w:name w:val="MiniTOCItem"/>
    <w:basedOn w:val="ListBullet"/>
    <w:rsid w:val="0056509A"/>
    <w:pPr>
      <w:numPr>
        <w:numId w:val="0"/>
      </w:numPr>
      <w:tabs>
        <w:tab w:val="right" w:leader="dot" w:pos="6521"/>
      </w:tabs>
      <w:spacing w:before="0" w:after="0"/>
    </w:pPr>
  </w:style>
  <w:style w:type="paragraph" w:customStyle="1" w:styleId="TOFTitle">
    <w:name w:val="TOFTitle"/>
    <w:basedOn w:val="TOCTitle"/>
    <w:rsid w:val="0056509A"/>
  </w:style>
  <w:style w:type="paragraph" w:styleId="TableofFigures">
    <w:name w:val="table of figures"/>
    <w:basedOn w:val="Normal"/>
    <w:next w:val="Normal"/>
    <w:semiHidden/>
    <w:rsid w:val="0056509A"/>
    <w:pPr>
      <w:tabs>
        <w:tab w:val="right" w:leader="dot" w:pos="9072"/>
      </w:tabs>
      <w:ind w:left="970" w:hanging="403"/>
    </w:pPr>
    <w:rPr>
      <w:rFonts w:ascii="Times New Roman" w:hAnsi="Times New Roman"/>
      <w:b/>
    </w:rPr>
  </w:style>
  <w:style w:type="paragraph" w:styleId="ListNumber">
    <w:name w:val="List Number"/>
    <w:basedOn w:val="List"/>
    <w:rsid w:val="0056509A"/>
    <w:pPr>
      <w:numPr>
        <w:numId w:val="11"/>
      </w:numPr>
    </w:pPr>
  </w:style>
  <w:style w:type="character" w:customStyle="1" w:styleId="WingdingSymbols">
    <w:name w:val="Wingding Symbols"/>
    <w:rsid w:val="0056509A"/>
    <w:rPr>
      <w:rFonts w:ascii="Wingdings" w:hAnsi="Wingdings"/>
    </w:rPr>
  </w:style>
  <w:style w:type="paragraph" w:customStyle="1" w:styleId="TableHeading">
    <w:name w:val="Table Heading"/>
    <w:basedOn w:val="HeadingBase"/>
    <w:rsid w:val="0056509A"/>
    <w:pPr>
      <w:keepLines/>
      <w:pBdr>
        <w:bottom w:val="single" w:sz="6" w:space="1" w:color="918585"/>
      </w:pBdr>
      <w:spacing w:before="240"/>
    </w:pPr>
  </w:style>
  <w:style w:type="character" w:customStyle="1" w:styleId="HotSpot">
    <w:name w:val="HotSpot"/>
    <w:rsid w:val="0056509A"/>
    <w:rPr>
      <w:color w:val="0033CC"/>
      <w:u w:val="none"/>
    </w:rPr>
  </w:style>
  <w:style w:type="paragraph" w:customStyle="1" w:styleId="BodyTextRight">
    <w:name w:val="Body Text Right"/>
    <w:basedOn w:val="BodyText"/>
    <w:rsid w:val="0056509A"/>
    <w:pPr>
      <w:spacing w:before="0" w:after="0"/>
      <w:jc w:val="right"/>
    </w:pPr>
  </w:style>
  <w:style w:type="paragraph" w:styleId="Index3">
    <w:name w:val="index 3"/>
    <w:basedOn w:val="ListNumber2"/>
    <w:next w:val="Normal"/>
    <w:semiHidden/>
    <w:rsid w:val="0056509A"/>
    <w:pPr>
      <w:numPr>
        <w:numId w:val="0"/>
      </w:numPr>
      <w:tabs>
        <w:tab w:val="right" w:leader="dot" w:pos="4176"/>
      </w:tabs>
    </w:pPr>
  </w:style>
  <w:style w:type="paragraph" w:styleId="ListNumber2">
    <w:name w:val="List Number 2"/>
    <w:basedOn w:val="List2"/>
    <w:rsid w:val="0056509A"/>
    <w:pPr>
      <w:numPr>
        <w:numId w:val="10"/>
      </w:numPr>
      <w:tabs>
        <w:tab w:val="clear" w:pos="1060"/>
      </w:tabs>
    </w:pPr>
  </w:style>
  <w:style w:type="paragraph" w:customStyle="1" w:styleId="MarginNote">
    <w:name w:val="Margin Note"/>
    <w:basedOn w:val="BodyText"/>
    <w:rsid w:val="00565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0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09A"/>
    <w:rPr>
      <w:sz w:val="32"/>
    </w:rPr>
  </w:style>
  <w:style w:type="paragraph" w:customStyle="1" w:styleId="HeadingProcedure">
    <w:name w:val="Heading Procedure"/>
    <w:basedOn w:val="HeadingBase"/>
    <w:next w:val="Normal"/>
    <w:rsid w:val="0056509A"/>
    <w:pPr>
      <w:tabs>
        <w:tab w:val="left" w:pos="0"/>
      </w:tabs>
      <w:spacing w:before="120" w:after="60"/>
    </w:pPr>
    <w:rPr>
      <w:i/>
      <w:color w:val="918585"/>
      <w:sz w:val="22"/>
    </w:rPr>
  </w:style>
  <w:style w:type="paragraph" w:customStyle="1" w:styleId="TableBodyText">
    <w:name w:val="Table Body Text"/>
    <w:basedOn w:val="BodyText"/>
    <w:rsid w:val="0056509A"/>
    <w:pPr>
      <w:spacing w:before="60" w:after="60"/>
    </w:pPr>
  </w:style>
  <w:style w:type="paragraph" w:styleId="ListContinue">
    <w:name w:val="List Continue"/>
    <w:basedOn w:val="List"/>
    <w:rsid w:val="0056509A"/>
    <w:pPr>
      <w:ind w:firstLine="0"/>
    </w:pPr>
  </w:style>
  <w:style w:type="paragraph" w:customStyle="1" w:styleId="ListNote">
    <w:name w:val="List Note"/>
    <w:basedOn w:val="List"/>
    <w:rsid w:val="0056509A"/>
    <w:pPr>
      <w:pBdr>
        <w:top w:val="single" w:sz="6" w:space="2" w:color="918585"/>
        <w:bottom w:val="single" w:sz="6" w:space="2" w:color="918585"/>
      </w:pBdr>
      <w:tabs>
        <w:tab w:val="left" w:pos="1021"/>
      </w:tabs>
      <w:ind w:firstLine="0"/>
    </w:pPr>
  </w:style>
  <w:style w:type="paragraph" w:customStyle="1" w:styleId="Warning">
    <w:name w:val="Warning"/>
    <w:basedOn w:val="BodyText"/>
    <w:rsid w:val="0056509A"/>
    <w:pPr>
      <w:shd w:val="clear" w:color="auto" w:fill="D9D9D9"/>
      <w:tabs>
        <w:tab w:val="left" w:pos="992"/>
      </w:tabs>
      <w:ind w:left="119" w:right="119"/>
    </w:pPr>
    <w:rPr>
      <w:sz w:val="20"/>
    </w:rPr>
  </w:style>
  <w:style w:type="paragraph" w:customStyle="1" w:styleId="MarginIcons">
    <w:name w:val="Margin Icons"/>
    <w:basedOn w:val="BodyText"/>
    <w:rsid w:val="00565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09A"/>
    <w:rPr>
      <w:rFonts w:ascii="Courier New" w:hAnsi="Courier New"/>
    </w:rPr>
  </w:style>
  <w:style w:type="paragraph" w:customStyle="1" w:styleId="NoteBullet">
    <w:name w:val="Note Bullet"/>
    <w:basedOn w:val="Note"/>
    <w:rsid w:val="0056509A"/>
    <w:pPr>
      <w:tabs>
        <w:tab w:val="clear" w:pos="680"/>
      </w:tabs>
      <w:spacing w:before="60" w:after="60"/>
    </w:pPr>
  </w:style>
  <w:style w:type="paragraph" w:customStyle="1" w:styleId="SubHeading2">
    <w:name w:val="SubHeading2"/>
    <w:basedOn w:val="HeadingBase"/>
    <w:rsid w:val="0056509A"/>
    <w:pPr>
      <w:spacing w:before="240" w:after="60"/>
    </w:pPr>
    <w:rPr>
      <w:sz w:val="20"/>
    </w:rPr>
  </w:style>
  <w:style w:type="paragraph" w:customStyle="1" w:styleId="SubHeading1">
    <w:name w:val="SubHeading1"/>
    <w:basedOn w:val="HeadingBase"/>
    <w:rsid w:val="0056509A"/>
    <w:pPr>
      <w:spacing w:before="240" w:after="60"/>
    </w:pPr>
    <w:rPr>
      <w:color w:val="918585"/>
      <w:sz w:val="22"/>
    </w:rPr>
  </w:style>
  <w:style w:type="paragraph" w:customStyle="1" w:styleId="SideHeading">
    <w:name w:val="Side Heading"/>
    <w:basedOn w:val="HeadingBase"/>
    <w:rsid w:val="00565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09A"/>
    <w:pPr>
      <w:numPr>
        <w:numId w:val="12"/>
      </w:numPr>
    </w:pPr>
  </w:style>
  <w:style w:type="paragraph" w:styleId="PlainText">
    <w:name w:val="Plain Text"/>
    <w:basedOn w:val="Normal"/>
    <w:link w:val="PlainTextChar"/>
    <w:rsid w:val="0056509A"/>
    <w:rPr>
      <w:sz w:val="20"/>
    </w:rPr>
  </w:style>
  <w:style w:type="character" w:customStyle="1" w:styleId="PlainTextChar">
    <w:name w:val="Plain Text Char"/>
    <w:basedOn w:val="DefaultParagraphFont"/>
    <w:link w:val="PlainText"/>
    <w:rsid w:val="0056509A"/>
    <w:rPr>
      <w:rFonts w:ascii="Courier New" w:eastAsia="Times New Roman" w:hAnsi="Courier New" w:cs="Times New Roman"/>
      <w:sz w:val="20"/>
      <w:szCs w:val="20"/>
      <w:lang w:eastAsia="en-US"/>
    </w:rPr>
  </w:style>
  <w:style w:type="character" w:customStyle="1" w:styleId="MenuOption">
    <w:name w:val="Menu Option"/>
    <w:basedOn w:val="DefaultParagraphFont"/>
    <w:rsid w:val="0056509A"/>
    <w:rPr>
      <w:b/>
      <w:smallCaps/>
    </w:rPr>
  </w:style>
  <w:style w:type="paragraph" w:customStyle="1" w:styleId="TableListNumber">
    <w:name w:val="Table List Number"/>
    <w:basedOn w:val="ListNumber"/>
    <w:rsid w:val="0056509A"/>
    <w:pPr>
      <w:numPr>
        <w:numId w:val="0"/>
      </w:numPr>
    </w:pPr>
  </w:style>
  <w:style w:type="paragraph" w:styleId="TOC4">
    <w:name w:val="toc 4"/>
    <w:basedOn w:val="TOCBase"/>
    <w:next w:val="Normal"/>
    <w:semiHidden/>
    <w:rsid w:val="0056509A"/>
    <w:pPr>
      <w:tabs>
        <w:tab w:val="right" w:leader="dot" w:pos="9071"/>
      </w:tabs>
      <w:ind w:left="1701"/>
    </w:pPr>
  </w:style>
  <w:style w:type="paragraph" w:customStyle="1" w:styleId="ListAlpha">
    <w:name w:val="List Alpha"/>
    <w:basedOn w:val="List"/>
    <w:rsid w:val="0056509A"/>
    <w:pPr>
      <w:numPr>
        <w:numId w:val="9"/>
      </w:numPr>
    </w:pPr>
  </w:style>
  <w:style w:type="paragraph" w:customStyle="1" w:styleId="ListAlpha2">
    <w:name w:val="List Alpha 2"/>
    <w:basedOn w:val="List2"/>
    <w:rsid w:val="0056509A"/>
    <w:pPr>
      <w:numPr>
        <w:numId w:val="8"/>
      </w:numPr>
    </w:pPr>
  </w:style>
  <w:style w:type="paragraph" w:styleId="List2">
    <w:name w:val="List 2"/>
    <w:basedOn w:val="BodyText"/>
    <w:rsid w:val="0056509A"/>
    <w:pPr>
      <w:tabs>
        <w:tab w:val="left" w:pos="680"/>
      </w:tabs>
      <w:spacing w:before="60" w:after="60"/>
      <w:ind w:left="680" w:hanging="340"/>
    </w:pPr>
  </w:style>
  <w:style w:type="paragraph" w:styleId="List3">
    <w:name w:val="List 3"/>
    <w:basedOn w:val="BodyText"/>
    <w:rsid w:val="0056509A"/>
    <w:pPr>
      <w:tabs>
        <w:tab w:val="left" w:pos="1021"/>
      </w:tabs>
      <w:spacing w:before="60" w:after="60"/>
      <w:ind w:left="1020" w:hanging="340"/>
    </w:pPr>
  </w:style>
  <w:style w:type="paragraph" w:styleId="List4">
    <w:name w:val="List 4"/>
    <w:basedOn w:val="BodyText"/>
    <w:rsid w:val="0056509A"/>
    <w:pPr>
      <w:tabs>
        <w:tab w:val="left" w:pos="1361"/>
      </w:tabs>
      <w:spacing w:before="60" w:after="60"/>
      <w:ind w:left="1361" w:hanging="340"/>
    </w:pPr>
  </w:style>
  <w:style w:type="paragraph" w:styleId="List5">
    <w:name w:val="List 5"/>
    <w:basedOn w:val="BodyText"/>
    <w:rsid w:val="0056509A"/>
    <w:pPr>
      <w:tabs>
        <w:tab w:val="left" w:pos="1701"/>
      </w:tabs>
      <w:spacing w:before="60" w:after="60"/>
      <w:ind w:left="1701" w:hanging="340"/>
    </w:pPr>
  </w:style>
  <w:style w:type="paragraph" w:styleId="ListBullet3">
    <w:name w:val="List Bullet 3"/>
    <w:basedOn w:val="List3"/>
    <w:rsid w:val="0056509A"/>
    <w:pPr>
      <w:numPr>
        <w:numId w:val="15"/>
      </w:numPr>
      <w:tabs>
        <w:tab w:val="clear" w:pos="1021"/>
      </w:tabs>
      <w:ind w:left="1037" w:hanging="357"/>
    </w:pPr>
  </w:style>
  <w:style w:type="paragraph" w:styleId="ListBullet4">
    <w:name w:val="List Bullet 4"/>
    <w:basedOn w:val="List4"/>
    <w:rsid w:val="0056509A"/>
    <w:pPr>
      <w:numPr>
        <w:numId w:val="3"/>
      </w:numPr>
    </w:pPr>
  </w:style>
  <w:style w:type="paragraph" w:styleId="ListBullet5">
    <w:name w:val="List Bullet 5"/>
    <w:basedOn w:val="List5"/>
    <w:rsid w:val="0056509A"/>
    <w:pPr>
      <w:numPr>
        <w:numId w:val="4"/>
      </w:numPr>
    </w:pPr>
  </w:style>
  <w:style w:type="paragraph" w:styleId="ListContinue2">
    <w:name w:val="List Continue 2"/>
    <w:basedOn w:val="List2"/>
    <w:rsid w:val="0056509A"/>
    <w:pPr>
      <w:ind w:firstLine="0"/>
    </w:pPr>
  </w:style>
  <w:style w:type="paragraph" w:styleId="ListContinue3">
    <w:name w:val="List Continue 3"/>
    <w:basedOn w:val="List3"/>
    <w:rsid w:val="0056509A"/>
    <w:pPr>
      <w:ind w:left="1021" w:firstLine="0"/>
    </w:pPr>
  </w:style>
  <w:style w:type="paragraph" w:styleId="ListContinue4">
    <w:name w:val="List Continue 4"/>
    <w:basedOn w:val="List4"/>
    <w:rsid w:val="0056509A"/>
    <w:pPr>
      <w:ind w:firstLine="0"/>
    </w:pPr>
  </w:style>
  <w:style w:type="paragraph" w:styleId="ListContinue5">
    <w:name w:val="List Continue 5"/>
    <w:basedOn w:val="List5"/>
    <w:rsid w:val="0056509A"/>
    <w:pPr>
      <w:ind w:firstLine="0"/>
    </w:pPr>
  </w:style>
  <w:style w:type="paragraph" w:styleId="ListNumber3">
    <w:name w:val="List Number 3"/>
    <w:basedOn w:val="List3"/>
    <w:rsid w:val="0056509A"/>
    <w:pPr>
      <w:numPr>
        <w:numId w:val="5"/>
      </w:numPr>
    </w:pPr>
  </w:style>
  <w:style w:type="paragraph" w:styleId="ListNumber4">
    <w:name w:val="List Number 4"/>
    <w:basedOn w:val="List4"/>
    <w:rsid w:val="0056509A"/>
    <w:pPr>
      <w:numPr>
        <w:numId w:val="6"/>
      </w:numPr>
    </w:pPr>
  </w:style>
  <w:style w:type="paragraph" w:styleId="ListNumber5">
    <w:name w:val="List Number 5"/>
    <w:basedOn w:val="List5"/>
    <w:rsid w:val="0056509A"/>
    <w:pPr>
      <w:numPr>
        <w:numId w:val="7"/>
      </w:numPr>
    </w:pPr>
  </w:style>
  <w:style w:type="paragraph" w:styleId="BlockText">
    <w:name w:val="Block Text"/>
    <w:basedOn w:val="Normal"/>
    <w:rsid w:val="0056509A"/>
    <w:pPr>
      <w:spacing w:after="120"/>
      <w:ind w:left="1440" w:right="1440"/>
    </w:pPr>
  </w:style>
  <w:style w:type="character" w:customStyle="1" w:styleId="Subscript">
    <w:name w:val="Subscript"/>
    <w:basedOn w:val="DefaultParagraphFont"/>
    <w:rsid w:val="0056509A"/>
    <w:rPr>
      <w:sz w:val="16"/>
      <w:vertAlign w:val="subscript"/>
    </w:rPr>
  </w:style>
  <w:style w:type="character" w:customStyle="1" w:styleId="Superscript">
    <w:name w:val="Superscript"/>
    <w:basedOn w:val="DefaultParagraphFont"/>
    <w:rsid w:val="0056509A"/>
    <w:rPr>
      <w:sz w:val="16"/>
      <w:vertAlign w:val="superscript"/>
    </w:rPr>
  </w:style>
  <w:style w:type="character" w:customStyle="1" w:styleId="Symbols">
    <w:name w:val="Symbols"/>
    <w:basedOn w:val="DefaultParagraphFont"/>
    <w:rsid w:val="0056509A"/>
    <w:rPr>
      <w:rFonts w:ascii="Symbol" w:hAnsi="Symbol"/>
    </w:rPr>
  </w:style>
  <w:style w:type="character" w:customStyle="1" w:styleId="MenuOptions">
    <w:name w:val="Menu Options"/>
    <w:basedOn w:val="DefaultParagraphFont"/>
    <w:rsid w:val="0056509A"/>
    <w:rPr>
      <w:rFonts w:ascii="Arial Narrow" w:hAnsi="Arial Narrow"/>
      <w:smallCaps/>
    </w:rPr>
  </w:style>
  <w:style w:type="character" w:customStyle="1" w:styleId="Buttons">
    <w:name w:val="Buttons"/>
    <w:basedOn w:val="DefaultParagraphFont"/>
    <w:rsid w:val="0056509A"/>
    <w:rPr>
      <w:b/>
    </w:rPr>
  </w:style>
  <w:style w:type="character" w:customStyle="1" w:styleId="Underlined">
    <w:name w:val="Underlined"/>
    <w:basedOn w:val="DefaultParagraphFont"/>
    <w:rsid w:val="0056509A"/>
    <w:rPr>
      <w:u w:val="single"/>
    </w:rPr>
  </w:style>
  <w:style w:type="paragraph" w:customStyle="1" w:styleId="TableBodyTextRight">
    <w:name w:val="Table Body Text Right"/>
    <w:basedOn w:val="TableBodyText"/>
    <w:rsid w:val="0056509A"/>
    <w:pPr>
      <w:widowControl w:val="0"/>
      <w:autoSpaceDE w:val="0"/>
      <w:autoSpaceDN w:val="0"/>
      <w:adjustRightInd w:val="0"/>
      <w:jc w:val="right"/>
    </w:pPr>
    <w:rPr>
      <w:rFonts w:cs="Arial"/>
      <w:szCs w:val="18"/>
    </w:rPr>
  </w:style>
  <w:style w:type="paragraph" w:customStyle="1" w:styleId="CopyrightText">
    <w:name w:val="Copyright Text"/>
    <w:basedOn w:val="BodyText"/>
    <w:rsid w:val="0056509A"/>
    <w:rPr>
      <w:sz w:val="18"/>
    </w:rPr>
  </w:style>
  <w:style w:type="paragraph" w:customStyle="1" w:styleId="BodySmallRight">
    <w:name w:val="Body Small Right"/>
    <w:basedOn w:val="BodyTextRight"/>
    <w:rsid w:val="0056509A"/>
    <w:rPr>
      <w:sz w:val="18"/>
      <w:szCs w:val="18"/>
    </w:rPr>
  </w:style>
  <w:style w:type="paragraph" w:customStyle="1" w:styleId="MarginEdition">
    <w:name w:val="Margin Edition"/>
    <w:basedOn w:val="MarginNote"/>
    <w:rsid w:val="0056509A"/>
    <w:pPr>
      <w:spacing w:before="0" w:after="0"/>
    </w:pPr>
    <w:rPr>
      <w:rFonts w:ascii="Times New Roman" w:hAnsi="Times New Roman"/>
      <w:color w:val="999999"/>
    </w:rPr>
  </w:style>
  <w:style w:type="paragraph" w:customStyle="1" w:styleId="Spacer">
    <w:name w:val="Spacer"/>
    <w:basedOn w:val="Normal"/>
    <w:rsid w:val="0056509A"/>
    <w:rPr>
      <w:sz w:val="2"/>
      <w:szCs w:val="2"/>
    </w:rPr>
  </w:style>
  <w:style w:type="character" w:customStyle="1" w:styleId="Small">
    <w:name w:val="Small"/>
    <w:basedOn w:val="DefaultParagraphFont"/>
    <w:rsid w:val="0056509A"/>
    <w:rPr>
      <w:sz w:val="16"/>
    </w:rPr>
  </w:style>
  <w:style w:type="paragraph" w:customStyle="1" w:styleId="WideTable">
    <w:name w:val="Wide Table"/>
    <w:basedOn w:val="Normal"/>
    <w:rsid w:val="0056509A"/>
    <w:pPr>
      <w:ind w:left="-1418"/>
    </w:pPr>
    <w:rPr>
      <w:sz w:val="2"/>
      <w:szCs w:val="2"/>
    </w:rPr>
  </w:style>
  <w:style w:type="character" w:styleId="PageNumber">
    <w:name w:val="page number"/>
    <w:basedOn w:val="DefaultParagraphFont"/>
    <w:rsid w:val="0056509A"/>
  </w:style>
  <w:style w:type="paragraph" w:styleId="Quote">
    <w:name w:val="Quote"/>
    <w:basedOn w:val="Heading1"/>
    <w:link w:val="QuoteChar"/>
    <w:qFormat/>
    <w:rsid w:val="0056509A"/>
    <w:rPr>
      <w:b w:val="0"/>
      <w:sz w:val="72"/>
      <w:szCs w:val="72"/>
      <w:lang w:val="en-NZ"/>
    </w:rPr>
  </w:style>
  <w:style w:type="character" w:customStyle="1" w:styleId="QuoteChar">
    <w:name w:val="Quote Char"/>
    <w:basedOn w:val="DefaultParagraphFont"/>
    <w:link w:val="Quote"/>
    <w:rsid w:val="00565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09A"/>
    <w:pPr>
      <w:pageBreakBefore/>
    </w:pPr>
  </w:style>
  <w:style w:type="paragraph" w:customStyle="1" w:styleId="Border">
    <w:name w:val="Border"/>
    <w:basedOn w:val="Normal"/>
    <w:qFormat/>
    <w:rsid w:val="00565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09A"/>
    <w:rPr>
      <w:b/>
      <w:bCs/>
      <w:i/>
      <w:iCs/>
      <w:color w:val="auto"/>
    </w:rPr>
  </w:style>
  <w:style w:type="paragraph" w:styleId="IntenseQuote">
    <w:name w:val="Intense Quote"/>
    <w:basedOn w:val="Normal"/>
    <w:next w:val="Normal"/>
    <w:link w:val="IntenseQuoteChar"/>
    <w:uiPriority w:val="30"/>
    <w:qFormat/>
    <w:rsid w:val="00565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0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09A"/>
    <w:rPr>
      <w:smallCaps/>
      <w:color w:val="auto"/>
      <w:u w:val="single"/>
    </w:rPr>
  </w:style>
  <w:style w:type="character" w:styleId="IntenseReference">
    <w:name w:val="Intense Reference"/>
    <w:basedOn w:val="DefaultParagraphFont"/>
    <w:uiPriority w:val="32"/>
    <w:qFormat/>
    <w:rsid w:val="0056509A"/>
    <w:rPr>
      <w:b/>
      <w:bCs/>
      <w:smallCaps/>
      <w:color w:val="auto"/>
      <w:spacing w:val="5"/>
      <w:u w:val="single"/>
    </w:rPr>
  </w:style>
  <w:style w:type="paragraph" w:customStyle="1" w:styleId="2ColumnHeading">
    <w:name w:val="2Column Heading"/>
    <w:basedOn w:val="BodyText"/>
    <w:qFormat/>
    <w:rsid w:val="0056509A"/>
    <w:pPr>
      <w:spacing w:after="60"/>
      <w:ind w:left="-2268"/>
    </w:pPr>
    <w:rPr>
      <w:b/>
    </w:rPr>
  </w:style>
  <w:style w:type="paragraph" w:customStyle="1" w:styleId="Heading1TOC">
    <w:name w:val="Heading1 TOC"/>
    <w:basedOn w:val="Normal"/>
    <w:qFormat/>
    <w:rsid w:val="0056509A"/>
    <w:pPr>
      <w:spacing w:before="240" w:after="120"/>
    </w:pPr>
    <w:rPr>
      <w:rFonts w:ascii="Times New Roman" w:hAnsi="Times New Roman"/>
      <w:b/>
      <w:sz w:val="32"/>
    </w:rPr>
  </w:style>
  <w:style w:type="paragraph" w:customStyle="1" w:styleId="Heading2TOC">
    <w:name w:val="Heading2 TOC"/>
    <w:basedOn w:val="Normal"/>
    <w:qFormat/>
    <w:rsid w:val="0056509A"/>
    <w:pPr>
      <w:spacing w:before="240" w:after="60"/>
    </w:pPr>
    <w:rPr>
      <w:rFonts w:ascii="Times New Roman" w:hAnsi="Times New Roman"/>
      <w:b/>
      <w:sz w:val="28"/>
    </w:rPr>
  </w:style>
  <w:style w:type="character" w:customStyle="1" w:styleId="Underline">
    <w:name w:val="Underline"/>
    <w:basedOn w:val="DefaultParagraphFont"/>
    <w:qFormat/>
    <w:rsid w:val="0056509A"/>
    <w:rPr>
      <w:u w:val="single"/>
    </w:rPr>
  </w:style>
  <w:style w:type="character" w:customStyle="1" w:styleId="BoldandItalics">
    <w:name w:val="Bold and Italics"/>
    <w:qFormat/>
    <w:rsid w:val="0056509A"/>
    <w:rPr>
      <w:b/>
      <w:i/>
      <w:u w:val="none"/>
    </w:rPr>
  </w:style>
  <w:style w:type="paragraph" w:styleId="BalloonText">
    <w:name w:val="Balloon Text"/>
    <w:basedOn w:val="Normal"/>
    <w:link w:val="BalloonTextChar"/>
    <w:rsid w:val="0056509A"/>
    <w:rPr>
      <w:rFonts w:ascii="Tahoma" w:hAnsi="Tahoma" w:cs="Tahoma"/>
      <w:sz w:val="16"/>
      <w:szCs w:val="16"/>
    </w:rPr>
  </w:style>
  <w:style w:type="character" w:customStyle="1" w:styleId="BalloonTextChar">
    <w:name w:val="Balloon Text Char"/>
    <w:basedOn w:val="DefaultParagraphFont"/>
    <w:link w:val="BalloonText"/>
    <w:rsid w:val="005650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0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0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09A"/>
    <w:rPr>
      <w:b/>
      <w:color w:val="660033"/>
      <w:spacing w:val="0"/>
    </w:rPr>
  </w:style>
  <w:style w:type="paragraph" w:customStyle="1" w:styleId="Nameditemlist">
    <w:name w:val="Named item list"/>
    <w:basedOn w:val="BodyText"/>
    <w:qFormat/>
    <w:rsid w:val="005650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2040</Words>
  <Characters>13908</Characters>
  <Application>Microsoft Office Word</Application>
  <DocSecurity>0</DocSecurity>
  <Lines>457</Lines>
  <Paragraphs>239</Paragraphs>
  <ScaleCrop>false</ScaleCrop>
  <Company>Author-it Software Corporation Ltd.</Company>
  <LinksUpToDate>false</LinksUpToDate>
  <CharactersWithSpaces>15859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MEM234001A Plan and manage engineering-related projects or operations</dc:title>
  <dc:subject>Approved</dc:subject>
  <dc:creator>Manufacturing Skills Australia</dc:creator>
  <cp:keywords>Release: 2</cp:keywords>
  <dc:description>Review Date: 12 April 2008</dc:description>
  <cp:lastModifiedBy>HSD_TPCMSd.prod</cp:lastModifiedBy>
  <cp:revision>3</cp:revision>
  <dcterms:created xsi:type="dcterms:W3CDTF">2014-06-05T04:15:00Z</dcterms:created>
  <dcterms:modified xsi:type="dcterms:W3CDTF">2014-06-05T04:15:00Z</dcterms:modified>
</cp:coreProperties>
</file>