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07FB" w:rsidP="000007FB">
      <w:pPr>
        <w:pStyle w:val="Title"/>
      </w:pPr>
      <w:r>
        <w:fldChar w:fldCharType="begin"/>
      </w:r>
      <w:r>
        <w:instrText xml:space="preserve"> TITLE   \* MERGEFORMAT </w:instrText>
      </w:r>
      <w:r>
        <w:fldChar w:fldCharType="separate"/>
      </w:r>
      <w:r>
        <w:t>MEM23136A Evaluate stamping and forging tools</w:t>
      </w:r>
      <w:r>
        <w:fldChar w:fldCharType="end"/>
      </w:r>
    </w:p>
    <w:p w:rsidR="000007FB" w:rsidP="000007FB">
      <w:pPr>
        <w:pStyle w:val="Version"/>
        <w:sectPr w:rsidSect="00766C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6C08" w:rsidP="00766C08">
      <w:pPr>
        <w:pStyle w:val="SuperHeading"/>
      </w:pPr>
      <w:r w:rsidRPr="00766C08">
        <w:t>MEM23136A Evaluate stamping and forging tools</w:t>
      </w:r>
    </w:p>
    <w:p w:rsidR="00000000" w:rsidRPr="00766C08" w:rsidP="00766C08">
      <w:pPr>
        <w:pStyle w:val="Heading1"/>
      </w:pPr>
      <w:bookmarkStart w:id="1" w:name="O_520144"/>
      <w:bookmarkEnd w:id="1"/>
      <w:r w:rsidRPr="00766C08">
        <w:t>Modification History</w:t>
      </w:r>
    </w:p>
    <w:p w:rsidR="000007FB" w:rsidP="00766C08">
      <w:pPr>
        <w:pStyle w:val="BodyText"/>
      </w:pPr>
      <w:r w:rsidRPr="00766C08">
        <w:t>Release 1 (MEM05v9).</w:t>
      </w:r>
    </w:p>
    <w:p w:rsidR="000007FB" w:rsidP="00766C08">
      <w:pPr>
        <w:pStyle w:val="BodyText"/>
      </w:pPr>
    </w:p>
    <w:p w:rsidR="00000000" w:rsidRPr="00766C08" w:rsidP="00766C08">
      <w:pPr>
        <w:pStyle w:val="Heading1"/>
      </w:pPr>
      <w:bookmarkStart w:id="2" w:name="O_520156"/>
      <w:bookmarkEnd w:id="2"/>
      <w:r w:rsidRPr="00766C08">
        <w:t>Unit Descriptor</w:t>
      </w:r>
    </w:p>
    <w:p w:rsidR="00000000" w:rsidRPr="00766C08" w:rsidP="00766C08">
      <w:pPr>
        <w:pStyle w:val="BodyText"/>
      </w:pPr>
      <w:r w:rsidRPr="00766C08">
        <w:t>This unit of competency covers the evaluation of design features and functions of stamping and forging tools, and related processes. It includes cold piercing, punching, sh</w:t>
      </w:r>
      <w:r w:rsidRPr="00766C08">
        <w:t xml:space="preserve">earing, forming and drawing, and hot forging. </w:t>
      </w:r>
    </w:p>
    <w:p w:rsidR="00000000" w:rsidRPr="00766C08" w:rsidP="00766C08">
      <w:pPr>
        <w:pStyle w:val="AllowPageBreak"/>
      </w:pPr>
    </w:p>
    <w:p w:rsidR="00000000" w:rsidRPr="00766C08" w:rsidP="00766C08">
      <w:pPr>
        <w:pStyle w:val="Heading1"/>
      </w:pPr>
      <w:bookmarkStart w:id="3" w:name="O_520155"/>
      <w:bookmarkEnd w:id="3"/>
      <w:r w:rsidRPr="00766C08">
        <w:t>Application of the Unit</w:t>
      </w:r>
    </w:p>
    <w:p w:rsidR="00000000" w:rsidRPr="00766C08" w:rsidP="00766C08">
      <w:pPr>
        <w:pStyle w:val="BodyText"/>
      </w:pPr>
      <w:r w:rsidRPr="00766C08">
        <w:t xml:space="preserve">This unit applies to the evaluation of stamping or forging tools used in manufacturing and engineering applications. </w:t>
      </w:r>
    </w:p>
    <w:p w:rsidR="00000000" w:rsidRPr="00766C08" w:rsidP="00766C08">
      <w:pPr>
        <w:pStyle w:val="BodyText"/>
      </w:pPr>
      <w:r w:rsidRPr="00766C08">
        <w:t>It is suitable for people working as tool designer</w:t>
      </w:r>
      <w:r w:rsidRPr="00766C08">
        <w:t>s and maintenance technicians or paraprofessionals and draftspersons, and those pursuing manufacturing engineering or related technical qualifications and careers.</w:t>
      </w:r>
    </w:p>
    <w:p w:rsidR="00000000" w:rsidRPr="00766C08" w:rsidP="00766C08">
      <w:pPr>
        <w:pStyle w:val="AllowPageBreak"/>
      </w:pPr>
    </w:p>
    <w:p w:rsidR="00000000" w:rsidRPr="00766C08" w:rsidP="00766C08">
      <w:pPr>
        <w:pStyle w:val="Heading1"/>
      </w:pPr>
      <w:bookmarkStart w:id="4" w:name="O_520154"/>
      <w:bookmarkEnd w:id="4"/>
      <w:r w:rsidRPr="00766C08">
        <w:t>Licensing/Regulatory Information</w:t>
      </w:r>
    </w:p>
    <w:p w:rsidR="00000000" w:rsidRPr="00766C08" w:rsidP="00766C08">
      <w:pPr>
        <w:pStyle w:val="BodyText"/>
      </w:pPr>
      <w:r w:rsidRPr="00766C08">
        <w:t>Not applicable.</w:t>
      </w:r>
    </w:p>
    <w:p w:rsidR="00000000" w:rsidRPr="00766C08" w:rsidP="00766C08">
      <w:pPr>
        <w:pStyle w:val="AllowPageBreak"/>
      </w:pPr>
    </w:p>
    <w:p w:rsidR="00000000" w:rsidRPr="00766C08" w:rsidP="00766C08">
      <w:pPr>
        <w:pStyle w:val="Heading1"/>
      </w:pPr>
      <w:bookmarkStart w:id="5" w:name="O_520153"/>
      <w:bookmarkEnd w:id="5"/>
      <w:r w:rsidRPr="00766C08">
        <w:t>Pre-Requi</w:t>
      </w:r>
      <w:r w:rsidRPr="00766C08">
        <w:t>sites</w:t>
      </w:r>
    </w:p>
    <w:tbl>
      <w:tblPr>
        <w:tblW w:w="9354" w:type="dxa"/>
        <w:tblLayout w:type="fixed"/>
        <w:tblCellMar>
          <w:left w:w="62" w:type="dxa"/>
          <w:right w:w="62" w:type="dxa"/>
        </w:tblCellMar>
        <w:tblLook w:val="0000"/>
      </w:tblPr>
      <w:tblGrid>
        <w:gridCol w:w="2592"/>
        <w:gridCol w:w="6762"/>
      </w:tblGrid>
      <w:tr w:rsidTr="00766C08">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766C08">
            <w:pPr>
              <w:pStyle w:val="BodyText"/>
              <w:rPr>
                <w:lang w:val="en-NZ"/>
              </w:rPr>
            </w:pPr>
            <w:r w:rsidRPr="00766C08">
              <w:t>MEM23004A</w:t>
            </w:r>
          </w:p>
        </w:tc>
        <w:tc>
          <w:tcPr>
            <w:tcW w:w="6762" w:type="dxa"/>
            <w:tcBorders>
              <w:top w:val="nil"/>
              <w:left w:val="nil"/>
              <w:bottom w:val="nil"/>
              <w:right w:val="nil"/>
            </w:tcBorders>
            <w:tcMar>
              <w:top w:w="0" w:type="dxa"/>
              <w:left w:w="62" w:type="dxa"/>
              <w:bottom w:w="0" w:type="dxa"/>
              <w:right w:w="62" w:type="dxa"/>
            </w:tcMar>
          </w:tcPr>
          <w:p w:rsidR="00000000" w:rsidP="00766C08">
            <w:pPr>
              <w:pStyle w:val="BodyText"/>
              <w:rPr>
                <w:lang w:val="en-NZ"/>
              </w:rPr>
            </w:pPr>
            <w:r w:rsidRPr="00766C08">
              <w:t>Apply technical mathematics</w:t>
            </w:r>
          </w:p>
        </w:tc>
      </w:tr>
      <w:tr w:rsidTr="00766C08">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766C08">
            <w:pPr>
              <w:pStyle w:val="BodyText"/>
              <w:rPr>
                <w:lang w:val="en-NZ"/>
              </w:rPr>
            </w:pPr>
            <w:r w:rsidRPr="00766C08">
              <w:t>MEM23109A</w:t>
            </w:r>
          </w:p>
        </w:tc>
        <w:tc>
          <w:tcPr>
            <w:tcW w:w="6762" w:type="dxa"/>
            <w:tcBorders>
              <w:top w:val="nil"/>
              <w:left w:val="nil"/>
              <w:bottom w:val="nil"/>
              <w:right w:val="nil"/>
            </w:tcBorders>
            <w:tcMar>
              <w:top w:w="0" w:type="dxa"/>
              <w:left w:w="62" w:type="dxa"/>
              <w:bottom w:w="0" w:type="dxa"/>
              <w:right w:w="62" w:type="dxa"/>
            </w:tcMar>
          </w:tcPr>
          <w:p w:rsidR="00000000" w:rsidRPr="00766C08" w:rsidP="00766C08">
            <w:pPr>
              <w:pStyle w:val="BodyText"/>
            </w:pPr>
            <w:r w:rsidRPr="00766C08">
              <w:t>Apply engineering mechanic principles</w:t>
            </w:r>
          </w:p>
        </w:tc>
      </w:tr>
    </w:tbl>
    <w:p w:rsidR="00000000" w:rsidRPr="00766C08" w:rsidP="00766C08">
      <w:pPr>
        <w:pStyle w:val="BodyText"/>
      </w:pPr>
    </w:p>
    <w:p w:rsidR="00000000" w:rsidRPr="00766C08" w:rsidP="00766C08">
      <w:pPr>
        <w:pStyle w:val="AllowPageBreak"/>
      </w:pPr>
    </w:p>
    <w:p w:rsidR="00000000" w:rsidRPr="00766C08" w:rsidP="00766C08">
      <w:pPr>
        <w:pStyle w:val="Heading1"/>
      </w:pPr>
      <w:bookmarkStart w:id="6" w:name="O_520152"/>
      <w:bookmarkEnd w:id="6"/>
      <w:r w:rsidRPr="00766C08">
        <w:t>Employability Skills Information</w:t>
      </w:r>
    </w:p>
    <w:p w:rsidR="000007FB" w:rsidP="00766C08">
      <w:pPr>
        <w:pStyle w:val="BodyText"/>
      </w:pPr>
      <w:r w:rsidRPr="00766C08">
        <w:t>This unit contains employability skills.</w:t>
      </w:r>
    </w:p>
    <w:p w:rsidR="000007FB" w:rsidP="00766C08">
      <w:pPr>
        <w:pStyle w:val="BodyText"/>
      </w:pPr>
    </w:p>
    <w:p w:rsidR="00000000" w:rsidRPr="00766C08" w:rsidP="00766C08">
      <w:pPr>
        <w:pStyle w:val="Heading1"/>
      </w:pPr>
      <w:bookmarkStart w:id="7" w:name="O_520151"/>
      <w:bookmarkEnd w:id="7"/>
      <w:r w:rsidRPr="00766C08">
        <w:t>Elements and Performance Criteria Pre-Content</w:t>
      </w:r>
    </w:p>
    <w:tbl>
      <w:tblPr>
        <w:tblW w:w="0" w:type="auto"/>
        <w:tblCellMar>
          <w:left w:w="62" w:type="dxa"/>
          <w:right w:w="62" w:type="dxa"/>
        </w:tblCellMar>
        <w:tblLook w:val="0000"/>
      </w:tblPr>
      <w:tblGrid>
        <w:gridCol w:w="2576"/>
        <w:gridCol w:w="6620"/>
      </w:tblGrid>
      <w:tr w:rsidTr="000007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6C08">
            <w:pPr>
              <w:pStyle w:val="BodyText"/>
              <w:rPr>
                <w:lang w:val="en-NZ"/>
              </w:rPr>
            </w:pPr>
            <w:r w:rsidRPr="00766C08">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766C08" w:rsidP="00766C08">
            <w:pPr>
              <w:pStyle w:val="BodyText"/>
            </w:pPr>
            <w:r w:rsidRPr="00766C08">
              <w:t xml:space="preserve">Performance criteria describe the performance needed to demonstrate achievement of the element. </w:t>
            </w:r>
          </w:p>
        </w:tc>
      </w:tr>
    </w:tbl>
    <w:p w:rsidR="000007FB" w:rsidP="00766C08">
      <w:pPr>
        <w:pStyle w:val="BodyText"/>
      </w:pPr>
    </w:p>
    <w:p w:rsidR="000007FB" w:rsidP="00766C08">
      <w:pPr>
        <w:pStyle w:val="BodyText"/>
      </w:pPr>
    </w:p>
    <w:p w:rsidR="00000000" w:rsidRPr="00766C08" w:rsidP="00766C08">
      <w:pPr>
        <w:pStyle w:val="Heading1"/>
      </w:pPr>
      <w:bookmarkStart w:id="8" w:name="O_520150"/>
      <w:bookmarkEnd w:id="8"/>
      <w:r w:rsidRPr="00766C0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66C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66C08">
            <w:pPr>
              <w:pStyle w:val="BodyText"/>
              <w:rPr>
                <w:lang w:val="en-NZ"/>
              </w:rPr>
            </w:pPr>
            <w:r w:rsidRPr="00766C08">
              <w:t>1</w:t>
            </w:r>
          </w:p>
        </w:tc>
        <w:tc>
          <w:tcPr>
            <w:tcW w:w="1962" w:type="dxa"/>
            <w:vMerge w:val="restart"/>
            <w:tcBorders>
              <w:top w:val="nil"/>
              <w:left w:val="nil"/>
              <w:bottom w:val="nil"/>
              <w:right w:val="nil"/>
            </w:tcBorders>
            <w:tcMar>
              <w:top w:w="0" w:type="dxa"/>
              <w:left w:w="62" w:type="dxa"/>
              <w:bottom w:w="0" w:type="dxa"/>
              <w:right w:w="62" w:type="dxa"/>
            </w:tcMar>
          </w:tcPr>
          <w:p w:rsidR="00000000" w:rsidP="00766C08">
            <w:pPr>
              <w:pStyle w:val="BodyText"/>
              <w:rPr>
                <w:lang w:val="en-NZ"/>
              </w:rPr>
            </w:pPr>
            <w:r w:rsidRPr="00766C08">
              <w:t>Determine scope of stamping or forging tool evaluation</w:t>
            </w:r>
          </w:p>
        </w:tc>
        <w:tc>
          <w:tcPr>
            <w:tcW w:w="770" w:type="dxa"/>
            <w:tcBorders>
              <w:top w:val="nil"/>
              <w:left w:val="nil"/>
              <w:bottom w:val="nil"/>
              <w:right w:val="nil"/>
            </w:tcBorders>
            <w:tcMar>
              <w:top w:w="0" w:type="dxa"/>
              <w:left w:w="62" w:type="dxa"/>
              <w:bottom w:w="0" w:type="dxa"/>
              <w:right w:w="62" w:type="dxa"/>
            </w:tcMar>
          </w:tcPr>
          <w:p w:rsidR="00000000" w:rsidP="00766C08">
            <w:pPr>
              <w:pStyle w:val="BodyText"/>
              <w:rPr>
                <w:lang w:val="en-NZ"/>
              </w:rPr>
            </w:pPr>
            <w:r w:rsidRPr="00766C08">
              <w:t>1.1</w:t>
            </w:r>
          </w:p>
        </w:tc>
        <w:tc>
          <w:tcPr>
            <w:tcW w:w="5610" w:type="dxa"/>
            <w:tcBorders>
              <w:top w:val="nil"/>
              <w:left w:val="nil"/>
              <w:bottom w:val="nil"/>
              <w:right w:val="nil"/>
            </w:tcBorders>
            <w:tcMar>
              <w:top w:w="0" w:type="dxa"/>
              <w:left w:w="62" w:type="dxa"/>
              <w:bottom w:w="0" w:type="dxa"/>
              <w:right w:w="62" w:type="dxa"/>
            </w:tcMar>
          </w:tcPr>
          <w:p w:rsidR="00000000" w:rsidP="00766C08">
            <w:pPr>
              <w:pStyle w:val="BodyText"/>
              <w:rPr>
                <w:lang w:val="en-NZ"/>
              </w:rPr>
            </w:pPr>
            <w:r w:rsidRPr="00766C08">
              <w:t>Determine parameters and context of stamping and forging tools in manufacturing operations</w:t>
            </w:r>
          </w:p>
        </w:tc>
      </w:tr>
      <w:tr w:rsidTr="00766C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6C08">
            <w:pPr>
              <w:pStyle w:val="BodyText"/>
              <w:rPr>
                <w:lang w:val="en-NZ"/>
              </w:rPr>
            </w:pPr>
            <w:r w:rsidRPr="00766C08">
              <w:t>1.2</w:t>
            </w:r>
          </w:p>
        </w:tc>
        <w:tc>
          <w:tcPr>
            <w:tcW w:w="5610" w:type="dxa"/>
            <w:tcBorders>
              <w:top w:val="nil"/>
              <w:left w:val="nil"/>
              <w:bottom w:val="nil"/>
              <w:right w:val="nil"/>
            </w:tcBorders>
            <w:tcMar>
              <w:top w:w="0" w:type="dxa"/>
              <w:left w:w="62" w:type="dxa"/>
              <w:bottom w:w="0" w:type="dxa"/>
              <w:right w:w="62" w:type="dxa"/>
            </w:tcMar>
          </w:tcPr>
          <w:p w:rsidR="00000000" w:rsidP="00766C08">
            <w:pPr>
              <w:pStyle w:val="BodyText"/>
              <w:rPr>
                <w:lang w:val="en-NZ"/>
              </w:rPr>
            </w:pPr>
            <w:r w:rsidRPr="00766C08">
              <w:t>Confirm stakeholders to be consulted on evaluation</w:t>
            </w:r>
          </w:p>
        </w:tc>
      </w:tr>
      <w:tr w:rsidTr="00766C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6C08">
            <w:pPr>
              <w:pStyle w:val="BodyText"/>
              <w:rPr>
                <w:lang w:val="en-NZ"/>
              </w:rPr>
            </w:pPr>
            <w:r w:rsidRPr="00766C08">
              <w:t>1.3</w:t>
            </w:r>
          </w:p>
        </w:tc>
        <w:tc>
          <w:tcPr>
            <w:tcW w:w="5610" w:type="dxa"/>
            <w:tcBorders>
              <w:top w:val="nil"/>
              <w:left w:val="nil"/>
              <w:bottom w:val="nil"/>
              <w:right w:val="nil"/>
            </w:tcBorders>
            <w:tcMar>
              <w:top w:w="0" w:type="dxa"/>
              <w:left w:w="62" w:type="dxa"/>
              <w:bottom w:w="0" w:type="dxa"/>
              <w:right w:w="62" w:type="dxa"/>
            </w:tcMar>
          </w:tcPr>
          <w:p w:rsidR="00000000" w:rsidP="00766C08">
            <w:pPr>
              <w:pStyle w:val="BodyText"/>
              <w:rPr>
                <w:lang w:val="en-NZ"/>
              </w:rPr>
            </w:pPr>
            <w:r w:rsidRPr="00766C08">
              <w:t>Confirm that appropriate support, includi</w:t>
            </w:r>
            <w:r w:rsidRPr="00766C08">
              <w:t xml:space="preserve">ng technical and professional assistance, is available </w:t>
            </w:r>
          </w:p>
        </w:tc>
      </w:tr>
      <w:tr w:rsidTr="00766C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6C08">
            <w:pPr>
              <w:pStyle w:val="BodyText"/>
              <w:rPr>
                <w:lang w:val="en-NZ"/>
              </w:rPr>
            </w:pPr>
            <w:r w:rsidRPr="00766C08">
              <w:t>1.4</w:t>
            </w:r>
          </w:p>
        </w:tc>
        <w:tc>
          <w:tcPr>
            <w:tcW w:w="5610" w:type="dxa"/>
            <w:tcBorders>
              <w:top w:val="nil"/>
              <w:left w:val="nil"/>
              <w:bottom w:val="nil"/>
              <w:right w:val="nil"/>
            </w:tcBorders>
            <w:tcMar>
              <w:top w:w="0" w:type="dxa"/>
              <w:left w:w="62" w:type="dxa"/>
              <w:bottom w:w="0" w:type="dxa"/>
              <w:right w:w="62" w:type="dxa"/>
            </w:tcMar>
          </w:tcPr>
          <w:p w:rsidR="00000000" w:rsidRPr="00766C08" w:rsidP="00766C08">
            <w:pPr>
              <w:pStyle w:val="BodyText"/>
            </w:pPr>
            <w:r w:rsidRPr="00766C08">
              <w:t>Identify relevant work health and safety (WHS) and regulatory requirements, standards, codes of practice, risk management and organisational procedures</w:t>
            </w:r>
          </w:p>
        </w:tc>
      </w:tr>
    </w:tbl>
    <w:p w:rsidR="00000000" w:rsidRPr="00766C08" w:rsidP="00766C08">
      <w:pPr>
        <w:pStyle w:val="BodyText"/>
      </w:pPr>
    </w:p>
    <w:tbl>
      <w:tblPr>
        <w:tblW w:w="0" w:type="auto"/>
        <w:tblLayout w:type="fixed"/>
        <w:tblCellMar>
          <w:left w:w="62" w:type="dxa"/>
          <w:right w:w="62" w:type="dxa"/>
        </w:tblCellMar>
        <w:tblLook w:val="0000"/>
      </w:tblPr>
      <w:tblGrid>
        <w:gridCol w:w="678"/>
        <w:gridCol w:w="1962"/>
        <w:gridCol w:w="770"/>
        <w:gridCol w:w="5610"/>
      </w:tblGrid>
      <w:tr w:rsidTr="00766C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66C08">
            <w:pPr>
              <w:pStyle w:val="BodyText"/>
              <w:rPr>
                <w:lang w:val="en-NZ"/>
              </w:rPr>
            </w:pPr>
            <w:r w:rsidRPr="00766C08">
              <w:t>2</w:t>
            </w:r>
          </w:p>
        </w:tc>
        <w:tc>
          <w:tcPr>
            <w:tcW w:w="1962" w:type="dxa"/>
            <w:vMerge w:val="restart"/>
            <w:tcBorders>
              <w:top w:val="nil"/>
              <w:left w:val="nil"/>
              <w:bottom w:val="nil"/>
              <w:right w:val="nil"/>
            </w:tcBorders>
            <w:tcMar>
              <w:top w:w="0" w:type="dxa"/>
              <w:left w:w="62" w:type="dxa"/>
              <w:bottom w:w="0" w:type="dxa"/>
              <w:right w:w="62" w:type="dxa"/>
            </w:tcMar>
          </w:tcPr>
          <w:p w:rsidR="00000000" w:rsidP="00766C08">
            <w:pPr>
              <w:pStyle w:val="BodyText"/>
              <w:rPr>
                <w:lang w:val="en-NZ"/>
              </w:rPr>
            </w:pPr>
            <w:r w:rsidRPr="00766C08">
              <w:t>Prepare for evaluation of forging or stamping tool</w:t>
            </w:r>
          </w:p>
        </w:tc>
        <w:tc>
          <w:tcPr>
            <w:tcW w:w="770" w:type="dxa"/>
            <w:tcBorders>
              <w:top w:val="nil"/>
              <w:left w:val="nil"/>
              <w:bottom w:val="nil"/>
              <w:right w:val="nil"/>
            </w:tcBorders>
            <w:tcMar>
              <w:top w:w="0" w:type="dxa"/>
              <w:left w:w="62" w:type="dxa"/>
              <w:bottom w:w="0" w:type="dxa"/>
              <w:right w:w="62" w:type="dxa"/>
            </w:tcMar>
          </w:tcPr>
          <w:p w:rsidR="00000000" w:rsidP="00766C08">
            <w:pPr>
              <w:pStyle w:val="BodyText"/>
              <w:rPr>
                <w:lang w:val="en-NZ"/>
              </w:rPr>
            </w:pPr>
            <w:r w:rsidRPr="00766C08">
              <w:t>2.1</w:t>
            </w:r>
          </w:p>
        </w:tc>
        <w:tc>
          <w:tcPr>
            <w:tcW w:w="5610" w:type="dxa"/>
            <w:tcBorders>
              <w:top w:val="nil"/>
              <w:left w:val="nil"/>
              <w:bottom w:val="nil"/>
              <w:right w:val="nil"/>
            </w:tcBorders>
            <w:tcMar>
              <w:top w:w="0" w:type="dxa"/>
              <w:left w:w="62" w:type="dxa"/>
              <w:bottom w:w="0" w:type="dxa"/>
              <w:right w:w="62" w:type="dxa"/>
            </w:tcMar>
          </w:tcPr>
          <w:p w:rsidR="00000000" w:rsidP="00766C08">
            <w:pPr>
              <w:pStyle w:val="BodyText"/>
              <w:rPr>
                <w:lang w:val="en-NZ"/>
              </w:rPr>
            </w:pPr>
            <w:r w:rsidRPr="00766C08">
              <w:t>Identify principles and techniques required to evaluate and optimise stamping and forging tools</w:t>
            </w:r>
          </w:p>
        </w:tc>
      </w:tr>
      <w:tr w:rsidTr="00766C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6C08">
            <w:pPr>
              <w:pStyle w:val="BodyText"/>
              <w:rPr>
                <w:lang w:val="en-NZ"/>
              </w:rPr>
            </w:pPr>
            <w:r w:rsidRPr="00766C08">
              <w:t>2.2</w:t>
            </w:r>
          </w:p>
        </w:tc>
        <w:tc>
          <w:tcPr>
            <w:tcW w:w="5610" w:type="dxa"/>
            <w:tcBorders>
              <w:top w:val="nil"/>
              <w:left w:val="nil"/>
              <w:bottom w:val="nil"/>
              <w:right w:val="nil"/>
            </w:tcBorders>
            <w:tcMar>
              <w:top w:w="0" w:type="dxa"/>
              <w:left w:w="62" w:type="dxa"/>
              <w:bottom w:w="0" w:type="dxa"/>
              <w:right w:w="62" w:type="dxa"/>
            </w:tcMar>
          </w:tcPr>
          <w:p w:rsidR="00000000" w:rsidP="00766C08">
            <w:pPr>
              <w:pStyle w:val="BodyText"/>
              <w:rPr>
                <w:lang w:val="en-NZ"/>
              </w:rPr>
            </w:pPr>
            <w:r w:rsidRPr="00766C08">
              <w:t>Select appropriate analysis techniques</w:t>
            </w:r>
          </w:p>
        </w:tc>
      </w:tr>
      <w:tr w:rsidTr="00766C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6C08">
            <w:pPr>
              <w:pStyle w:val="BodyText"/>
              <w:rPr>
                <w:lang w:val="en-NZ"/>
              </w:rPr>
            </w:pPr>
            <w:r w:rsidRPr="00766C08">
              <w:t>2.3</w:t>
            </w:r>
          </w:p>
        </w:tc>
        <w:tc>
          <w:tcPr>
            <w:tcW w:w="5610" w:type="dxa"/>
            <w:tcBorders>
              <w:top w:val="nil"/>
              <w:left w:val="nil"/>
              <w:bottom w:val="nil"/>
              <w:right w:val="nil"/>
            </w:tcBorders>
            <w:tcMar>
              <w:top w:w="0" w:type="dxa"/>
              <w:left w:w="62" w:type="dxa"/>
              <w:bottom w:w="0" w:type="dxa"/>
              <w:right w:w="62" w:type="dxa"/>
            </w:tcMar>
          </w:tcPr>
          <w:p w:rsidR="00000000" w:rsidRPr="00766C08" w:rsidP="00766C08">
            <w:pPr>
              <w:pStyle w:val="BodyText"/>
            </w:pPr>
            <w:r w:rsidRPr="00766C08">
              <w:t>Investigate sustainability implications of forg</w:t>
            </w:r>
            <w:r w:rsidRPr="00766C08">
              <w:t>ing or stamping tooling</w:t>
            </w:r>
          </w:p>
        </w:tc>
      </w:tr>
    </w:tbl>
    <w:p w:rsidR="00000000" w:rsidRPr="00766C08" w:rsidP="00766C08">
      <w:pPr>
        <w:pStyle w:val="BodyText"/>
      </w:pPr>
    </w:p>
    <w:tbl>
      <w:tblPr>
        <w:tblW w:w="0" w:type="auto"/>
        <w:tblLayout w:type="fixed"/>
        <w:tblCellMar>
          <w:left w:w="62" w:type="dxa"/>
          <w:right w:w="62" w:type="dxa"/>
        </w:tblCellMar>
        <w:tblLook w:val="0000"/>
      </w:tblPr>
      <w:tblGrid>
        <w:gridCol w:w="678"/>
        <w:gridCol w:w="1962"/>
        <w:gridCol w:w="770"/>
        <w:gridCol w:w="5610"/>
      </w:tblGrid>
      <w:tr w:rsidTr="00766C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66C08">
            <w:pPr>
              <w:pStyle w:val="BodyText"/>
              <w:rPr>
                <w:lang w:val="en-NZ"/>
              </w:rPr>
            </w:pPr>
            <w:r w:rsidRPr="00766C08">
              <w:t>3</w:t>
            </w:r>
          </w:p>
        </w:tc>
        <w:tc>
          <w:tcPr>
            <w:tcW w:w="1962" w:type="dxa"/>
            <w:vMerge w:val="restart"/>
            <w:tcBorders>
              <w:top w:val="nil"/>
              <w:left w:val="nil"/>
              <w:bottom w:val="nil"/>
              <w:right w:val="nil"/>
            </w:tcBorders>
            <w:tcMar>
              <w:top w:w="0" w:type="dxa"/>
              <w:left w:w="62" w:type="dxa"/>
              <w:bottom w:w="0" w:type="dxa"/>
              <w:right w:w="62" w:type="dxa"/>
            </w:tcMar>
          </w:tcPr>
          <w:p w:rsidR="00000000" w:rsidP="00766C08">
            <w:pPr>
              <w:pStyle w:val="BodyText"/>
              <w:rPr>
                <w:lang w:val="en-NZ"/>
              </w:rPr>
            </w:pPr>
            <w:r w:rsidRPr="00766C08">
              <w:t>Evaluate stamping and forging tools and related manufacturing processes</w:t>
            </w:r>
          </w:p>
        </w:tc>
        <w:tc>
          <w:tcPr>
            <w:tcW w:w="770" w:type="dxa"/>
            <w:tcBorders>
              <w:top w:val="nil"/>
              <w:left w:val="nil"/>
              <w:bottom w:val="nil"/>
              <w:right w:val="nil"/>
            </w:tcBorders>
            <w:tcMar>
              <w:top w:w="0" w:type="dxa"/>
              <w:left w:w="62" w:type="dxa"/>
              <w:bottom w:w="0" w:type="dxa"/>
              <w:right w:w="62" w:type="dxa"/>
            </w:tcMar>
          </w:tcPr>
          <w:p w:rsidR="00000000" w:rsidP="00766C08">
            <w:pPr>
              <w:pStyle w:val="BodyText"/>
              <w:rPr>
                <w:lang w:val="en-NZ"/>
              </w:rPr>
            </w:pPr>
            <w:r w:rsidRPr="00766C08">
              <w:t>3.1</w:t>
            </w:r>
          </w:p>
        </w:tc>
        <w:tc>
          <w:tcPr>
            <w:tcW w:w="5610" w:type="dxa"/>
            <w:tcBorders>
              <w:top w:val="nil"/>
              <w:left w:val="nil"/>
              <w:bottom w:val="nil"/>
              <w:right w:val="nil"/>
            </w:tcBorders>
            <w:tcMar>
              <w:top w:w="0" w:type="dxa"/>
              <w:left w:w="62" w:type="dxa"/>
              <w:bottom w:w="0" w:type="dxa"/>
              <w:right w:w="62" w:type="dxa"/>
            </w:tcMar>
          </w:tcPr>
          <w:p w:rsidR="00000000" w:rsidP="00766C08">
            <w:pPr>
              <w:pStyle w:val="BodyText"/>
              <w:rPr>
                <w:lang w:val="en-NZ"/>
              </w:rPr>
            </w:pPr>
            <w:r w:rsidRPr="00766C08">
              <w:t>Review design and construction features of functions of stamping and forging tools, and related manufacturing processes</w:t>
            </w:r>
          </w:p>
        </w:tc>
      </w:tr>
      <w:tr w:rsidTr="00766C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6C08">
            <w:pPr>
              <w:pStyle w:val="BodyText"/>
              <w:rPr>
                <w:lang w:val="en-NZ"/>
              </w:rPr>
            </w:pPr>
            <w:r w:rsidRPr="00766C08">
              <w:t>3.2</w:t>
            </w:r>
          </w:p>
        </w:tc>
        <w:tc>
          <w:tcPr>
            <w:tcW w:w="5610" w:type="dxa"/>
            <w:tcBorders>
              <w:top w:val="nil"/>
              <w:left w:val="nil"/>
              <w:bottom w:val="nil"/>
              <w:right w:val="nil"/>
            </w:tcBorders>
            <w:tcMar>
              <w:top w:w="0" w:type="dxa"/>
              <w:left w:w="62" w:type="dxa"/>
              <w:bottom w:w="0" w:type="dxa"/>
              <w:right w:w="62" w:type="dxa"/>
            </w:tcMar>
          </w:tcPr>
          <w:p w:rsidR="00000000" w:rsidP="00766C08">
            <w:pPr>
              <w:pStyle w:val="BodyText"/>
              <w:rPr>
                <w:lang w:val="en-NZ"/>
              </w:rPr>
            </w:pPr>
            <w:r w:rsidRPr="00766C08">
              <w:t xml:space="preserve">Assess stamping and forging tools and related manufacturing processes for compliance with WHS and other regulatory and risk management requirements </w:t>
            </w:r>
          </w:p>
        </w:tc>
      </w:tr>
      <w:tr w:rsidTr="00766C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6C08">
            <w:pPr>
              <w:pStyle w:val="BodyText"/>
              <w:rPr>
                <w:lang w:val="en-NZ"/>
              </w:rPr>
            </w:pPr>
            <w:r w:rsidRPr="00766C08">
              <w:t>3.3</w:t>
            </w:r>
          </w:p>
        </w:tc>
        <w:tc>
          <w:tcPr>
            <w:tcW w:w="5610" w:type="dxa"/>
            <w:tcBorders>
              <w:top w:val="nil"/>
              <w:left w:val="nil"/>
              <w:bottom w:val="nil"/>
              <w:right w:val="nil"/>
            </w:tcBorders>
            <w:tcMar>
              <w:top w:w="0" w:type="dxa"/>
              <w:left w:w="62" w:type="dxa"/>
              <w:bottom w:w="0" w:type="dxa"/>
              <w:right w:w="62" w:type="dxa"/>
            </w:tcMar>
          </w:tcPr>
          <w:p w:rsidR="00000000" w:rsidP="00766C08">
            <w:pPr>
              <w:pStyle w:val="BodyText"/>
              <w:rPr>
                <w:lang w:val="en-NZ"/>
              </w:rPr>
            </w:pPr>
            <w:r w:rsidRPr="00766C08">
              <w:t>Assess stamping and forging tools, products and processes for sustainability</w:t>
            </w:r>
          </w:p>
        </w:tc>
      </w:tr>
      <w:tr w:rsidTr="00766C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6C08">
            <w:pPr>
              <w:pStyle w:val="BodyText"/>
              <w:rPr>
                <w:lang w:val="en-NZ"/>
              </w:rPr>
            </w:pPr>
            <w:r w:rsidRPr="00766C08">
              <w:t>3.4</w:t>
            </w:r>
          </w:p>
        </w:tc>
        <w:tc>
          <w:tcPr>
            <w:tcW w:w="5610" w:type="dxa"/>
            <w:tcBorders>
              <w:top w:val="nil"/>
              <w:left w:val="nil"/>
              <w:bottom w:val="nil"/>
              <w:right w:val="nil"/>
            </w:tcBorders>
            <w:tcMar>
              <w:top w:w="0" w:type="dxa"/>
              <w:left w:w="62" w:type="dxa"/>
              <w:bottom w:w="0" w:type="dxa"/>
              <w:right w:w="62" w:type="dxa"/>
            </w:tcMar>
          </w:tcPr>
          <w:p w:rsidR="00000000" w:rsidP="00766C08">
            <w:pPr>
              <w:pStyle w:val="BodyText"/>
              <w:rPr>
                <w:lang w:val="en-NZ"/>
              </w:rPr>
            </w:pPr>
            <w:r w:rsidRPr="00766C08">
              <w:t>Assess suitabili</w:t>
            </w:r>
            <w:r w:rsidRPr="00766C08">
              <w:t>ty of stamping and forging tools for integration with quick changeover, preventative maintenance and other lean manufacturing-related techniques</w:t>
            </w:r>
          </w:p>
        </w:tc>
      </w:tr>
      <w:tr w:rsidTr="00766C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6C08">
            <w:pPr>
              <w:pStyle w:val="BodyText"/>
              <w:rPr>
                <w:lang w:val="en-NZ"/>
              </w:rPr>
            </w:pPr>
            <w:r w:rsidRPr="00766C08">
              <w:t>3.5</w:t>
            </w:r>
          </w:p>
        </w:tc>
        <w:tc>
          <w:tcPr>
            <w:tcW w:w="5610" w:type="dxa"/>
            <w:tcBorders>
              <w:top w:val="nil"/>
              <w:left w:val="nil"/>
              <w:bottom w:val="nil"/>
              <w:right w:val="nil"/>
            </w:tcBorders>
            <w:tcMar>
              <w:top w:w="0" w:type="dxa"/>
              <w:left w:w="62" w:type="dxa"/>
              <w:bottom w:w="0" w:type="dxa"/>
              <w:right w:w="62" w:type="dxa"/>
            </w:tcMar>
          </w:tcPr>
          <w:p w:rsidR="00000000" w:rsidP="00766C08">
            <w:pPr>
              <w:pStyle w:val="BodyText"/>
              <w:rPr>
                <w:lang w:val="en-NZ"/>
              </w:rPr>
            </w:pPr>
            <w:r w:rsidRPr="00766C08">
              <w:t xml:space="preserve">Review integration of stamping and forging tools with production management and control software </w:t>
            </w:r>
          </w:p>
        </w:tc>
      </w:tr>
      <w:tr w:rsidTr="00766C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6C08">
            <w:pPr>
              <w:pStyle w:val="BodyText"/>
              <w:rPr>
                <w:lang w:val="en-NZ"/>
              </w:rPr>
            </w:pPr>
            <w:r w:rsidRPr="00766C08">
              <w:t>3.6</w:t>
            </w:r>
          </w:p>
        </w:tc>
        <w:tc>
          <w:tcPr>
            <w:tcW w:w="5610" w:type="dxa"/>
            <w:tcBorders>
              <w:top w:val="nil"/>
              <w:left w:val="nil"/>
              <w:bottom w:val="nil"/>
              <w:right w:val="nil"/>
            </w:tcBorders>
            <w:tcMar>
              <w:top w:w="0" w:type="dxa"/>
              <w:left w:w="62" w:type="dxa"/>
              <w:bottom w:w="0" w:type="dxa"/>
              <w:right w:w="62" w:type="dxa"/>
            </w:tcMar>
          </w:tcPr>
          <w:p w:rsidR="00000000" w:rsidP="00766C08">
            <w:pPr>
              <w:pStyle w:val="BodyText"/>
              <w:rPr>
                <w:lang w:val="en-NZ"/>
              </w:rPr>
            </w:pPr>
            <w:r w:rsidRPr="00766C08">
              <w:t>Apply systems thinking, continuous improvement, problem solving and decision making, and constraint and contingency management principles and techniques to evaluation</w:t>
            </w:r>
          </w:p>
        </w:tc>
      </w:tr>
      <w:tr w:rsidTr="00766C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6C08">
            <w:pPr>
              <w:pStyle w:val="BodyText"/>
              <w:rPr>
                <w:lang w:val="en-NZ"/>
              </w:rPr>
            </w:pPr>
            <w:r w:rsidRPr="00766C08">
              <w:t>3.7</w:t>
            </w:r>
          </w:p>
        </w:tc>
        <w:tc>
          <w:tcPr>
            <w:tcW w:w="5610" w:type="dxa"/>
            <w:tcBorders>
              <w:top w:val="nil"/>
              <w:left w:val="nil"/>
              <w:bottom w:val="nil"/>
              <w:right w:val="nil"/>
            </w:tcBorders>
            <w:tcMar>
              <w:top w:w="0" w:type="dxa"/>
              <w:left w:w="62" w:type="dxa"/>
              <w:bottom w:w="0" w:type="dxa"/>
              <w:right w:w="62" w:type="dxa"/>
            </w:tcMar>
          </w:tcPr>
          <w:p w:rsidR="00000000" w:rsidRPr="00766C08" w:rsidP="00766C08">
            <w:pPr>
              <w:pStyle w:val="BodyText"/>
            </w:pPr>
            <w:r w:rsidRPr="00766C08">
              <w:t>Review tooling in relation to product manufacturability and process maintainability</w:t>
            </w:r>
          </w:p>
        </w:tc>
      </w:tr>
    </w:tbl>
    <w:p w:rsidR="00000000" w:rsidRPr="00766C08" w:rsidP="00766C08">
      <w:pPr>
        <w:pStyle w:val="BodyText"/>
      </w:pPr>
    </w:p>
    <w:tbl>
      <w:tblPr>
        <w:tblW w:w="0" w:type="auto"/>
        <w:tblLayout w:type="fixed"/>
        <w:tblCellMar>
          <w:left w:w="62" w:type="dxa"/>
          <w:right w:w="62" w:type="dxa"/>
        </w:tblCellMar>
        <w:tblLook w:val="0000"/>
      </w:tblPr>
      <w:tblGrid>
        <w:gridCol w:w="678"/>
        <w:gridCol w:w="1962"/>
        <w:gridCol w:w="770"/>
        <w:gridCol w:w="5610"/>
      </w:tblGrid>
      <w:tr w:rsidTr="00766C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66C08">
            <w:pPr>
              <w:pStyle w:val="BodyText"/>
              <w:rPr>
                <w:lang w:val="en-NZ"/>
              </w:rPr>
            </w:pPr>
            <w:r w:rsidRPr="00766C08">
              <w:t>4</w:t>
            </w:r>
          </w:p>
        </w:tc>
        <w:tc>
          <w:tcPr>
            <w:tcW w:w="1962" w:type="dxa"/>
            <w:vMerge w:val="restart"/>
            <w:tcBorders>
              <w:top w:val="nil"/>
              <w:left w:val="nil"/>
              <w:bottom w:val="nil"/>
              <w:right w:val="nil"/>
            </w:tcBorders>
            <w:tcMar>
              <w:top w:w="0" w:type="dxa"/>
              <w:left w:w="62" w:type="dxa"/>
              <w:bottom w:w="0" w:type="dxa"/>
              <w:right w:w="62" w:type="dxa"/>
            </w:tcMar>
          </w:tcPr>
          <w:p w:rsidR="00000000" w:rsidP="00766C08">
            <w:pPr>
              <w:pStyle w:val="BodyText"/>
              <w:rPr>
                <w:lang w:val="en-NZ"/>
              </w:rPr>
            </w:pPr>
            <w:r w:rsidRPr="00766C08">
              <w:t>Report results</w:t>
            </w:r>
          </w:p>
        </w:tc>
        <w:tc>
          <w:tcPr>
            <w:tcW w:w="770" w:type="dxa"/>
            <w:tcBorders>
              <w:top w:val="nil"/>
              <w:left w:val="nil"/>
              <w:bottom w:val="nil"/>
              <w:right w:val="nil"/>
            </w:tcBorders>
            <w:tcMar>
              <w:top w:w="0" w:type="dxa"/>
              <w:left w:w="62" w:type="dxa"/>
              <w:bottom w:w="0" w:type="dxa"/>
              <w:right w:w="62" w:type="dxa"/>
            </w:tcMar>
          </w:tcPr>
          <w:p w:rsidR="00000000" w:rsidP="00766C08">
            <w:pPr>
              <w:pStyle w:val="BodyText"/>
              <w:rPr>
                <w:lang w:val="en-NZ"/>
              </w:rPr>
            </w:pPr>
            <w:r w:rsidRPr="00766C08">
              <w:t>4.1</w:t>
            </w:r>
          </w:p>
        </w:tc>
        <w:tc>
          <w:tcPr>
            <w:tcW w:w="5610" w:type="dxa"/>
            <w:tcBorders>
              <w:top w:val="nil"/>
              <w:left w:val="nil"/>
              <w:bottom w:val="nil"/>
              <w:right w:val="nil"/>
            </w:tcBorders>
            <w:tcMar>
              <w:top w:w="0" w:type="dxa"/>
              <w:left w:w="62" w:type="dxa"/>
              <w:bottom w:w="0" w:type="dxa"/>
              <w:right w:w="62" w:type="dxa"/>
            </w:tcMar>
          </w:tcPr>
          <w:p w:rsidR="00000000" w:rsidP="00766C08">
            <w:pPr>
              <w:pStyle w:val="BodyText"/>
              <w:rPr>
                <w:lang w:val="en-NZ"/>
              </w:rPr>
            </w:pPr>
            <w:r w:rsidRPr="00766C08">
              <w:t>Record results of evaluation</w:t>
            </w:r>
          </w:p>
        </w:tc>
      </w:tr>
      <w:tr w:rsidTr="00766C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6C08">
            <w:pPr>
              <w:pStyle w:val="BodyText"/>
              <w:rPr>
                <w:lang w:val="en-NZ"/>
              </w:rPr>
            </w:pPr>
            <w:r w:rsidRPr="00766C08">
              <w:t>4.2</w:t>
            </w:r>
          </w:p>
        </w:tc>
        <w:tc>
          <w:tcPr>
            <w:tcW w:w="5610" w:type="dxa"/>
            <w:tcBorders>
              <w:top w:val="nil"/>
              <w:left w:val="nil"/>
              <w:bottom w:val="nil"/>
              <w:right w:val="nil"/>
            </w:tcBorders>
            <w:tcMar>
              <w:top w:w="0" w:type="dxa"/>
              <w:left w:w="62" w:type="dxa"/>
              <w:bottom w:w="0" w:type="dxa"/>
              <w:right w:w="62" w:type="dxa"/>
            </w:tcMar>
          </w:tcPr>
          <w:p w:rsidR="00000000" w:rsidRPr="00766C08" w:rsidP="00766C08">
            <w:pPr>
              <w:pStyle w:val="BodyText"/>
            </w:pPr>
            <w:r w:rsidRPr="00766C08">
              <w:t>Provide documentation, such as tool, product and process analysis, and computer-aided design (CAD) files</w:t>
            </w:r>
          </w:p>
        </w:tc>
      </w:tr>
    </w:tbl>
    <w:p w:rsidR="000007FB" w:rsidP="00766C08">
      <w:pPr>
        <w:pStyle w:val="BodyText"/>
      </w:pPr>
    </w:p>
    <w:p w:rsidR="000007FB" w:rsidP="00766C08">
      <w:pPr>
        <w:pStyle w:val="BodyText"/>
      </w:pPr>
    </w:p>
    <w:p w:rsidR="00000000" w:rsidRPr="00766C08" w:rsidP="00766C08">
      <w:pPr>
        <w:pStyle w:val="Heading1"/>
      </w:pPr>
      <w:bookmarkStart w:id="9" w:name="O_520149"/>
      <w:bookmarkEnd w:id="9"/>
      <w:r w:rsidRPr="00766C08">
        <w:t>Required Skills and Knowledge</w:t>
      </w:r>
    </w:p>
    <w:tbl>
      <w:tblPr>
        <w:tblW w:w="9462" w:type="dxa"/>
        <w:tblLayout w:type="fixed"/>
        <w:tblCellMar>
          <w:left w:w="62" w:type="dxa"/>
          <w:right w:w="62" w:type="dxa"/>
        </w:tblCellMar>
        <w:tblLook w:val="0000"/>
      </w:tblPr>
      <w:tblGrid>
        <w:gridCol w:w="9462"/>
      </w:tblGrid>
      <w:tr w:rsidTr="00766C0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66C08">
            <w:pPr>
              <w:pStyle w:val="BodyText"/>
              <w:rPr>
                <w:lang w:val="en-NZ"/>
              </w:rPr>
            </w:pPr>
            <w:r w:rsidRPr="00766C08">
              <w:t>This section describes the skills and knowledge required for this unit.</w:t>
            </w:r>
          </w:p>
        </w:tc>
      </w:tr>
      <w:tr w:rsidTr="00766C0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66C08">
            <w:pPr>
              <w:pStyle w:val="BodyText"/>
              <w:rPr>
                <w:lang w:val="en-NZ"/>
              </w:rPr>
            </w:pPr>
            <w:r w:rsidRPr="00766C08">
              <w:rPr>
                <w:rStyle w:val="SpecialBold"/>
              </w:rPr>
              <w:t>Required skills</w:t>
            </w:r>
          </w:p>
        </w:tc>
      </w:tr>
      <w:tr w:rsidTr="00766C0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66C08" w:rsidP="00766C08">
            <w:pPr>
              <w:pStyle w:val="BodyText"/>
            </w:pPr>
            <w:r w:rsidRPr="00766C08">
              <w:t>Required skills include:</w:t>
            </w:r>
          </w:p>
          <w:p w:rsidR="00000000" w:rsidRPr="00766C08" w:rsidP="00766C08">
            <w:pPr>
              <w:pStyle w:val="ListBullet"/>
            </w:pPr>
            <w:r w:rsidRPr="00766C08">
              <w:t>determining type, role and performance requirements of stamping and forging tools in manufactu</w:t>
            </w:r>
            <w:r w:rsidRPr="00766C08">
              <w:t xml:space="preserve">ring processes </w:t>
            </w:r>
          </w:p>
          <w:p w:rsidR="00000000" w:rsidRPr="00766C08" w:rsidP="00766C08">
            <w:pPr>
              <w:pStyle w:val="ListBullet"/>
            </w:pPr>
            <w:r w:rsidRPr="00766C08">
              <w:t>reviewing stamping and forging tool design and construction, including tooling materials, treatment, finishing and assembly, tool installation and operation</w:t>
            </w:r>
          </w:p>
          <w:p w:rsidR="00000000" w:rsidRPr="00766C08" w:rsidP="00766C08">
            <w:pPr>
              <w:pStyle w:val="ListBullet"/>
            </w:pPr>
            <w:r w:rsidRPr="00766C08">
              <w:t>reviewing features and functions of stamping and forging tools in relation to products produced with the tool and any limitations of the tool in the related manufacturing processes</w:t>
            </w:r>
          </w:p>
          <w:p w:rsidR="00000000" w:rsidRPr="00766C08" w:rsidP="00766C08">
            <w:pPr>
              <w:pStyle w:val="ListBullet"/>
            </w:pPr>
            <w:r w:rsidRPr="00766C08">
              <w:t>selecting and using appropriate analysis techniques and software for evalua</w:t>
            </w:r>
            <w:r w:rsidRPr="00766C08">
              <w:t>tion and optimisation of moulding tools and related manufacturing processes</w:t>
            </w:r>
          </w:p>
          <w:p w:rsidR="00000000" w:rsidRPr="00766C08" w:rsidP="00766C08">
            <w:pPr>
              <w:pStyle w:val="ListBullet"/>
            </w:pPr>
            <w:r w:rsidRPr="00766C08">
              <w:t>identifying WHS, regulatory and risk management compliance</w:t>
            </w:r>
          </w:p>
          <w:p w:rsidR="00000000" w:rsidRPr="00766C08" w:rsidP="00766C08">
            <w:pPr>
              <w:pStyle w:val="ListBullet"/>
            </w:pPr>
            <w:r w:rsidRPr="00766C08">
              <w:t>investigating sustainability implications of stamping and forging tools and associated manufacturing processes</w:t>
            </w:r>
          </w:p>
          <w:p w:rsidR="00000000" w:rsidRPr="00766C08" w:rsidP="00766C08">
            <w:pPr>
              <w:pStyle w:val="ListBullet"/>
            </w:pPr>
            <w:r w:rsidRPr="00766C08">
              <w:t xml:space="preserve">assessing </w:t>
            </w:r>
            <w:r w:rsidRPr="00766C08">
              <w:t>use of stamping and forging tools to:</w:t>
            </w:r>
          </w:p>
          <w:p w:rsidR="00000000" w:rsidRPr="00766C08" w:rsidP="00766C08">
            <w:pPr>
              <w:pStyle w:val="ListBullet2"/>
            </w:pPr>
            <w:r w:rsidRPr="00766C08">
              <w:t>lean manufacturing systems and techniques</w:t>
            </w:r>
          </w:p>
          <w:p w:rsidR="00000000" w:rsidRPr="00766C08" w:rsidP="00766C08">
            <w:pPr>
              <w:pStyle w:val="ListBullet2"/>
            </w:pPr>
            <w:r w:rsidRPr="00766C08">
              <w:t>requirements of manufacturing control software, such as system control and data acquisition (SCADA) software</w:t>
            </w:r>
          </w:p>
          <w:p w:rsidR="00000000" w:rsidRPr="00766C08" w:rsidP="00766C08">
            <w:pPr>
              <w:pStyle w:val="ListBullet"/>
            </w:pPr>
            <w:r w:rsidRPr="00766C08">
              <w:t>applying systems thinking, continuous improvement, and constraint</w:t>
            </w:r>
            <w:r w:rsidRPr="00766C08">
              <w:t xml:space="preserve"> and contingency management to evaluation of stamping and forging tools </w:t>
            </w:r>
          </w:p>
          <w:p w:rsidR="00000000" w:rsidP="00766C08">
            <w:pPr>
              <w:pStyle w:val="ListBullet"/>
              <w:rPr>
                <w:lang w:val="en-NZ"/>
              </w:rPr>
            </w:pPr>
            <w:r w:rsidRPr="00766C08">
              <w:t>reporting and documenting scoping, principles and techniques identification and evaluation of tooling and related manufacturing processes, tooling graphics and models</w:t>
            </w:r>
          </w:p>
        </w:tc>
      </w:tr>
      <w:tr w:rsidTr="00766C0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66C08" w:rsidP="00766C08">
            <w:pPr>
              <w:pStyle w:val="BodyText"/>
            </w:pPr>
          </w:p>
          <w:p w:rsidR="00000000" w:rsidP="00766C08">
            <w:pPr>
              <w:pStyle w:val="BodyText"/>
              <w:rPr>
                <w:lang w:val="en-NZ"/>
              </w:rPr>
            </w:pPr>
            <w:r w:rsidRPr="00766C08">
              <w:rPr>
                <w:rStyle w:val="SpecialBold"/>
              </w:rPr>
              <w:t>Required knowledge</w:t>
            </w:r>
          </w:p>
        </w:tc>
      </w:tr>
      <w:tr w:rsidTr="00766C0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66C08" w:rsidP="00766C08">
            <w:pPr>
              <w:pStyle w:val="BodyText"/>
            </w:pPr>
            <w:r w:rsidRPr="00766C08">
              <w:t>Required knowledge includes:</w:t>
            </w:r>
          </w:p>
          <w:p w:rsidR="00000000" w:rsidRPr="00766C08" w:rsidP="00766C08">
            <w:pPr>
              <w:pStyle w:val="ListBullet"/>
            </w:pPr>
            <w:r w:rsidRPr="00766C08">
              <w:t>hot and cold working and recrystalisation temperature</w:t>
            </w:r>
          </w:p>
          <w:p w:rsidR="00000000" w:rsidRPr="00766C08" w:rsidP="00766C08">
            <w:pPr>
              <w:pStyle w:val="ListBullet"/>
            </w:pPr>
            <w:r w:rsidRPr="00766C08">
              <w:t>functions and context of stamping and forging tools in manufacturing operations</w:t>
            </w:r>
          </w:p>
          <w:p w:rsidR="00000000" w:rsidRPr="00766C08" w:rsidP="00766C08">
            <w:pPr>
              <w:pStyle w:val="ListBullet"/>
            </w:pPr>
            <w:r w:rsidRPr="00766C08">
              <w:t>sources of technical and professional assistance</w:t>
            </w:r>
          </w:p>
          <w:p w:rsidR="00000000" w:rsidRPr="00766C08" w:rsidP="00766C08">
            <w:pPr>
              <w:pStyle w:val="ListBullet"/>
            </w:pPr>
            <w:r w:rsidRPr="00766C08">
              <w:t>WHS and regulatory comp</w:t>
            </w:r>
            <w:r w:rsidRPr="00766C08">
              <w:t>liance requirements and risk management practices for stamping and forging tools and related manufacturing and maintenance processes</w:t>
            </w:r>
          </w:p>
          <w:p w:rsidR="00000000" w:rsidRPr="00766C08" w:rsidP="00766C08">
            <w:pPr>
              <w:pStyle w:val="ListBullet"/>
            </w:pPr>
            <w:r w:rsidRPr="00766C08">
              <w:t>sustainability and lean systems implications for stamping and forging tools and related manufacturing processes</w:t>
            </w:r>
          </w:p>
          <w:p w:rsidR="00000000" w:rsidRPr="00766C08" w:rsidP="00766C08">
            <w:pPr>
              <w:pStyle w:val="ListBullet"/>
            </w:pPr>
            <w:r w:rsidRPr="00766C08">
              <w:t>stamping an</w:t>
            </w:r>
            <w:r w:rsidRPr="00766C08">
              <w:t>d forging processes, plant and tooling, including:</w:t>
            </w:r>
          </w:p>
          <w:p w:rsidR="00000000" w:rsidRPr="00766C08" w:rsidP="00766C08">
            <w:pPr>
              <w:pStyle w:val="ListBullet2"/>
            </w:pPr>
            <w:r w:rsidRPr="00766C08">
              <w:t>shearing</w:t>
            </w:r>
          </w:p>
          <w:p w:rsidR="00000000" w:rsidRPr="00766C08" w:rsidP="00766C08">
            <w:pPr>
              <w:pStyle w:val="ListBullet2"/>
            </w:pPr>
            <w:r w:rsidRPr="00766C08">
              <w:t>drawing</w:t>
            </w:r>
          </w:p>
          <w:p w:rsidR="00000000" w:rsidRPr="00766C08" w:rsidP="00766C08">
            <w:pPr>
              <w:pStyle w:val="ListBullet2"/>
            </w:pPr>
            <w:r w:rsidRPr="00766C08">
              <w:t>impact deformation</w:t>
            </w:r>
          </w:p>
          <w:p w:rsidR="00000000" w:rsidRPr="00766C08" w:rsidP="00766C08">
            <w:pPr>
              <w:pStyle w:val="ListBullet2"/>
            </w:pPr>
            <w:r w:rsidRPr="00766C08">
              <w:t>other forging processes</w:t>
            </w:r>
          </w:p>
          <w:p w:rsidR="00000000" w:rsidRPr="00766C08" w:rsidP="00766C08">
            <w:pPr>
              <w:pStyle w:val="ListBullet"/>
            </w:pPr>
            <w:r w:rsidRPr="00766C08">
              <w:t>forged component materials, including carbon, alloy and stainless steels, tool steel, copper, nickel, aluminium and titanium alloys</w:t>
            </w:r>
          </w:p>
          <w:p w:rsidR="00000000" w:rsidRPr="00766C08" w:rsidP="00766C08">
            <w:pPr>
              <w:pStyle w:val="ListBullet"/>
            </w:pPr>
            <w:r w:rsidRPr="00766C08">
              <w:t>stamping and forging tools general design features, functions and constraints, including:</w:t>
            </w:r>
          </w:p>
          <w:p w:rsidR="00000000" w:rsidRPr="00766C08" w:rsidP="00766C08">
            <w:pPr>
              <w:pStyle w:val="ListBullet2"/>
            </w:pPr>
            <w:r w:rsidRPr="00766C08">
              <w:t xml:space="preserve">shearing die design </w:t>
            </w:r>
          </w:p>
          <w:p w:rsidR="00000000" w:rsidRPr="00766C08" w:rsidP="00766C08">
            <w:pPr>
              <w:pStyle w:val="ListBullet2"/>
            </w:pPr>
            <w:r w:rsidRPr="00766C08">
              <w:t xml:space="preserve">deep drawing tool design </w:t>
            </w:r>
          </w:p>
          <w:p w:rsidR="00000000" w:rsidRPr="00766C08" w:rsidP="00766C08">
            <w:pPr>
              <w:pStyle w:val="ListBullet2"/>
            </w:pPr>
            <w:r w:rsidRPr="00766C08">
              <w:t>forging die tool design</w:t>
            </w:r>
          </w:p>
          <w:p w:rsidR="00000000" w:rsidRPr="00766C08" w:rsidP="00766C08">
            <w:pPr>
              <w:pStyle w:val="ListBullet"/>
            </w:pPr>
            <w:r w:rsidRPr="00766C08">
              <w:t>tool manufacture processes:</w:t>
            </w:r>
          </w:p>
          <w:p w:rsidR="00000000" w:rsidRPr="00766C08" w:rsidP="00766C08">
            <w:pPr>
              <w:pStyle w:val="ListBullet2"/>
            </w:pPr>
            <w:r w:rsidRPr="00766C08">
              <w:t>post-processing of CAD files</w:t>
            </w:r>
          </w:p>
          <w:p w:rsidR="00000000" w:rsidRPr="00766C08" w:rsidP="00766C08">
            <w:pPr>
              <w:pStyle w:val="ListBullet2"/>
            </w:pPr>
            <w:r w:rsidRPr="00766C08">
              <w:t xml:space="preserve">lathes, milling machines, grinding </w:t>
            </w:r>
            <w:r w:rsidRPr="00766C08">
              <w:t>machines, jig borers and jig grinders</w:t>
            </w:r>
          </w:p>
          <w:p w:rsidR="00000000" w:rsidRPr="00766C08" w:rsidP="00766C08">
            <w:pPr>
              <w:pStyle w:val="ListBullet2"/>
            </w:pPr>
            <w:r w:rsidRPr="00766C08">
              <w:t>computer numeric control (CNC) machining</w:t>
            </w:r>
          </w:p>
          <w:p w:rsidR="00000000" w:rsidRPr="00766C08" w:rsidP="00766C08">
            <w:pPr>
              <w:pStyle w:val="ListBullet2"/>
            </w:pPr>
            <w:r w:rsidRPr="00766C08">
              <w:t>electro-discharge machining (EDM) and wire EDM</w:t>
            </w:r>
          </w:p>
          <w:p w:rsidR="00000000" w:rsidRPr="00766C08" w:rsidP="00766C08">
            <w:pPr>
              <w:pStyle w:val="ListBullet2"/>
            </w:pPr>
            <w:r w:rsidRPr="00766C08">
              <w:t>drilling and tapping</w:t>
            </w:r>
          </w:p>
          <w:p w:rsidR="00000000" w:rsidRPr="00766C08" w:rsidP="00766C08">
            <w:pPr>
              <w:pStyle w:val="ListBullet2"/>
            </w:pPr>
            <w:r w:rsidRPr="00766C08">
              <w:t>‘rapid’ processes</w:t>
            </w:r>
          </w:p>
          <w:p w:rsidR="00000000" w:rsidRPr="00766C08" w:rsidP="00766C08">
            <w:pPr>
              <w:pStyle w:val="ListBullet2"/>
            </w:pPr>
            <w:r w:rsidRPr="00766C08">
              <w:t>heat treatment and surface treatments</w:t>
            </w:r>
          </w:p>
          <w:p w:rsidR="00000000" w:rsidRPr="00766C08" w:rsidP="00766C08">
            <w:pPr>
              <w:pStyle w:val="ListBullet2"/>
            </w:pPr>
            <w:r w:rsidRPr="00766C08">
              <w:t>finish grinding and polishing</w:t>
            </w:r>
          </w:p>
          <w:p w:rsidR="00000000" w:rsidRPr="00766C08" w:rsidP="00766C08">
            <w:pPr>
              <w:pStyle w:val="ListBullet"/>
            </w:pPr>
            <w:r w:rsidRPr="00766C08">
              <w:t>tool design and analysis software, including:</w:t>
            </w:r>
          </w:p>
          <w:p w:rsidR="00000000" w:rsidRPr="00766C08" w:rsidP="00766C08">
            <w:pPr>
              <w:pStyle w:val="ListBullet2"/>
            </w:pPr>
            <w:r w:rsidRPr="00766C08">
              <w:t>CAD software</w:t>
            </w:r>
          </w:p>
          <w:p w:rsidR="00000000" w:rsidRPr="00766C08" w:rsidP="00766C08">
            <w:pPr>
              <w:pStyle w:val="ListBullet2"/>
            </w:pPr>
            <w:r w:rsidRPr="00766C08">
              <w:t>analysis software, mould flows, heat dissipation and software validation techniques</w:t>
            </w:r>
          </w:p>
          <w:p w:rsidR="00000000" w:rsidRPr="00766C08" w:rsidP="00766C08">
            <w:pPr>
              <w:pStyle w:val="ListBullet"/>
            </w:pPr>
            <w:r w:rsidRPr="00766C08">
              <w:t>systems thinking, continuous improvement, problem solving and decision making, and constraint and contingency m</w:t>
            </w:r>
            <w:r w:rsidRPr="00766C08">
              <w:t>anagement principles and techniques</w:t>
            </w:r>
          </w:p>
          <w:p w:rsidR="00000000" w:rsidRPr="00766C08" w:rsidP="00766C08">
            <w:pPr>
              <w:pStyle w:val="ListBullet"/>
            </w:pPr>
            <w:r w:rsidRPr="00766C08">
              <w:t>reporting and documentation requirements</w:t>
            </w:r>
          </w:p>
        </w:tc>
      </w:tr>
    </w:tbl>
    <w:p w:rsidR="00000000" w:rsidRPr="00766C08" w:rsidP="00766C08">
      <w:pPr>
        <w:pStyle w:val="BodyText"/>
      </w:pPr>
    </w:p>
    <w:p w:rsidR="00000000" w:rsidRPr="00766C08" w:rsidP="00766C08">
      <w:pPr>
        <w:pStyle w:val="AllowPageBreak"/>
      </w:pPr>
    </w:p>
    <w:p w:rsidR="00000000" w:rsidRPr="00766C08" w:rsidP="00766C08">
      <w:pPr>
        <w:pStyle w:val="Heading1"/>
      </w:pPr>
      <w:bookmarkStart w:id="10" w:name="O_520148"/>
      <w:bookmarkEnd w:id="10"/>
      <w:r w:rsidRPr="00766C08">
        <w:t>Evidence Guide</w:t>
      </w:r>
    </w:p>
    <w:tbl>
      <w:tblPr>
        <w:tblW w:w="9462" w:type="dxa"/>
        <w:tblLayout w:type="fixed"/>
        <w:tblCellMar>
          <w:left w:w="62" w:type="dxa"/>
          <w:right w:w="62" w:type="dxa"/>
        </w:tblCellMar>
        <w:tblLook w:val="0000"/>
      </w:tblPr>
      <w:tblGrid>
        <w:gridCol w:w="3800"/>
        <w:gridCol w:w="5662"/>
      </w:tblGrid>
      <w:tr w:rsidTr="00766C08">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766C08">
            <w:pPr>
              <w:pStyle w:val="BodyText"/>
              <w:rPr>
                <w:lang w:val="en-NZ"/>
              </w:rPr>
            </w:pPr>
            <w:r w:rsidRPr="00766C08">
              <w:t xml:space="preserve">The evidence guide provides advice on assessment and must be read in conjunction with the performance criteria, required skills and knowledge, </w:t>
            </w:r>
            <w:r w:rsidRPr="00766C08">
              <w:t>range statement and the Assessment Guidelines for the Training Package.</w:t>
            </w:r>
          </w:p>
        </w:tc>
      </w:tr>
      <w:tr w:rsidTr="00766C0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C08">
            <w:pPr>
              <w:pStyle w:val="BodyText"/>
              <w:rPr>
                <w:lang w:val="en-NZ"/>
              </w:rPr>
            </w:pPr>
            <w:r w:rsidRPr="00766C08">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C08">
            <w:pPr>
              <w:pStyle w:val="BodyText"/>
              <w:rPr>
                <w:lang w:val="en-NZ"/>
              </w:rPr>
            </w:pPr>
            <w:r w:rsidRPr="00766C08">
              <w:t>A person who demonstrates competency in this unit must be able to evaluate stamping and forging tools and processes for safety, economy and fitness for purpose</w:t>
            </w:r>
            <w:r w:rsidRPr="00766C08">
              <w:t>.</w:t>
            </w:r>
          </w:p>
        </w:tc>
      </w:tr>
      <w:tr w:rsidTr="00766C0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C08">
            <w:pPr>
              <w:pStyle w:val="BodyText"/>
              <w:rPr>
                <w:lang w:val="en-NZ"/>
              </w:rPr>
            </w:pPr>
            <w:r w:rsidRPr="00766C08">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C08" w:rsidP="00766C08">
            <w:pPr>
              <w:pStyle w:val="BodyText"/>
            </w:pPr>
            <w:r w:rsidRPr="00766C08">
              <w:t>Assessors must be satisfied that the candidate can competently and consistently:</w:t>
            </w:r>
          </w:p>
          <w:p w:rsidR="00000000" w:rsidRPr="00766C08" w:rsidP="00766C08">
            <w:pPr>
              <w:pStyle w:val="ListBullet"/>
            </w:pPr>
            <w:r w:rsidRPr="00766C08">
              <w:t xml:space="preserve">determine parameters and context of stamping and forging tools in manufacturing processes </w:t>
            </w:r>
          </w:p>
          <w:p w:rsidR="00000000" w:rsidRPr="00766C08" w:rsidP="00766C08">
            <w:pPr>
              <w:pStyle w:val="ListBullet"/>
            </w:pPr>
            <w:r w:rsidRPr="00766C08">
              <w:t xml:space="preserve">review design and construction features, functions, applications and limitations of stamping and forging tools </w:t>
            </w:r>
          </w:p>
          <w:p w:rsidR="00000000" w:rsidRPr="00766C08" w:rsidP="00766C08">
            <w:pPr>
              <w:pStyle w:val="ListBullet"/>
            </w:pPr>
            <w:r w:rsidRPr="00766C08">
              <w:t xml:space="preserve">identify principles, design, analysis techniques and </w:t>
            </w:r>
            <w:r w:rsidRPr="00766C08">
              <w:t>software required to evaluate and optimise stamping and forging tools and related manufacturing processes</w:t>
            </w:r>
          </w:p>
          <w:p w:rsidR="00000000" w:rsidRPr="00766C08" w:rsidP="00766C08">
            <w:pPr>
              <w:pStyle w:val="ListBullet"/>
            </w:pPr>
            <w:r w:rsidRPr="00766C08">
              <w:t>evaluate WHS, regulatory and risk management compliance</w:t>
            </w:r>
          </w:p>
          <w:p w:rsidR="00000000" w:rsidP="00766C08">
            <w:pPr>
              <w:pStyle w:val="ListBullet"/>
              <w:rPr>
                <w:lang w:val="en-NZ"/>
              </w:rPr>
            </w:pPr>
            <w:r w:rsidRPr="00766C08">
              <w:t>report and document results.</w:t>
            </w:r>
          </w:p>
        </w:tc>
      </w:tr>
      <w:tr w:rsidTr="00766C0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C08">
            <w:pPr>
              <w:pStyle w:val="BodyText"/>
              <w:rPr>
                <w:lang w:val="en-NZ"/>
              </w:rPr>
            </w:pPr>
            <w:r w:rsidRPr="00766C08">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C08" w:rsidP="00766C08">
            <w:pPr>
              <w:pStyle w:val="ListBullet"/>
            </w:pPr>
            <w:r w:rsidRPr="00766C08">
              <w:t xml:space="preserve">This unit may </w:t>
            </w:r>
            <w:r w:rsidRPr="00766C08">
              <w:t xml:space="preserve">be assessed on the job, off the job or a combination of both on and off the job. Where assessment occurs off the job, then a simulated working environment must be used where the range of conditions reflects realistic workplace situations. </w:t>
            </w:r>
          </w:p>
          <w:p w:rsidR="00000000" w:rsidRPr="00766C08" w:rsidP="00766C08">
            <w:pPr>
              <w:pStyle w:val="ListBullet"/>
            </w:pPr>
            <w:r w:rsidRPr="00766C08">
              <w:t>The competencies</w:t>
            </w:r>
            <w:r w:rsidRPr="00766C08">
              <w:t xml:space="preserve"> covered by this unit would be demonstrated by an individual working alone or as part of a team. </w:t>
            </w:r>
          </w:p>
          <w:p w:rsidR="00000000" w:rsidRPr="00766C08" w:rsidP="00766C08">
            <w:pPr>
              <w:pStyle w:val="ListBullet"/>
            </w:pPr>
            <w:r w:rsidRPr="00766C08">
              <w:t>Where applicable, reasonable adjustment must be made to work environments and training situations to accommodate ethnicity, age, gender, demographics and disa</w:t>
            </w:r>
            <w:r w:rsidRPr="00766C08">
              <w:t>bility.</w:t>
            </w:r>
          </w:p>
          <w:p w:rsidR="00000000" w:rsidP="00766C08">
            <w:pPr>
              <w:pStyle w:val="ListBullet"/>
              <w:rPr>
                <w:lang w:val="en-NZ"/>
              </w:rPr>
            </w:pPr>
            <w:r w:rsidRPr="00766C08">
              <w:t>Access must be provided to appropriate learning and/or assessment support when required. Where applicable, physical resources should include equipment modified for people with disabilities.</w:t>
            </w:r>
          </w:p>
        </w:tc>
      </w:tr>
      <w:tr w:rsidTr="00766C0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C08">
            <w:pPr>
              <w:pStyle w:val="BodyText"/>
              <w:rPr>
                <w:lang w:val="en-NZ"/>
              </w:rPr>
            </w:pPr>
            <w:r w:rsidRPr="00766C08">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C08" w:rsidP="00766C08">
            <w:pPr>
              <w:pStyle w:val="ListBullet"/>
            </w:pPr>
            <w:r w:rsidRPr="00766C08">
              <w:t>Assessment must satisfy the endorse</w:t>
            </w:r>
            <w:r w:rsidRPr="00766C08">
              <w:t>d Assessment Guidelines of the MEM05 Metal and Engineering Training Package.</w:t>
            </w:r>
          </w:p>
          <w:p w:rsidR="00000000" w:rsidRPr="00766C08" w:rsidP="00766C08">
            <w:pPr>
              <w:pStyle w:val="ListBullet"/>
            </w:pPr>
            <w:r w:rsidRPr="00766C08">
              <w:t>Assessment methods must confirm consistency and accuracy of performance (over time and in a range of workplace relevant contexts) together with application of underpinning knowledge.</w:t>
            </w:r>
          </w:p>
          <w:p w:rsidR="00000000" w:rsidRPr="00766C08" w:rsidP="00766C08">
            <w:pPr>
              <w:pStyle w:val="ListBullet"/>
            </w:pPr>
            <w:r w:rsidRPr="00766C08">
              <w:t>Assessment methods must be by direct observation of tasks and include que</w:t>
            </w:r>
            <w:r w:rsidRPr="00766C08">
              <w:t>stioning on underpinning knowledge to ensure correct interpretation and application.</w:t>
            </w:r>
          </w:p>
          <w:p w:rsidR="00000000" w:rsidRPr="00766C08" w:rsidP="00766C08">
            <w:pPr>
              <w:pStyle w:val="ListBullet"/>
            </w:pPr>
            <w:r w:rsidRPr="00766C08">
              <w:t>Assessment may be applied under project-related conditions (real or simulated) and require evidence of process.</w:t>
            </w:r>
          </w:p>
          <w:p w:rsidR="00000000" w:rsidRPr="00766C08" w:rsidP="00766C08">
            <w:pPr>
              <w:pStyle w:val="ListBullet"/>
            </w:pPr>
            <w:r w:rsidRPr="00766C08">
              <w:t>Assessment must confirm a reasonable inference that compete</w:t>
            </w:r>
            <w:r w:rsidRPr="00766C08">
              <w:t>ncy is not only able to be satisfied under the particular circumstance, but is able to be transferred to other circumstances.</w:t>
            </w:r>
          </w:p>
          <w:p w:rsidR="00000000" w:rsidP="00766C08">
            <w:pPr>
              <w:pStyle w:val="ListBullet"/>
              <w:rPr>
                <w:lang w:val="en-NZ"/>
              </w:rPr>
            </w:pPr>
            <w:r w:rsidRPr="00766C08">
              <w:t>Assessment may be in conjunction with assessment of other units of competency where required.</w:t>
            </w:r>
          </w:p>
        </w:tc>
      </w:tr>
      <w:tr w:rsidTr="00766C0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C08">
            <w:pPr>
              <w:pStyle w:val="BodyText"/>
              <w:rPr>
                <w:lang w:val="en-NZ"/>
              </w:rPr>
            </w:pPr>
            <w:r w:rsidRPr="00766C08">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C08" w:rsidP="00766C08">
            <w:pPr>
              <w:pStyle w:val="BodyText"/>
            </w:pPr>
            <w:r w:rsidRPr="00766C08">
              <w:t>Assessment processes and techniques must be culturally appropriate and appropriate to the language and literacy capacity of the candidate and the work being performed.</w:t>
            </w:r>
          </w:p>
        </w:tc>
      </w:tr>
    </w:tbl>
    <w:p w:rsidR="000007FB" w:rsidP="00766C08">
      <w:pPr>
        <w:pStyle w:val="BodyText"/>
      </w:pPr>
    </w:p>
    <w:p w:rsidR="000007FB" w:rsidP="00766C08">
      <w:pPr>
        <w:pStyle w:val="BodyText"/>
      </w:pPr>
    </w:p>
    <w:p w:rsidR="00000000" w:rsidRPr="00766C08" w:rsidP="00766C08">
      <w:pPr>
        <w:pStyle w:val="Heading1"/>
      </w:pPr>
      <w:bookmarkStart w:id="11" w:name="O_520147"/>
      <w:bookmarkEnd w:id="11"/>
      <w:r w:rsidRPr="00766C08">
        <w:t>Range Statement</w:t>
      </w:r>
    </w:p>
    <w:tbl>
      <w:tblPr>
        <w:tblW w:w="9462" w:type="dxa"/>
        <w:tblLayout w:type="fixed"/>
        <w:tblCellMar>
          <w:left w:w="62" w:type="dxa"/>
          <w:right w:w="62" w:type="dxa"/>
        </w:tblCellMar>
        <w:tblLook w:val="0000"/>
      </w:tblPr>
      <w:tblGrid>
        <w:gridCol w:w="2835"/>
        <w:gridCol w:w="6627"/>
      </w:tblGrid>
      <w:tr w:rsidTr="00766C08">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766C08">
            <w:pPr>
              <w:pStyle w:val="BodyText"/>
              <w:rPr>
                <w:lang w:val="en-NZ"/>
              </w:rPr>
            </w:pPr>
            <w:r w:rsidRPr="00766C08">
              <w:t>The range statement relates to the unit of competen</w:t>
            </w:r>
            <w:r w:rsidRPr="00766C08">
              <w:t>cy as a whole. It allows for different work environments and situations that may affect performance. Bold italicised wording, if used in the performance criteria, is detailed below. Essential operating conditions that may be present with training and asses</w:t>
            </w:r>
            <w:r w:rsidRPr="00766C08">
              <w:t>sment (depending on the work situation, needs of the candidate, accessibility of the item, and local industry and regional contexts) may also be included.</w:t>
            </w:r>
          </w:p>
        </w:tc>
      </w:tr>
      <w:tr w:rsidTr="00766C08">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C08">
            <w:pPr>
              <w:pStyle w:val="BodyText"/>
              <w:rPr>
                <w:lang w:val="en-NZ"/>
              </w:rPr>
            </w:pPr>
            <w:r w:rsidRPr="00766C08">
              <w:rPr>
                <w:rStyle w:val="SpecialBold"/>
              </w:rPr>
              <w:t>Features and functions, of stamping and forging tools</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C08" w:rsidP="00766C08">
            <w:pPr>
              <w:pStyle w:val="BodyText"/>
            </w:pPr>
            <w:r w:rsidRPr="00766C08">
              <w:t>Features and functions of stamping and forging tools include:</w:t>
            </w:r>
          </w:p>
          <w:p w:rsidR="00000000" w:rsidRPr="00766C08" w:rsidP="00766C08">
            <w:pPr>
              <w:pStyle w:val="ListBullet"/>
            </w:pPr>
            <w:r w:rsidRPr="00766C08">
              <w:t>materials used in their construction</w:t>
            </w:r>
          </w:p>
          <w:p w:rsidR="00000000" w:rsidRPr="00766C08" w:rsidP="00766C08">
            <w:pPr>
              <w:pStyle w:val="ListBullet"/>
            </w:pPr>
            <w:r w:rsidRPr="00766C08">
              <w:t xml:space="preserve">method of manufacture </w:t>
            </w:r>
          </w:p>
          <w:p w:rsidR="00000000" w:rsidRPr="00766C08" w:rsidP="00766C08">
            <w:pPr>
              <w:pStyle w:val="ListBullet"/>
            </w:pPr>
            <w:r w:rsidRPr="00766C08">
              <w:t>method of installation and any capacity for operator adjustment during use</w:t>
            </w:r>
          </w:p>
          <w:p w:rsidR="00000000" w:rsidRPr="00766C08" w:rsidP="00766C08">
            <w:pPr>
              <w:pStyle w:val="ListBullet"/>
            </w:pPr>
            <w:r w:rsidRPr="00766C08">
              <w:t>method of adjustment for production changeover</w:t>
            </w:r>
          </w:p>
          <w:p w:rsidR="00000000" w:rsidRPr="00766C08" w:rsidP="00766C08">
            <w:pPr>
              <w:pStyle w:val="ListBullet"/>
            </w:pPr>
            <w:r w:rsidRPr="00766C08">
              <w:t xml:space="preserve">the degree </w:t>
            </w:r>
            <w:r w:rsidRPr="00766C08">
              <w:t>of training of operators required before use of the tool</w:t>
            </w:r>
          </w:p>
          <w:p w:rsidR="00000000" w:rsidRPr="00766C08" w:rsidP="00766C08">
            <w:pPr>
              <w:pStyle w:val="ListBullet"/>
            </w:pPr>
            <w:r w:rsidRPr="00766C08">
              <w:t>any limitations on the use of the tool</w:t>
            </w:r>
          </w:p>
          <w:p w:rsidR="00000000" w:rsidP="00766C08">
            <w:pPr>
              <w:pStyle w:val="ListBullet"/>
              <w:rPr>
                <w:lang w:val="en-NZ"/>
              </w:rPr>
            </w:pPr>
            <w:r w:rsidRPr="00766C08">
              <w:t>cost of manufacture</w:t>
            </w:r>
          </w:p>
        </w:tc>
      </w:tr>
      <w:tr w:rsidTr="00766C08">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C08" w:rsidP="00766C08">
            <w:pPr>
              <w:pStyle w:val="BodyText"/>
            </w:pPr>
            <w:r w:rsidRPr="00766C08">
              <w:rPr>
                <w:rStyle w:val="SpecialBold"/>
              </w:rPr>
              <w:t>WHS, regulatory requirements and enterprise procedures</w:t>
            </w:r>
          </w:p>
          <w:p w:rsidR="00000000">
            <w:pPr>
              <w:pStyle w:val="BodyText"/>
              <w:keepNext w:val="0"/>
              <w:keepLines w:val="0"/>
              <w:contextualSpacing w:val="0"/>
              <w:rPr>
                <w:rFonts w:ascii="Tahoma" w:hAnsi="Tahoma"/>
                <w:color w:val="000000"/>
                <w:sz w:val="20"/>
                <w:lang w:val="en-NZ"/>
              </w:rPr>
            </w:pP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C08" w:rsidP="00766C08">
            <w:pPr>
              <w:pStyle w:val="BodyText"/>
            </w:pPr>
            <w:r w:rsidRPr="00766C08">
              <w:t>WHS, regulatory requirements and enterprise procedures may include:</w:t>
            </w:r>
          </w:p>
          <w:p w:rsidR="00000000" w:rsidRPr="00766C08" w:rsidP="00766C08">
            <w:pPr>
              <w:pStyle w:val="ListBullet"/>
            </w:pPr>
            <w:r w:rsidRPr="00766C08">
              <w:t>WHS Acts and regulations</w:t>
            </w:r>
          </w:p>
          <w:p w:rsidR="00000000" w:rsidRPr="00766C08" w:rsidP="00766C08">
            <w:pPr>
              <w:pStyle w:val="ListBullet"/>
            </w:pPr>
            <w:r w:rsidRPr="00766C08">
              <w:t>relevant standards</w:t>
            </w:r>
          </w:p>
          <w:p w:rsidR="00000000" w:rsidRPr="00766C08" w:rsidP="00766C08">
            <w:pPr>
              <w:pStyle w:val="ListBullet"/>
            </w:pPr>
            <w:r w:rsidRPr="00766C08">
              <w:t>codes of practice from Australian and overseas engineering and technical associations and societies</w:t>
            </w:r>
          </w:p>
          <w:p w:rsidR="00000000" w:rsidRPr="00766C08" w:rsidP="00766C08">
            <w:pPr>
              <w:pStyle w:val="ListBullet"/>
            </w:pPr>
            <w:r w:rsidRPr="00766C08">
              <w:t>risk assessments</w:t>
            </w:r>
          </w:p>
          <w:p w:rsidR="00000000" w:rsidRPr="00766C08" w:rsidP="00766C08">
            <w:pPr>
              <w:pStyle w:val="ListBullet"/>
            </w:pPr>
            <w:r w:rsidRPr="00766C08">
              <w:t xml:space="preserve">registration requirements </w:t>
            </w:r>
          </w:p>
          <w:p w:rsidR="00000000" w:rsidRPr="00766C08" w:rsidP="00766C08">
            <w:pPr>
              <w:pStyle w:val="ListBullet"/>
            </w:pPr>
            <w:r w:rsidRPr="00766C08">
              <w:t>safe work practices</w:t>
            </w:r>
          </w:p>
          <w:p w:rsidR="00000000" w:rsidP="00766C08">
            <w:pPr>
              <w:pStyle w:val="ListBullet"/>
              <w:rPr>
                <w:lang w:val="en-NZ"/>
              </w:rPr>
            </w:pPr>
            <w:r w:rsidRPr="00766C08">
              <w:t>state and territory regulatory requirements</w:t>
            </w:r>
          </w:p>
        </w:tc>
      </w:tr>
      <w:tr w:rsidTr="00766C08">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C08">
            <w:pPr>
              <w:pStyle w:val="BodyText"/>
              <w:rPr>
                <w:lang w:val="en-NZ"/>
              </w:rPr>
            </w:pPr>
            <w:r w:rsidRPr="00766C08">
              <w:rPr>
                <w:rStyle w:val="SpecialBold"/>
              </w:rPr>
              <w:t>Sta</w:t>
            </w:r>
            <w:r w:rsidRPr="00766C08">
              <w:rPr>
                <w:rStyle w:val="SpecialBold"/>
              </w:rPr>
              <w:t>ndards and codes</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C08">
            <w:pPr>
              <w:pStyle w:val="BodyText"/>
              <w:rPr>
                <w:lang w:val="en-NZ"/>
              </w:rPr>
            </w:pPr>
            <w:r w:rsidRPr="00766C08">
              <w:t>Standards and codes refer to all relevant Australian and international standards and codes applicable to a particular task</w:t>
            </w:r>
          </w:p>
        </w:tc>
      </w:tr>
      <w:tr w:rsidTr="00766C08">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C08">
            <w:pPr>
              <w:pStyle w:val="BodyText"/>
              <w:rPr>
                <w:lang w:val="en-NZ"/>
              </w:rPr>
            </w:pPr>
            <w:r w:rsidRPr="00766C08">
              <w:rPr>
                <w:rStyle w:val="SpecialBold"/>
              </w:rPr>
              <w:t>Appropriate technical and professional assistance</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C08" w:rsidP="00766C08">
            <w:pPr>
              <w:pStyle w:val="BodyText"/>
            </w:pPr>
            <w:r w:rsidRPr="00766C08">
              <w:t>Appropriate technical and professional assistance may include:</w:t>
            </w:r>
          </w:p>
          <w:p w:rsidR="00000000" w:rsidRPr="00766C08" w:rsidP="00766C08">
            <w:pPr>
              <w:pStyle w:val="ListBullet"/>
            </w:pPr>
            <w:r w:rsidRPr="00766C08">
              <w:t>technical support and advice relating to elements which have intrinsic dangers, such as:</w:t>
            </w:r>
          </w:p>
          <w:p w:rsidR="00000000" w:rsidRPr="00766C08" w:rsidP="00766C08">
            <w:pPr>
              <w:pStyle w:val="ListBullet2"/>
            </w:pPr>
            <w:r w:rsidRPr="00766C08">
              <w:t>high pressure</w:t>
            </w:r>
          </w:p>
          <w:p w:rsidR="00000000" w:rsidRPr="00766C08" w:rsidP="00766C08">
            <w:pPr>
              <w:pStyle w:val="ListBullet2"/>
            </w:pPr>
            <w:r w:rsidRPr="00766C08">
              <w:t>energised fluid vessels</w:t>
            </w:r>
          </w:p>
          <w:p w:rsidR="00000000" w:rsidRPr="00766C08" w:rsidP="00766C08">
            <w:pPr>
              <w:pStyle w:val="ListBullet2"/>
            </w:pPr>
            <w:r w:rsidRPr="00766C08">
              <w:t>high temperatures and heat energy capacity</w:t>
            </w:r>
          </w:p>
          <w:p w:rsidR="00000000" w:rsidRPr="00766C08" w:rsidP="00766C08">
            <w:pPr>
              <w:pStyle w:val="ListBullet2"/>
            </w:pPr>
            <w:r w:rsidRPr="00766C08">
              <w:t>wiring with high current control voltages above extra low voltage</w:t>
            </w:r>
          </w:p>
          <w:p w:rsidR="00000000" w:rsidRPr="00766C08" w:rsidP="00766C08">
            <w:pPr>
              <w:pStyle w:val="ListBullet"/>
            </w:pPr>
            <w:r w:rsidRPr="00766C08">
              <w:t>professional suppo</w:t>
            </w:r>
            <w:r w:rsidRPr="00766C08">
              <w:t>rt for technologies, such as:</w:t>
            </w:r>
          </w:p>
          <w:p w:rsidR="00000000" w:rsidRPr="00766C08" w:rsidP="00766C08">
            <w:pPr>
              <w:pStyle w:val="ListBullet2"/>
            </w:pPr>
            <w:r w:rsidRPr="00766C08">
              <w:t>specialist electric motor drives and controllers</w:t>
            </w:r>
          </w:p>
          <w:p w:rsidR="00000000" w:rsidRPr="00766C08" w:rsidP="00766C08">
            <w:pPr>
              <w:pStyle w:val="ListBullet2"/>
            </w:pPr>
            <w:r w:rsidRPr="00766C08">
              <w:t>specialist materials, plastics, metal alloys and nano materials</w:t>
            </w:r>
          </w:p>
          <w:p w:rsidR="00000000" w:rsidP="00766C08">
            <w:pPr>
              <w:pStyle w:val="ListBullet2"/>
              <w:rPr>
                <w:lang w:val="en-NZ"/>
              </w:rPr>
            </w:pPr>
            <w:r w:rsidRPr="00766C08">
              <w:t>special processes, foundry, alloy welding, heat treatment, sealing and fastening</w:t>
            </w:r>
          </w:p>
        </w:tc>
      </w:tr>
      <w:tr w:rsidTr="00766C08">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C08">
            <w:pPr>
              <w:pStyle w:val="BodyText"/>
              <w:rPr>
                <w:lang w:val="en-NZ"/>
              </w:rPr>
            </w:pPr>
            <w:r w:rsidRPr="00766C08">
              <w:rPr>
                <w:rStyle w:val="SpecialBold"/>
              </w:rPr>
              <w:t xml:space="preserve">Sustainability </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C08" w:rsidP="00766C08">
            <w:pPr>
              <w:pStyle w:val="BodyText"/>
            </w:pPr>
            <w:r w:rsidRPr="00766C08">
              <w:t>Sustainability is used to mean the entire sustainable performance of the organisation/plant, including:</w:t>
            </w:r>
          </w:p>
          <w:p w:rsidR="00000000" w:rsidRPr="00766C08" w:rsidP="00766C08">
            <w:pPr>
              <w:pStyle w:val="ListBullet"/>
            </w:pPr>
            <w:r w:rsidRPr="00766C08">
              <w:t>meeting all regulatory requirements</w:t>
            </w:r>
          </w:p>
          <w:p w:rsidR="00000000" w:rsidRPr="00766C08" w:rsidP="00766C08">
            <w:pPr>
              <w:pStyle w:val="ListBullet"/>
            </w:pPr>
            <w:r w:rsidRPr="00766C08">
              <w:t>conforming to all industry covenants, protocols and best practice guides</w:t>
            </w:r>
          </w:p>
          <w:p w:rsidR="00000000" w:rsidRPr="00766C08" w:rsidP="00766C08">
            <w:pPr>
              <w:pStyle w:val="ListBullet"/>
            </w:pPr>
            <w:r w:rsidRPr="00766C08">
              <w:t>minimising ecological and environmental fo</w:t>
            </w:r>
            <w:r w:rsidRPr="00766C08">
              <w:t>otprint of process, plant and product</w:t>
            </w:r>
          </w:p>
          <w:p w:rsidR="00000000" w:rsidP="00766C08">
            <w:pPr>
              <w:pStyle w:val="ListBullet"/>
              <w:rPr>
                <w:lang w:val="en-NZ"/>
              </w:rPr>
            </w:pPr>
            <w:r w:rsidRPr="00766C08">
              <w:t>maximising economic benefit of process plant and product to the organisation and the community minimising the negative WHS impact on employees, community and customer</w:t>
            </w:r>
          </w:p>
        </w:tc>
      </w:tr>
      <w:tr w:rsidTr="00766C08">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C08" w:rsidP="00766C08">
            <w:pPr>
              <w:pStyle w:val="BodyText"/>
            </w:pPr>
            <w:r w:rsidRPr="00766C08">
              <w:rPr>
                <w:rStyle w:val="SpecialBold"/>
              </w:rPr>
              <w:t>Systems thinking</w:t>
            </w:r>
          </w:p>
          <w:p w:rsidR="00000000">
            <w:pPr>
              <w:pStyle w:val="BodyText"/>
              <w:keepNext w:val="0"/>
              <w:keepLines w:val="0"/>
              <w:contextualSpacing w:val="0"/>
              <w:rPr>
                <w:rFonts w:ascii="Tahoma" w:hAnsi="Tahoma"/>
                <w:color w:val="000000"/>
                <w:sz w:val="20"/>
                <w:lang w:val="en-NZ"/>
              </w:rPr>
            </w:pP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C08">
            <w:pPr>
              <w:pStyle w:val="BodyText"/>
              <w:rPr>
                <w:lang w:val="en-NZ"/>
              </w:rPr>
            </w:pPr>
            <w:r w:rsidRPr="00766C08">
              <w:t>Systems thinking refers to the c</w:t>
            </w:r>
            <w:r w:rsidRPr="00766C08">
              <w:t xml:space="preserve">onduct of engineering work in a manner that demonstrates knowledge of how the interaction of different </w:t>
            </w:r>
            <w:r w:rsidRPr="00766C08">
              <w:t>technical systems on equipment, machinery or structures, as well as the skills and techniques of personnel, combine to perform or support engineering-rel</w:t>
            </w:r>
            <w:r w:rsidRPr="00766C08">
              <w:t>ated operations, processes or projects. It embraces determining or establishing how the function of each technical system or component, as well as the skills and techniques of personnel, effects or potentially may effect, outcomes. Systems should be interp</w:t>
            </w:r>
            <w:r w:rsidRPr="00766C08">
              <w:t>reted broadly within the context of the organisation and depending on the project or operation can include equipment, related facilities, material, software, internal services and personnel, and other organisations in the value chain</w:t>
            </w:r>
          </w:p>
        </w:tc>
      </w:tr>
      <w:tr w:rsidTr="00766C08">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C08">
            <w:pPr>
              <w:pStyle w:val="BodyText"/>
              <w:rPr>
                <w:lang w:val="en-NZ"/>
              </w:rPr>
            </w:pPr>
            <w:r w:rsidRPr="00766C08">
              <w:rPr>
                <w:rStyle w:val="SpecialBold"/>
              </w:rPr>
              <w:t>Continuous improvemen</w:t>
            </w:r>
            <w:r w:rsidRPr="00766C08">
              <w:rPr>
                <w:rStyle w:val="SpecialBold"/>
              </w:rPr>
              <w:t xml:space="preserve">t implementation </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C08" w:rsidP="00766C08">
            <w:pPr>
              <w:pStyle w:val="BodyText"/>
            </w:pPr>
            <w:r w:rsidRPr="00766C08">
              <w:t>Continuous improvement implementation may relate to plant, products, processes, systems or services, including design, development, implementation or manufacture, commissioning, operation or delivery and maintenance.</w:t>
            </w:r>
          </w:p>
          <w:p w:rsidR="00000000" w:rsidRPr="00766C08" w:rsidP="00766C08">
            <w:pPr>
              <w:pStyle w:val="BodyText"/>
            </w:pPr>
            <w:r w:rsidRPr="00766C08">
              <w:t>Improvement processes</w:t>
            </w:r>
            <w:r w:rsidRPr="00766C08">
              <w:t xml:space="preserve"> may include techniques, such as:</w:t>
            </w:r>
          </w:p>
          <w:p w:rsidR="00000000" w:rsidRPr="00766C08" w:rsidP="00766C08">
            <w:pPr>
              <w:pStyle w:val="ListBullet"/>
            </w:pPr>
            <w:r w:rsidRPr="00766C08">
              <w:t xml:space="preserve">balanced scorecard </w:t>
            </w:r>
          </w:p>
          <w:p w:rsidR="00000000" w:rsidRPr="00766C08" w:rsidP="00766C08">
            <w:pPr>
              <w:pStyle w:val="ListBullet"/>
            </w:pPr>
            <w:r w:rsidRPr="00766C08">
              <w:t>current and future state mapping</w:t>
            </w:r>
          </w:p>
          <w:p w:rsidR="00000000" w:rsidRPr="00766C08" w:rsidP="00766C08">
            <w:pPr>
              <w:pStyle w:val="ListBullet"/>
            </w:pPr>
            <w:r w:rsidRPr="00766C08">
              <w:t xml:space="preserve">measuring performance against benchmarks </w:t>
            </w:r>
          </w:p>
          <w:p w:rsidR="00000000" w:rsidRPr="00766C08" w:rsidP="00766C08">
            <w:pPr>
              <w:pStyle w:val="ListBullet"/>
            </w:pPr>
            <w:r w:rsidRPr="00766C08">
              <w:t>process improvement, problem solving and decision making</w:t>
            </w:r>
          </w:p>
          <w:p w:rsidR="00000000" w:rsidRPr="00766C08" w:rsidP="00766C08">
            <w:pPr>
              <w:pStyle w:val="ListBullet"/>
            </w:pPr>
            <w:r w:rsidRPr="00766C08">
              <w:t>data management, generation, recording, analysing, storing and use of software</w:t>
            </w:r>
          </w:p>
          <w:p w:rsidR="00000000" w:rsidRPr="00766C08" w:rsidP="00766C08">
            <w:pPr>
              <w:pStyle w:val="ListBullet"/>
            </w:pPr>
            <w:r w:rsidRPr="00766C08">
              <w:t>training for improvement systems participation</w:t>
            </w:r>
          </w:p>
          <w:p w:rsidR="00000000" w:rsidP="00766C08">
            <w:pPr>
              <w:pStyle w:val="ListBullet"/>
              <w:rPr>
                <w:lang w:val="en-NZ"/>
              </w:rPr>
            </w:pPr>
            <w:r w:rsidRPr="00766C08">
              <w:t>technical training</w:t>
            </w:r>
          </w:p>
        </w:tc>
      </w:tr>
      <w:tr w:rsidTr="00766C08">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C08">
            <w:pPr>
              <w:pStyle w:val="BodyText"/>
              <w:rPr>
                <w:lang w:val="en-NZ"/>
              </w:rPr>
            </w:pPr>
            <w:r w:rsidRPr="00766C08">
              <w:rPr>
                <w:rStyle w:val="SpecialBold"/>
              </w:rPr>
              <w:t>Constraints and contingencies</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C08" w:rsidP="00766C08">
            <w:pPr>
              <w:pStyle w:val="BodyText"/>
            </w:pPr>
            <w:r w:rsidRPr="00766C08">
              <w:t>Constraints and contingencies may be:</w:t>
            </w:r>
          </w:p>
          <w:p w:rsidR="00000000" w:rsidRPr="00766C08" w:rsidP="00766C08">
            <w:pPr>
              <w:pStyle w:val="ListBullet"/>
            </w:pPr>
            <w:r w:rsidRPr="00766C08">
              <w:t>financial</w:t>
            </w:r>
          </w:p>
          <w:p w:rsidR="00000000" w:rsidRPr="00766C08" w:rsidP="00766C08">
            <w:pPr>
              <w:pStyle w:val="ListBullet"/>
            </w:pPr>
            <w:r w:rsidRPr="00766C08">
              <w:t>organisational, procedural or c</w:t>
            </w:r>
            <w:r w:rsidRPr="00766C08">
              <w:t xml:space="preserve">ultural </w:t>
            </w:r>
          </w:p>
          <w:p w:rsidR="00000000" w:rsidP="00766C08">
            <w:pPr>
              <w:pStyle w:val="ListBullet"/>
              <w:rPr>
                <w:lang w:val="en-NZ"/>
              </w:rPr>
            </w:pPr>
            <w:r w:rsidRPr="00766C08">
              <w:t>physical constraints, such as limits to resources, limits to site access or logistical limitations</w:t>
            </w:r>
          </w:p>
        </w:tc>
      </w:tr>
      <w:tr w:rsidTr="00766C08">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C08">
            <w:pPr>
              <w:pStyle w:val="BodyText"/>
              <w:rPr>
                <w:lang w:val="en-NZ"/>
              </w:rPr>
            </w:pPr>
            <w:r w:rsidRPr="00766C08">
              <w:rPr>
                <w:rStyle w:val="SpecialBold"/>
              </w:rPr>
              <w:t>Lean principles</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C08" w:rsidP="00766C08">
            <w:pPr>
              <w:pStyle w:val="BodyText"/>
            </w:pPr>
            <w:r w:rsidRPr="00766C08">
              <w:t>Lean principles affecting tooling and related processes include:</w:t>
            </w:r>
          </w:p>
          <w:p w:rsidR="00000000" w:rsidRPr="00766C08" w:rsidP="00766C08">
            <w:pPr>
              <w:pStyle w:val="ListBullet"/>
            </w:pPr>
            <w:r w:rsidRPr="00766C08">
              <w:t>tooling and processing costs</w:t>
            </w:r>
          </w:p>
          <w:p w:rsidR="00000000" w:rsidRPr="00766C08" w:rsidP="00766C08">
            <w:pPr>
              <w:pStyle w:val="ListBullet"/>
            </w:pPr>
            <w:r w:rsidRPr="00766C08">
              <w:t>capacity and responsiveness to product demand</w:t>
            </w:r>
          </w:p>
          <w:p w:rsidR="00000000" w:rsidRPr="00766C08" w:rsidP="00766C08">
            <w:pPr>
              <w:pStyle w:val="ListBullet"/>
            </w:pPr>
            <w:r w:rsidRPr="00766C08">
              <w:t>quality of product</w:t>
            </w:r>
          </w:p>
          <w:p w:rsidR="00000000" w:rsidRPr="00766C08" w:rsidP="00766C08">
            <w:pPr>
              <w:pStyle w:val="ListBullet"/>
            </w:pPr>
            <w:r w:rsidRPr="00766C08">
              <w:t>reliability of tooling, process and supply</w:t>
            </w:r>
          </w:p>
          <w:p w:rsidR="00000000" w:rsidRPr="00766C08" w:rsidP="00766C08">
            <w:pPr>
              <w:pStyle w:val="ListBullet"/>
            </w:pPr>
            <w:r w:rsidRPr="00766C08">
              <w:t>waste minimisation which includes ease of tool change</w:t>
            </w:r>
          </w:p>
        </w:tc>
      </w:tr>
    </w:tbl>
    <w:p w:rsidR="00000000" w:rsidRPr="00766C08" w:rsidP="00766C08">
      <w:pPr>
        <w:pStyle w:val="BodyText"/>
      </w:pPr>
    </w:p>
    <w:p w:rsidR="00000000" w:rsidRPr="00766C08" w:rsidP="00766C08">
      <w:pPr>
        <w:pStyle w:val="AllowPageBreak"/>
      </w:pPr>
    </w:p>
    <w:p w:rsidR="00000000" w:rsidRPr="00766C08" w:rsidP="00766C08">
      <w:pPr>
        <w:pStyle w:val="Heading1"/>
      </w:pPr>
      <w:bookmarkStart w:id="12" w:name="O_520146"/>
      <w:bookmarkEnd w:id="12"/>
      <w:r w:rsidRPr="00766C08">
        <w:t>Unit Sector(s)</w:t>
      </w:r>
    </w:p>
    <w:tbl>
      <w:tblPr>
        <w:tblW w:w="0" w:type="auto"/>
        <w:tblCellMar>
          <w:left w:w="62" w:type="dxa"/>
          <w:right w:w="62" w:type="dxa"/>
        </w:tblCellMar>
        <w:tblLook w:val="0000"/>
      </w:tblPr>
      <w:tblGrid>
        <w:gridCol w:w="2576"/>
        <w:gridCol w:w="6620"/>
      </w:tblGrid>
      <w:tr w:rsidTr="000007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6C08">
            <w:pPr>
              <w:pStyle w:val="BodyText"/>
              <w:rPr>
                <w:lang w:val="en-NZ"/>
              </w:rPr>
            </w:pPr>
            <w:r w:rsidRPr="00766C08">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766C08">
            <w:pPr>
              <w:pStyle w:val="BodyText"/>
              <w:rPr>
                <w:lang w:val="en-NZ"/>
              </w:rPr>
            </w:pPr>
          </w:p>
        </w:tc>
      </w:tr>
      <w:tr w:rsidTr="000007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6C08">
            <w:pPr>
              <w:pStyle w:val="BodyText"/>
              <w:rPr>
                <w:lang w:val="en-NZ"/>
              </w:rPr>
            </w:pPr>
            <w:r w:rsidRPr="00766C08">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766C08" w:rsidP="00766C08">
            <w:pPr>
              <w:pStyle w:val="BodyText"/>
            </w:pPr>
            <w:r w:rsidRPr="00766C08">
              <w:t>Engineering science</w:t>
            </w:r>
          </w:p>
        </w:tc>
      </w:tr>
    </w:tbl>
    <w:p w:rsidR="00000000" w:rsidRPr="00766C08" w:rsidP="00766C08">
      <w:pPr>
        <w:pStyle w:val="BodyText"/>
      </w:pPr>
    </w:p>
    <w:p w:rsidR="00000000" w:rsidRPr="00766C08" w:rsidP="00766C08">
      <w:pPr>
        <w:pStyle w:val="AllowPageBreak"/>
      </w:pPr>
    </w:p>
    <w:p w:rsidR="00000000" w:rsidRPr="00766C08" w:rsidP="00766C08">
      <w:pPr>
        <w:pStyle w:val="Heading1"/>
      </w:pPr>
      <w:bookmarkStart w:id="13" w:name="O_520145"/>
      <w:bookmarkEnd w:id="13"/>
      <w:r w:rsidRPr="00766C08">
        <w:t>Custom Content Section</w:t>
      </w:r>
    </w:p>
    <w:p w:rsidR="00000000" w:rsidRPr="00766C08" w:rsidP="00766C08">
      <w:pPr>
        <w:pStyle w:val="BodyText"/>
      </w:pPr>
      <w:r w:rsidRPr="00766C08">
        <w:t>Not applicable.</w:t>
      </w:r>
    </w:p>
    <w:p w:rsidR="00000000" w:rsidRPr="00766C08" w:rsidP="00766C08"/>
    <w:sectPr w:rsidSect="00766C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C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C08" w:rsidRPr="000007FB" w:rsidP="000007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C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7FB" w:rsidP="00766C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007FB" w:rsidP="00766C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007FB" w:rsidP="00766C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C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C08" w:rsidRPr="000007FB" w:rsidP="000007F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C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7FB" w:rsidRPr="002D2AF8" w:rsidP="00766C08">
    <w:pPr>
      <w:pStyle w:val="Header"/>
      <w:framePr w:wrap="around"/>
    </w:pPr>
    <w:r>
      <w:fldChar w:fldCharType="begin"/>
    </w:r>
    <w:r>
      <w:instrText xml:space="preserve"> TITLE   \* MERGEFORMAT </w:instrText>
    </w:r>
    <w:r>
      <w:fldChar w:fldCharType="separate"/>
    </w:r>
    <w:r>
      <w:t>MEM23136A Evaluate stamping and forging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20/12/2012</w:t>
    </w:r>
    <w:r>
      <w:fldChar w:fldCharType="end"/>
    </w:r>
  </w:p>
  <w:p w:rsidR="000007FB" w:rsidP="00766C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EA9B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5E8B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24DF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C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6C08"/>
    <w:pPr>
      <w:spacing w:before="360" w:after="60"/>
      <w:outlineLvl w:val="0"/>
    </w:pPr>
    <w:rPr>
      <w:sz w:val="32"/>
    </w:rPr>
  </w:style>
  <w:style w:type="paragraph" w:styleId="Heading2">
    <w:name w:val="heading 2"/>
    <w:basedOn w:val="HeadingBase"/>
    <w:next w:val="BodyText"/>
    <w:link w:val="Heading2Char"/>
    <w:qFormat/>
    <w:rsid w:val="00766C08"/>
    <w:pPr>
      <w:keepLines/>
      <w:spacing w:before="240" w:after="120"/>
      <w:outlineLvl w:val="1"/>
    </w:pPr>
    <w:rPr>
      <w:sz w:val="28"/>
      <w:szCs w:val="40"/>
    </w:rPr>
  </w:style>
  <w:style w:type="paragraph" w:styleId="Heading3">
    <w:name w:val="heading 3"/>
    <w:basedOn w:val="HeadingBase"/>
    <w:next w:val="BodyText"/>
    <w:link w:val="Heading3Char"/>
    <w:qFormat/>
    <w:rsid w:val="00766C08"/>
    <w:pPr>
      <w:spacing w:before="180" w:after="120"/>
      <w:outlineLvl w:val="2"/>
    </w:pPr>
    <w:rPr>
      <w:spacing w:val="-10"/>
      <w:kern w:val="32"/>
    </w:rPr>
  </w:style>
  <w:style w:type="paragraph" w:styleId="Heading4">
    <w:name w:val="heading 4"/>
    <w:basedOn w:val="HeadingBase"/>
    <w:next w:val="BodyText"/>
    <w:link w:val="Heading4Char"/>
    <w:qFormat/>
    <w:rsid w:val="00766C08"/>
    <w:pPr>
      <w:spacing w:before="160" w:after="120"/>
      <w:outlineLvl w:val="3"/>
    </w:pPr>
    <w:rPr>
      <w:sz w:val="22"/>
    </w:rPr>
  </w:style>
  <w:style w:type="paragraph" w:styleId="Heading5">
    <w:name w:val="heading 5"/>
    <w:basedOn w:val="HeadingBase"/>
    <w:next w:val="Normal"/>
    <w:link w:val="Heading5Char"/>
    <w:qFormat/>
    <w:rsid w:val="00766C08"/>
    <w:pPr>
      <w:spacing w:before="80"/>
      <w:outlineLvl w:val="4"/>
    </w:pPr>
    <w:rPr>
      <w:color w:val="918585"/>
      <w:sz w:val="20"/>
    </w:rPr>
  </w:style>
  <w:style w:type="paragraph" w:styleId="Heading6">
    <w:name w:val="heading 6"/>
    <w:basedOn w:val="HeadingBase"/>
    <w:next w:val="Normal"/>
    <w:link w:val="Heading6Char"/>
    <w:qFormat/>
    <w:rsid w:val="00766C08"/>
    <w:pPr>
      <w:spacing w:before="60"/>
      <w:outlineLvl w:val="5"/>
    </w:pPr>
    <w:rPr>
      <w:color w:val="918585"/>
      <w:sz w:val="20"/>
    </w:rPr>
  </w:style>
  <w:style w:type="paragraph" w:styleId="Heading7">
    <w:name w:val="heading 7"/>
    <w:basedOn w:val="Normal"/>
    <w:next w:val="Normal"/>
    <w:link w:val="Heading7Char"/>
    <w:qFormat/>
    <w:rsid w:val="00766C08"/>
    <w:pPr>
      <w:ind w:left="720"/>
      <w:outlineLvl w:val="6"/>
    </w:pPr>
    <w:rPr>
      <w:i/>
    </w:rPr>
  </w:style>
  <w:style w:type="paragraph" w:styleId="Heading8">
    <w:name w:val="heading 8"/>
    <w:basedOn w:val="Normal"/>
    <w:next w:val="Normal"/>
    <w:link w:val="Heading8Char"/>
    <w:qFormat/>
    <w:rsid w:val="00766C08"/>
    <w:pPr>
      <w:ind w:left="720"/>
      <w:outlineLvl w:val="7"/>
    </w:pPr>
    <w:rPr>
      <w:i/>
    </w:rPr>
  </w:style>
  <w:style w:type="paragraph" w:styleId="Heading9">
    <w:name w:val="heading 9"/>
    <w:basedOn w:val="Normal"/>
    <w:next w:val="Normal"/>
    <w:link w:val="Heading9Char"/>
    <w:qFormat/>
    <w:rsid w:val="00766C08"/>
    <w:pPr>
      <w:ind w:left="720"/>
      <w:outlineLvl w:val="8"/>
    </w:pPr>
    <w:rPr>
      <w:i/>
    </w:rPr>
  </w:style>
  <w:style w:type="character" w:default="1" w:styleId="DefaultParagraphFont">
    <w:name w:val="Default Paragraph Font"/>
    <w:uiPriority w:val="1"/>
    <w:unhideWhenUsed/>
    <w:rsid w:val="00766C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6C08"/>
  </w:style>
  <w:style w:type="character" w:customStyle="1" w:styleId="Heading1Char">
    <w:name w:val="Heading 1 Char"/>
    <w:basedOn w:val="DefaultParagraphFont"/>
    <w:link w:val="Heading1"/>
    <w:rsid w:val="00766C08"/>
    <w:rPr>
      <w:rFonts w:ascii="Times New Roman" w:eastAsia="Times New Roman" w:hAnsi="Times New Roman" w:cs="Times New Roman"/>
      <w:b/>
      <w:sz w:val="32"/>
      <w:szCs w:val="20"/>
      <w:lang w:eastAsia="en-US"/>
    </w:rPr>
  </w:style>
  <w:style w:type="paragraph" w:styleId="BodyText">
    <w:name w:val="Body Text"/>
    <w:basedOn w:val="Normal"/>
    <w:link w:val="BodyTextChar"/>
    <w:rsid w:val="00766C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6C08"/>
    <w:rPr>
      <w:rFonts w:ascii="Times New Roman" w:eastAsia="Times New Roman" w:hAnsi="Times New Roman" w:cs="Times New Roman"/>
      <w:sz w:val="24"/>
      <w:lang w:eastAsia="en-US"/>
    </w:rPr>
  </w:style>
  <w:style w:type="paragraph" w:styleId="ListBullet">
    <w:name w:val="List Bullet"/>
    <w:basedOn w:val="List"/>
    <w:rsid w:val="00766C08"/>
    <w:pPr>
      <w:numPr>
        <w:numId w:val="13"/>
      </w:numPr>
      <w:tabs>
        <w:tab w:val="clear" w:pos="340"/>
      </w:tabs>
      <w:spacing w:before="40" w:after="40"/>
    </w:pPr>
  </w:style>
  <w:style w:type="character" w:customStyle="1" w:styleId="SpecialBold">
    <w:name w:val="Special Bold"/>
    <w:basedOn w:val="DefaultParagraphFont"/>
    <w:rsid w:val="00766C08"/>
    <w:rPr>
      <w:b/>
      <w:spacing w:val="0"/>
    </w:rPr>
  </w:style>
  <w:style w:type="paragraph" w:styleId="ListBullet2">
    <w:name w:val="List Bullet 2"/>
    <w:basedOn w:val="List2"/>
    <w:rsid w:val="00766C08"/>
    <w:pPr>
      <w:numPr>
        <w:numId w:val="14"/>
      </w:numPr>
      <w:tabs>
        <w:tab w:val="clear" w:pos="680"/>
      </w:tabs>
    </w:pPr>
  </w:style>
  <w:style w:type="paragraph" w:customStyle="1" w:styleId="SuperHeading">
    <w:name w:val="SuperHeading"/>
    <w:basedOn w:val="Normal"/>
    <w:rsid w:val="00766C08"/>
    <w:pPr>
      <w:spacing w:before="240" w:after="120"/>
      <w:outlineLvl w:val="0"/>
    </w:pPr>
    <w:rPr>
      <w:rFonts w:ascii="Times New Roman" w:hAnsi="Times New Roman"/>
      <w:b/>
      <w:sz w:val="32"/>
    </w:rPr>
  </w:style>
  <w:style w:type="paragraph" w:customStyle="1" w:styleId="AllowPageBreak">
    <w:name w:val="AllowPageBreak"/>
    <w:rsid w:val="00766C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6C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6C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6C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6C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6C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6C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6C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6C08"/>
    <w:rPr>
      <w:rFonts w:ascii="Courier New" w:eastAsia="Times New Roman" w:hAnsi="Courier New" w:cs="Times New Roman"/>
      <w:i/>
      <w:szCs w:val="20"/>
      <w:lang w:eastAsia="en-US"/>
    </w:rPr>
  </w:style>
  <w:style w:type="paragraph" w:customStyle="1" w:styleId="HeadingBase">
    <w:name w:val="Heading Base"/>
    <w:rsid w:val="00766C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6C08"/>
    <w:pPr>
      <w:tabs>
        <w:tab w:val="right" w:leader="dot" w:pos="9072"/>
      </w:tabs>
      <w:ind w:left="567"/>
    </w:pPr>
    <w:rPr>
      <w:szCs w:val="22"/>
    </w:rPr>
  </w:style>
  <w:style w:type="paragraph" w:customStyle="1" w:styleId="TOCBase">
    <w:name w:val="TOC Base"/>
    <w:rsid w:val="00766C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6C08"/>
    <w:pPr>
      <w:tabs>
        <w:tab w:val="right" w:leader="dot" w:pos="9072"/>
      </w:tabs>
      <w:spacing w:before="40" w:after="40"/>
      <w:ind w:left="284"/>
    </w:pPr>
    <w:rPr>
      <w:rFonts w:ascii="Times New Roman" w:hAnsi="Times New Roman"/>
    </w:rPr>
  </w:style>
  <w:style w:type="paragraph" w:styleId="TOC1">
    <w:name w:val="toc 1"/>
    <w:basedOn w:val="TOCBase"/>
    <w:next w:val="Normal"/>
    <w:rsid w:val="00766C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6C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6C08"/>
    <w:rPr>
      <w:rFonts w:ascii="Times New Roman" w:eastAsia="Times New Roman" w:hAnsi="Times New Roman" w:cs="Times New Roman"/>
      <w:sz w:val="16"/>
      <w:lang w:eastAsia="en-US"/>
    </w:rPr>
  </w:style>
  <w:style w:type="paragraph" w:styleId="Title">
    <w:name w:val="Title"/>
    <w:basedOn w:val="HeadingBase"/>
    <w:link w:val="TitleChar"/>
    <w:qFormat/>
    <w:rsid w:val="00766C08"/>
    <w:pPr>
      <w:spacing w:before="5040"/>
      <w:jc w:val="center"/>
    </w:pPr>
    <w:rPr>
      <w:sz w:val="48"/>
      <w:szCs w:val="72"/>
      <w:lang w:val="en-US"/>
    </w:rPr>
  </w:style>
  <w:style w:type="character" w:customStyle="1" w:styleId="TitleChar">
    <w:name w:val="Title Char"/>
    <w:basedOn w:val="DefaultParagraphFont"/>
    <w:link w:val="Title"/>
    <w:rsid w:val="00766C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6C08"/>
    <w:pPr>
      <w:tabs>
        <w:tab w:val="left" w:pos="3600"/>
        <w:tab w:val="left" w:pos="3958"/>
      </w:tabs>
    </w:pPr>
  </w:style>
  <w:style w:type="paragraph" w:styleId="List">
    <w:name w:val="List"/>
    <w:basedOn w:val="BodyText"/>
    <w:next w:val="BodyText"/>
    <w:rsid w:val="00766C08"/>
    <w:pPr>
      <w:tabs>
        <w:tab w:val="left" w:pos="340"/>
      </w:tabs>
      <w:spacing w:before="60" w:after="60"/>
      <w:ind w:left="340" w:hanging="340"/>
    </w:pPr>
  </w:style>
  <w:style w:type="paragraph" w:customStyle="1" w:styleId="Note">
    <w:name w:val="Note"/>
    <w:basedOn w:val="BodyText"/>
    <w:rsid w:val="00766C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6C08"/>
    <w:pPr>
      <w:framePr w:wrap="auto" w:hAnchor="text" w:y="6049"/>
    </w:pPr>
    <w:rPr>
      <w:color w:val="000000"/>
      <w:sz w:val="40"/>
    </w:rPr>
  </w:style>
  <w:style w:type="paragraph" w:customStyle="1" w:styleId="TOCTitle">
    <w:name w:val="TOCTitle"/>
    <w:basedOn w:val="Heading1"/>
    <w:rsid w:val="00766C08"/>
    <w:pPr>
      <w:spacing w:after="240"/>
      <w:jc w:val="center"/>
      <w:outlineLvl w:val="9"/>
    </w:pPr>
    <w:rPr>
      <w:caps/>
    </w:rPr>
  </w:style>
  <w:style w:type="paragraph" w:customStyle="1" w:styleId="Version">
    <w:name w:val="Version"/>
    <w:rsid w:val="00766C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6C08"/>
    <w:pPr>
      <w:keepNext w:val="0"/>
      <w:tabs>
        <w:tab w:val="right" w:pos="4176"/>
      </w:tabs>
      <w:ind w:left="198" w:hanging="198"/>
    </w:pPr>
    <w:rPr>
      <w:rFonts w:ascii="Garamond" w:hAnsi="Garamond"/>
    </w:rPr>
  </w:style>
  <w:style w:type="paragraph" w:styleId="IndexHeading">
    <w:name w:val="index heading"/>
    <w:basedOn w:val="Normal"/>
    <w:next w:val="Index1"/>
    <w:semiHidden/>
    <w:rsid w:val="00766C08"/>
    <w:pPr>
      <w:spacing w:before="120" w:after="120"/>
    </w:pPr>
    <w:rPr>
      <w:rFonts w:ascii="Arial" w:hAnsi="Arial"/>
      <w:b/>
      <w:color w:val="918585"/>
      <w:sz w:val="24"/>
    </w:rPr>
  </w:style>
  <w:style w:type="paragraph" w:styleId="Header">
    <w:name w:val="header"/>
    <w:basedOn w:val="Normal"/>
    <w:link w:val="HeaderChar"/>
    <w:rsid w:val="00766C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6C08"/>
    <w:rPr>
      <w:rFonts w:ascii="Times New Roman" w:eastAsia="Times New Roman" w:hAnsi="Times New Roman" w:cs="Times New Roman"/>
      <w:sz w:val="16"/>
      <w:szCs w:val="20"/>
      <w:lang w:val="en-GB" w:eastAsia="en-US"/>
    </w:rPr>
  </w:style>
  <w:style w:type="paragraph" w:customStyle="1" w:styleId="Chapter">
    <w:name w:val="Chapter"/>
    <w:basedOn w:val="Normal"/>
    <w:rsid w:val="00766C08"/>
    <w:pPr>
      <w:spacing w:before="240"/>
    </w:pPr>
    <w:rPr>
      <w:rFonts w:ascii="Times New Roman" w:hAnsi="Times New Roman"/>
      <w:smallCaps/>
      <w:spacing w:val="80"/>
      <w:sz w:val="28"/>
    </w:rPr>
  </w:style>
  <w:style w:type="paragraph" w:customStyle="1" w:styleId="InChapter">
    <w:name w:val="InChapter"/>
    <w:basedOn w:val="Heading3"/>
    <w:rsid w:val="00766C08"/>
    <w:pPr>
      <w:spacing w:after="240"/>
      <w:outlineLvl w:val="9"/>
    </w:pPr>
    <w:rPr>
      <w:noProof/>
    </w:rPr>
  </w:style>
  <w:style w:type="paragraph" w:styleId="Index2">
    <w:name w:val="index 2"/>
    <w:basedOn w:val="Normal"/>
    <w:next w:val="Normal"/>
    <w:semiHidden/>
    <w:rsid w:val="00766C08"/>
    <w:pPr>
      <w:tabs>
        <w:tab w:val="right" w:pos="4176"/>
      </w:tabs>
      <w:ind w:left="568" w:hanging="284"/>
    </w:pPr>
    <w:rPr>
      <w:rFonts w:ascii="Garamond" w:hAnsi="Garamond"/>
    </w:rPr>
  </w:style>
  <w:style w:type="paragraph" w:customStyle="1" w:styleId="Byline">
    <w:name w:val="Byline"/>
    <w:rsid w:val="00766C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6C08"/>
    <w:pPr>
      <w:tabs>
        <w:tab w:val="clear" w:pos="3600"/>
        <w:tab w:val="clear" w:pos="3958"/>
      </w:tabs>
      <w:jc w:val="right"/>
    </w:pPr>
  </w:style>
  <w:style w:type="character" w:styleId="Emphasis">
    <w:name w:val="Emphasis"/>
    <w:basedOn w:val="DefaultParagraphFont"/>
    <w:qFormat/>
    <w:rsid w:val="00766C08"/>
    <w:rPr>
      <w:i/>
    </w:rPr>
  </w:style>
  <w:style w:type="paragraph" w:styleId="Caption">
    <w:name w:val="caption"/>
    <w:basedOn w:val="BodyText"/>
    <w:next w:val="Normal"/>
    <w:qFormat/>
    <w:rsid w:val="00766C08"/>
    <w:pPr>
      <w:framePr w:w="2268" w:hSpace="181" w:vSpace="181" w:wrap="around" w:vAnchor="text" w:hAnchor="page" w:x="1135" w:y="285" w:anchorLock="1"/>
    </w:pPr>
    <w:rPr>
      <w:i/>
    </w:rPr>
  </w:style>
  <w:style w:type="paragraph" w:customStyle="1" w:styleId="MiniTOCTitle">
    <w:name w:val="MiniTOCTitle"/>
    <w:basedOn w:val="Heading4"/>
    <w:rsid w:val="00766C08"/>
    <w:pPr>
      <w:spacing w:before="240"/>
      <w:outlineLvl w:val="9"/>
    </w:pPr>
    <w:rPr>
      <w:noProof/>
      <w:sz w:val="24"/>
    </w:rPr>
  </w:style>
  <w:style w:type="paragraph" w:customStyle="1" w:styleId="MiniTOCItem">
    <w:name w:val="MiniTOCItem"/>
    <w:basedOn w:val="ListBullet"/>
    <w:rsid w:val="00766C08"/>
    <w:pPr>
      <w:numPr>
        <w:numId w:val="0"/>
      </w:numPr>
      <w:tabs>
        <w:tab w:val="right" w:leader="dot" w:pos="6521"/>
      </w:tabs>
      <w:spacing w:before="0" w:after="0"/>
    </w:pPr>
  </w:style>
  <w:style w:type="paragraph" w:customStyle="1" w:styleId="TOFTitle">
    <w:name w:val="TOFTitle"/>
    <w:basedOn w:val="TOCTitle"/>
    <w:rsid w:val="00766C08"/>
  </w:style>
  <w:style w:type="paragraph" w:styleId="TableofFigures">
    <w:name w:val="table of figures"/>
    <w:basedOn w:val="Normal"/>
    <w:next w:val="Normal"/>
    <w:semiHidden/>
    <w:rsid w:val="00766C08"/>
    <w:pPr>
      <w:tabs>
        <w:tab w:val="right" w:leader="dot" w:pos="9072"/>
      </w:tabs>
      <w:ind w:left="970" w:hanging="403"/>
    </w:pPr>
    <w:rPr>
      <w:rFonts w:ascii="Times New Roman" w:hAnsi="Times New Roman"/>
      <w:b/>
    </w:rPr>
  </w:style>
  <w:style w:type="paragraph" w:styleId="ListNumber">
    <w:name w:val="List Number"/>
    <w:basedOn w:val="List"/>
    <w:rsid w:val="00766C08"/>
    <w:pPr>
      <w:numPr>
        <w:numId w:val="11"/>
      </w:numPr>
    </w:pPr>
  </w:style>
  <w:style w:type="character" w:customStyle="1" w:styleId="WingdingSymbols">
    <w:name w:val="Wingding Symbols"/>
    <w:rsid w:val="00766C08"/>
    <w:rPr>
      <w:rFonts w:ascii="Wingdings" w:hAnsi="Wingdings"/>
    </w:rPr>
  </w:style>
  <w:style w:type="paragraph" w:customStyle="1" w:styleId="TableHeading">
    <w:name w:val="Table Heading"/>
    <w:basedOn w:val="HeadingBase"/>
    <w:rsid w:val="00766C08"/>
    <w:pPr>
      <w:keepLines/>
      <w:pBdr>
        <w:bottom w:val="single" w:sz="6" w:space="1" w:color="918585"/>
      </w:pBdr>
      <w:spacing w:before="240"/>
    </w:pPr>
  </w:style>
  <w:style w:type="character" w:customStyle="1" w:styleId="HotSpot">
    <w:name w:val="HotSpot"/>
    <w:rsid w:val="00766C08"/>
    <w:rPr>
      <w:color w:val="0033CC"/>
      <w:u w:val="none"/>
    </w:rPr>
  </w:style>
  <w:style w:type="paragraph" w:customStyle="1" w:styleId="BodyTextRight">
    <w:name w:val="Body Text Right"/>
    <w:basedOn w:val="BodyText"/>
    <w:rsid w:val="00766C08"/>
    <w:pPr>
      <w:spacing w:before="0" w:after="0"/>
      <w:jc w:val="right"/>
    </w:pPr>
  </w:style>
  <w:style w:type="paragraph" w:styleId="Index3">
    <w:name w:val="index 3"/>
    <w:basedOn w:val="ListNumber2"/>
    <w:next w:val="Normal"/>
    <w:semiHidden/>
    <w:rsid w:val="00766C08"/>
    <w:pPr>
      <w:numPr>
        <w:numId w:val="0"/>
      </w:numPr>
      <w:tabs>
        <w:tab w:val="right" w:leader="dot" w:pos="4176"/>
      </w:tabs>
    </w:pPr>
  </w:style>
  <w:style w:type="paragraph" w:styleId="ListNumber2">
    <w:name w:val="List Number 2"/>
    <w:basedOn w:val="List2"/>
    <w:rsid w:val="00766C08"/>
    <w:pPr>
      <w:numPr>
        <w:numId w:val="10"/>
      </w:numPr>
      <w:tabs>
        <w:tab w:val="clear" w:pos="1060"/>
      </w:tabs>
    </w:pPr>
  </w:style>
  <w:style w:type="paragraph" w:customStyle="1" w:styleId="MarginNote">
    <w:name w:val="Margin Note"/>
    <w:basedOn w:val="BodyText"/>
    <w:rsid w:val="00766C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6C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6C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6C08"/>
    <w:rPr>
      <w:sz w:val="32"/>
    </w:rPr>
  </w:style>
  <w:style w:type="paragraph" w:customStyle="1" w:styleId="HeadingProcedure">
    <w:name w:val="Heading Procedure"/>
    <w:basedOn w:val="HeadingBase"/>
    <w:next w:val="Normal"/>
    <w:rsid w:val="00766C08"/>
    <w:pPr>
      <w:tabs>
        <w:tab w:val="left" w:pos="0"/>
      </w:tabs>
      <w:spacing w:before="120" w:after="60"/>
    </w:pPr>
    <w:rPr>
      <w:i/>
      <w:color w:val="918585"/>
      <w:sz w:val="22"/>
    </w:rPr>
  </w:style>
  <w:style w:type="paragraph" w:customStyle="1" w:styleId="TableBodyText">
    <w:name w:val="Table Body Text"/>
    <w:basedOn w:val="BodyText"/>
    <w:rsid w:val="00766C08"/>
    <w:pPr>
      <w:spacing w:before="60" w:after="60"/>
    </w:pPr>
  </w:style>
  <w:style w:type="paragraph" w:styleId="ListContinue">
    <w:name w:val="List Continue"/>
    <w:basedOn w:val="List"/>
    <w:rsid w:val="00766C08"/>
    <w:pPr>
      <w:ind w:firstLine="0"/>
    </w:pPr>
  </w:style>
  <w:style w:type="paragraph" w:customStyle="1" w:styleId="ListNote">
    <w:name w:val="List Note"/>
    <w:basedOn w:val="List"/>
    <w:rsid w:val="00766C08"/>
    <w:pPr>
      <w:pBdr>
        <w:top w:val="single" w:sz="6" w:space="2" w:color="918585"/>
        <w:bottom w:val="single" w:sz="6" w:space="2" w:color="918585"/>
      </w:pBdr>
      <w:tabs>
        <w:tab w:val="left" w:pos="1021"/>
      </w:tabs>
      <w:ind w:firstLine="0"/>
    </w:pPr>
  </w:style>
  <w:style w:type="paragraph" w:customStyle="1" w:styleId="Warning">
    <w:name w:val="Warning"/>
    <w:basedOn w:val="BodyText"/>
    <w:rsid w:val="00766C08"/>
    <w:pPr>
      <w:shd w:val="clear" w:color="auto" w:fill="D9D9D9"/>
      <w:tabs>
        <w:tab w:val="left" w:pos="992"/>
      </w:tabs>
      <w:ind w:left="119" w:right="119"/>
    </w:pPr>
    <w:rPr>
      <w:sz w:val="20"/>
    </w:rPr>
  </w:style>
  <w:style w:type="paragraph" w:customStyle="1" w:styleId="MarginIcons">
    <w:name w:val="Margin Icons"/>
    <w:basedOn w:val="BodyText"/>
    <w:rsid w:val="00766C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6C08"/>
    <w:rPr>
      <w:rFonts w:ascii="Courier New" w:hAnsi="Courier New"/>
    </w:rPr>
  </w:style>
  <w:style w:type="paragraph" w:customStyle="1" w:styleId="NoteBullet">
    <w:name w:val="Note Bullet"/>
    <w:basedOn w:val="Note"/>
    <w:rsid w:val="00766C08"/>
    <w:pPr>
      <w:tabs>
        <w:tab w:val="clear" w:pos="680"/>
      </w:tabs>
      <w:spacing w:before="60" w:after="60"/>
    </w:pPr>
  </w:style>
  <w:style w:type="paragraph" w:customStyle="1" w:styleId="SubHeading2">
    <w:name w:val="SubHeading2"/>
    <w:basedOn w:val="HeadingBase"/>
    <w:rsid w:val="00766C08"/>
    <w:pPr>
      <w:spacing w:before="240" w:after="60"/>
    </w:pPr>
    <w:rPr>
      <w:sz w:val="20"/>
    </w:rPr>
  </w:style>
  <w:style w:type="paragraph" w:customStyle="1" w:styleId="SubHeading1">
    <w:name w:val="SubHeading1"/>
    <w:basedOn w:val="HeadingBase"/>
    <w:rsid w:val="00766C08"/>
    <w:pPr>
      <w:spacing w:before="240" w:after="60"/>
    </w:pPr>
    <w:rPr>
      <w:color w:val="918585"/>
      <w:sz w:val="22"/>
    </w:rPr>
  </w:style>
  <w:style w:type="paragraph" w:customStyle="1" w:styleId="SideHeading">
    <w:name w:val="Side Heading"/>
    <w:basedOn w:val="HeadingBase"/>
    <w:rsid w:val="00766C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6C08"/>
    <w:pPr>
      <w:numPr>
        <w:numId w:val="12"/>
      </w:numPr>
    </w:pPr>
  </w:style>
  <w:style w:type="paragraph" w:styleId="PlainText">
    <w:name w:val="Plain Text"/>
    <w:basedOn w:val="Normal"/>
    <w:link w:val="PlainTextChar"/>
    <w:rsid w:val="00766C08"/>
    <w:rPr>
      <w:sz w:val="20"/>
    </w:rPr>
  </w:style>
  <w:style w:type="character" w:customStyle="1" w:styleId="PlainTextChar">
    <w:name w:val="Plain Text Char"/>
    <w:basedOn w:val="DefaultParagraphFont"/>
    <w:link w:val="PlainText"/>
    <w:rsid w:val="00766C08"/>
    <w:rPr>
      <w:rFonts w:ascii="Courier New" w:eastAsia="Times New Roman" w:hAnsi="Courier New" w:cs="Times New Roman"/>
      <w:sz w:val="20"/>
      <w:szCs w:val="20"/>
      <w:lang w:eastAsia="en-US"/>
    </w:rPr>
  </w:style>
  <w:style w:type="character" w:customStyle="1" w:styleId="MenuOption">
    <w:name w:val="Menu Option"/>
    <w:basedOn w:val="DefaultParagraphFont"/>
    <w:rsid w:val="00766C08"/>
    <w:rPr>
      <w:b/>
      <w:smallCaps/>
    </w:rPr>
  </w:style>
  <w:style w:type="paragraph" w:customStyle="1" w:styleId="TableListNumber">
    <w:name w:val="Table List Number"/>
    <w:basedOn w:val="ListNumber"/>
    <w:rsid w:val="00766C08"/>
    <w:pPr>
      <w:numPr>
        <w:numId w:val="0"/>
      </w:numPr>
    </w:pPr>
  </w:style>
  <w:style w:type="paragraph" w:styleId="TOC4">
    <w:name w:val="toc 4"/>
    <w:basedOn w:val="TOCBase"/>
    <w:next w:val="Normal"/>
    <w:semiHidden/>
    <w:rsid w:val="00766C08"/>
    <w:pPr>
      <w:tabs>
        <w:tab w:val="right" w:leader="dot" w:pos="9071"/>
      </w:tabs>
      <w:ind w:left="1701"/>
    </w:pPr>
  </w:style>
  <w:style w:type="paragraph" w:customStyle="1" w:styleId="ListAlpha">
    <w:name w:val="List Alpha"/>
    <w:basedOn w:val="List"/>
    <w:rsid w:val="00766C08"/>
    <w:pPr>
      <w:numPr>
        <w:numId w:val="9"/>
      </w:numPr>
    </w:pPr>
  </w:style>
  <w:style w:type="paragraph" w:customStyle="1" w:styleId="ListAlpha2">
    <w:name w:val="List Alpha 2"/>
    <w:basedOn w:val="List2"/>
    <w:rsid w:val="00766C08"/>
    <w:pPr>
      <w:numPr>
        <w:numId w:val="8"/>
      </w:numPr>
    </w:pPr>
  </w:style>
  <w:style w:type="paragraph" w:styleId="List2">
    <w:name w:val="List 2"/>
    <w:basedOn w:val="BodyText"/>
    <w:rsid w:val="00766C08"/>
    <w:pPr>
      <w:tabs>
        <w:tab w:val="left" w:pos="680"/>
      </w:tabs>
      <w:spacing w:before="60" w:after="60"/>
      <w:ind w:left="680" w:hanging="340"/>
    </w:pPr>
  </w:style>
  <w:style w:type="paragraph" w:styleId="List3">
    <w:name w:val="List 3"/>
    <w:basedOn w:val="BodyText"/>
    <w:rsid w:val="00766C08"/>
    <w:pPr>
      <w:tabs>
        <w:tab w:val="left" w:pos="1021"/>
      </w:tabs>
      <w:spacing w:before="60" w:after="60"/>
      <w:ind w:left="1020" w:hanging="340"/>
    </w:pPr>
  </w:style>
  <w:style w:type="paragraph" w:styleId="List4">
    <w:name w:val="List 4"/>
    <w:basedOn w:val="BodyText"/>
    <w:rsid w:val="00766C08"/>
    <w:pPr>
      <w:tabs>
        <w:tab w:val="left" w:pos="1361"/>
      </w:tabs>
      <w:spacing w:before="60" w:after="60"/>
      <w:ind w:left="1361" w:hanging="340"/>
    </w:pPr>
  </w:style>
  <w:style w:type="paragraph" w:styleId="List5">
    <w:name w:val="List 5"/>
    <w:basedOn w:val="BodyText"/>
    <w:rsid w:val="00766C08"/>
    <w:pPr>
      <w:tabs>
        <w:tab w:val="left" w:pos="1701"/>
      </w:tabs>
      <w:spacing w:before="60" w:after="60"/>
      <w:ind w:left="1701" w:hanging="340"/>
    </w:pPr>
  </w:style>
  <w:style w:type="paragraph" w:styleId="ListBullet3">
    <w:name w:val="List Bullet 3"/>
    <w:basedOn w:val="List3"/>
    <w:rsid w:val="00766C08"/>
    <w:pPr>
      <w:numPr>
        <w:numId w:val="15"/>
      </w:numPr>
      <w:tabs>
        <w:tab w:val="clear" w:pos="1021"/>
      </w:tabs>
      <w:ind w:left="1037" w:hanging="357"/>
    </w:pPr>
  </w:style>
  <w:style w:type="paragraph" w:styleId="ListBullet4">
    <w:name w:val="List Bullet 4"/>
    <w:basedOn w:val="List4"/>
    <w:rsid w:val="00766C08"/>
    <w:pPr>
      <w:numPr>
        <w:numId w:val="3"/>
      </w:numPr>
    </w:pPr>
  </w:style>
  <w:style w:type="paragraph" w:styleId="ListBullet5">
    <w:name w:val="List Bullet 5"/>
    <w:basedOn w:val="List5"/>
    <w:rsid w:val="00766C08"/>
    <w:pPr>
      <w:numPr>
        <w:numId w:val="4"/>
      </w:numPr>
    </w:pPr>
  </w:style>
  <w:style w:type="paragraph" w:styleId="ListContinue2">
    <w:name w:val="List Continue 2"/>
    <w:basedOn w:val="List2"/>
    <w:rsid w:val="00766C08"/>
    <w:pPr>
      <w:ind w:firstLine="0"/>
    </w:pPr>
  </w:style>
  <w:style w:type="paragraph" w:styleId="ListContinue3">
    <w:name w:val="List Continue 3"/>
    <w:basedOn w:val="List3"/>
    <w:rsid w:val="00766C08"/>
    <w:pPr>
      <w:ind w:left="1021" w:firstLine="0"/>
    </w:pPr>
  </w:style>
  <w:style w:type="paragraph" w:styleId="ListContinue4">
    <w:name w:val="List Continue 4"/>
    <w:basedOn w:val="List4"/>
    <w:rsid w:val="00766C08"/>
    <w:pPr>
      <w:ind w:firstLine="0"/>
    </w:pPr>
  </w:style>
  <w:style w:type="paragraph" w:styleId="ListContinue5">
    <w:name w:val="List Continue 5"/>
    <w:basedOn w:val="List5"/>
    <w:rsid w:val="00766C08"/>
    <w:pPr>
      <w:ind w:firstLine="0"/>
    </w:pPr>
  </w:style>
  <w:style w:type="paragraph" w:styleId="ListNumber3">
    <w:name w:val="List Number 3"/>
    <w:basedOn w:val="List3"/>
    <w:rsid w:val="00766C08"/>
    <w:pPr>
      <w:numPr>
        <w:numId w:val="5"/>
      </w:numPr>
    </w:pPr>
  </w:style>
  <w:style w:type="paragraph" w:styleId="ListNumber4">
    <w:name w:val="List Number 4"/>
    <w:basedOn w:val="List4"/>
    <w:rsid w:val="00766C08"/>
    <w:pPr>
      <w:numPr>
        <w:numId w:val="6"/>
      </w:numPr>
    </w:pPr>
  </w:style>
  <w:style w:type="paragraph" w:styleId="ListNumber5">
    <w:name w:val="List Number 5"/>
    <w:basedOn w:val="List5"/>
    <w:rsid w:val="00766C08"/>
    <w:pPr>
      <w:numPr>
        <w:numId w:val="7"/>
      </w:numPr>
    </w:pPr>
  </w:style>
  <w:style w:type="paragraph" w:styleId="BlockText">
    <w:name w:val="Block Text"/>
    <w:basedOn w:val="Normal"/>
    <w:rsid w:val="00766C08"/>
    <w:pPr>
      <w:spacing w:after="120"/>
      <w:ind w:left="1440" w:right="1440"/>
    </w:pPr>
  </w:style>
  <w:style w:type="character" w:customStyle="1" w:styleId="Subscript">
    <w:name w:val="Subscript"/>
    <w:basedOn w:val="DefaultParagraphFont"/>
    <w:rsid w:val="00766C08"/>
    <w:rPr>
      <w:sz w:val="16"/>
      <w:vertAlign w:val="subscript"/>
    </w:rPr>
  </w:style>
  <w:style w:type="character" w:customStyle="1" w:styleId="Superscript">
    <w:name w:val="Superscript"/>
    <w:basedOn w:val="DefaultParagraphFont"/>
    <w:rsid w:val="00766C08"/>
    <w:rPr>
      <w:sz w:val="16"/>
      <w:vertAlign w:val="superscript"/>
    </w:rPr>
  </w:style>
  <w:style w:type="character" w:customStyle="1" w:styleId="Symbols">
    <w:name w:val="Symbols"/>
    <w:basedOn w:val="DefaultParagraphFont"/>
    <w:rsid w:val="00766C08"/>
    <w:rPr>
      <w:rFonts w:ascii="Symbol" w:hAnsi="Symbol"/>
    </w:rPr>
  </w:style>
  <w:style w:type="character" w:customStyle="1" w:styleId="MenuOptions">
    <w:name w:val="Menu Options"/>
    <w:basedOn w:val="DefaultParagraphFont"/>
    <w:rsid w:val="00766C08"/>
    <w:rPr>
      <w:rFonts w:ascii="Arial Narrow" w:hAnsi="Arial Narrow"/>
      <w:smallCaps/>
    </w:rPr>
  </w:style>
  <w:style w:type="character" w:customStyle="1" w:styleId="Buttons">
    <w:name w:val="Buttons"/>
    <w:basedOn w:val="DefaultParagraphFont"/>
    <w:rsid w:val="00766C08"/>
    <w:rPr>
      <w:b/>
    </w:rPr>
  </w:style>
  <w:style w:type="character" w:customStyle="1" w:styleId="Underlined">
    <w:name w:val="Underlined"/>
    <w:basedOn w:val="DefaultParagraphFont"/>
    <w:rsid w:val="00766C08"/>
    <w:rPr>
      <w:u w:val="single"/>
    </w:rPr>
  </w:style>
  <w:style w:type="paragraph" w:customStyle="1" w:styleId="TableBodyTextRight">
    <w:name w:val="Table Body Text Right"/>
    <w:basedOn w:val="TableBodyText"/>
    <w:rsid w:val="00766C08"/>
    <w:pPr>
      <w:widowControl w:val="0"/>
      <w:autoSpaceDE w:val="0"/>
      <w:autoSpaceDN w:val="0"/>
      <w:adjustRightInd w:val="0"/>
      <w:jc w:val="right"/>
    </w:pPr>
    <w:rPr>
      <w:rFonts w:cs="Arial"/>
      <w:szCs w:val="18"/>
    </w:rPr>
  </w:style>
  <w:style w:type="paragraph" w:customStyle="1" w:styleId="CopyrightText">
    <w:name w:val="Copyright Text"/>
    <w:basedOn w:val="BodyText"/>
    <w:rsid w:val="00766C08"/>
    <w:rPr>
      <w:sz w:val="18"/>
    </w:rPr>
  </w:style>
  <w:style w:type="paragraph" w:customStyle="1" w:styleId="BodySmallRight">
    <w:name w:val="Body Small Right"/>
    <w:basedOn w:val="BodyTextRight"/>
    <w:rsid w:val="00766C08"/>
    <w:rPr>
      <w:sz w:val="18"/>
      <w:szCs w:val="18"/>
    </w:rPr>
  </w:style>
  <w:style w:type="paragraph" w:customStyle="1" w:styleId="MarginEdition">
    <w:name w:val="Margin Edition"/>
    <w:basedOn w:val="MarginNote"/>
    <w:rsid w:val="00766C08"/>
    <w:pPr>
      <w:spacing w:before="0" w:after="0"/>
    </w:pPr>
    <w:rPr>
      <w:rFonts w:ascii="Times New Roman" w:hAnsi="Times New Roman"/>
      <w:color w:val="999999"/>
    </w:rPr>
  </w:style>
  <w:style w:type="paragraph" w:customStyle="1" w:styleId="Spacer">
    <w:name w:val="Spacer"/>
    <w:basedOn w:val="Normal"/>
    <w:rsid w:val="00766C08"/>
    <w:rPr>
      <w:sz w:val="2"/>
      <w:szCs w:val="2"/>
    </w:rPr>
  </w:style>
  <w:style w:type="character" w:customStyle="1" w:styleId="Small">
    <w:name w:val="Small"/>
    <w:basedOn w:val="DefaultParagraphFont"/>
    <w:rsid w:val="00766C08"/>
    <w:rPr>
      <w:sz w:val="16"/>
    </w:rPr>
  </w:style>
  <w:style w:type="paragraph" w:customStyle="1" w:styleId="WideTable">
    <w:name w:val="Wide Table"/>
    <w:basedOn w:val="Normal"/>
    <w:rsid w:val="00766C08"/>
    <w:pPr>
      <w:ind w:left="-1418"/>
    </w:pPr>
    <w:rPr>
      <w:sz w:val="2"/>
      <w:szCs w:val="2"/>
    </w:rPr>
  </w:style>
  <w:style w:type="character" w:styleId="PageNumber">
    <w:name w:val="page number"/>
    <w:basedOn w:val="DefaultParagraphFont"/>
    <w:rsid w:val="00766C08"/>
  </w:style>
  <w:style w:type="paragraph" w:styleId="Quote">
    <w:name w:val="Quote"/>
    <w:basedOn w:val="Heading1"/>
    <w:link w:val="QuoteChar"/>
    <w:qFormat/>
    <w:rsid w:val="00766C08"/>
    <w:rPr>
      <w:b w:val="0"/>
      <w:sz w:val="72"/>
      <w:szCs w:val="72"/>
      <w:lang w:val="en-NZ"/>
    </w:rPr>
  </w:style>
  <w:style w:type="character" w:customStyle="1" w:styleId="QuoteChar">
    <w:name w:val="Quote Char"/>
    <w:basedOn w:val="DefaultParagraphFont"/>
    <w:link w:val="Quote"/>
    <w:rsid w:val="00766C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6C08"/>
    <w:pPr>
      <w:pageBreakBefore/>
    </w:pPr>
  </w:style>
  <w:style w:type="paragraph" w:customStyle="1" w:styleId="Border">
    <w:name w:val="Border"/>
    <w:basedOn w:val="Normal"/>
    <w:qFormat/>
    <w:rsid w:val="00766C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6C08"/>
    <w:rPr>
      <w:b/>
      <w:bCs/>
      <w:i/>
      <w:iCs/>
      <w:color w:val="auto"/>
    </w:rPr>
  </w:style>
  <w:style w:type="paragraph" w:styleId="IntenseQuote">
    <w:name w:val="Intense Quote"/>
    <w:basedOn w:val="Normal"/>
    <w:next w:val="Normal"/>
    <w:link w:val="IntenseQuoteChar"/>
    <w:uiPriority w:val="30"/>
    <w:qFormat/>
    <w:rsid w:val="00766C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6C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6C08"/>
    <w:rPr>
      <w:smallCaps/>
      <w:color w:val="auto"/>
      <w:u w:val="single"/>
    </w:rPr>
  </w:style>
  <w:style w:type="character" w:styleId="IntenseReference">
    <w:name w:val="Intense Reference"/>
    <w:basedOn w:val="DefaultParagraphFont"/>
    <w:uiPriority w:val="32"/>
    <w:qFormat/>
    <w:rsid w:val="00766C08"/>
    <w:rPr>
      <w:b/>
      <w:bCs/>
      <w:smallCaps/>
      <w:color w:val="auto"/>
      <w:spacing w:val="5"/>
      <w:u w:val="single"/>
    </w:rPr>
  </w:style>
  <w:style w:type="paragraph" w:customStyle="1" w:styleId="2ColumnHeading">
    <w:name w:val="2Column Heading"/>
    <w:basedOn w:val="BodyText"/>
    <w:qFormat/>
    <w:rsid w:val="00766C08"/>
    <w:pPr>
      <w:spacing w:after="60"/>
      <w:ind w:left="-2268"/>
    </w:pPr>
    <w:rPr>
      <w:b/>
    </w:rPr>
  </w:style>
  <w:style w:type="paragraph" w:customStyle="1" w:styleId="Heading1TOC">
    <w:name w:val="Heading1 TOC"/>
    <w:basedOn w:val="Normal"/>
    <w:qFormat/>
    <w:rsid w:val="00766C08"/>
    <w:pPr>
      <w:spacing w:before="240" w:after="120"/>
    </w:pPr>
    <w:rPr>
      <w:rFonts w:ascii="Times New Roman" w:hAnsi="Times New Roman"/>
      <w:b/>
      <w:sz w:val="32"/>
    </w:rPr>
  </w:style>
  <w:style w:type="paragraph" w:customStyle="1" w:styleId="Heading2TOC">
    <w:name w:val="Heading2 TOC"/>
    <w:basedOn w:val="Normal"/>
    <w:qFormat/>
    <w:rsid w:val="00766C08"/>
    <w:pPr>
      <w:spacing w:before="240" w:after="60"/>
    </w:pPr>
    <w:rPr>
      <w:rFonts w:ascii="Times New Roman" w:hAnsi="Times New Roman"/>
      <w:b/>
      <w:sz w:val="28"/>
    </w:rPr>
  </w:style>
  <w:style w:type="character" w:customStyle="1" w:styleId="Underline">
    <w:name w:val="Underline"/>
    <w:basedOn w:val="DefaultParagraphFont"/>
    <w:qFormat/>
    <w:rsid w:val="00766C08"/>
    <w:rPr>
      <w:u w:val="single"/>
    </w:rPr>
  </w:style>
  <w:style w:type="character" w:customStyle="1" w:styleId="BoldandItalics">
    <w:name w:val="Bold and Italics"/>
    <w:qFormat/>
    <w:rsid w:val="00766C08"/>
    <w:rPr>
      <w:b/>
      <w:i/>
      <w:u w:val="none"/>
    </w:rPr>
  </w:style>
  <w:style w:type="paragraph" w:styleId="BalloonText">
    <w:name w:val="Balloon Text"/>
    <w:basedOn w:val="Normal"/>
    <w:link w:val="BalloonTextChar"/>
    <w:rsid w:val="00766C08"/>
    <w:rPr>
      <w:rFonts w:ascii="Tahoma" w:hAnsi="Tahoma" w:cs="Tahoma"/>
      <w:sz w:val="16"/>
      <w:szCs w:val="16"/>
    </w:rPr>
  </w:style>
  <w:style w:type="character" w:customStyle="1" w:styleId="BalloonTextChar">
    <w:name w:val="Balloon Text Char"/>
    <w:basedOn w:val="DefaultParagraphFont"/>
    <w:link w:val="BalloonText"/>
    <w:rsid w:val="00766C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6C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6C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6C08"/>
    <w:rPr>
      <w:b/>
      <w:color w:val="660033"/>
      <w:spacing w:val="0"/>
    </w:rPr>
  </w:style>
  <w:style w:type="paragraph" w:customStyle="1" w:styleId="Nameditemlist">
    <w:name w:val="Named item list"/>
    <w:basedOn w:val="BodyText"/>
    <w:qFormat/>
    <w:rsid w:val="00766C0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1790</Words>
  <Characters>11685</Characters>
  <Application>Microsoft Office Word</Application>
  <DocSecurity>0</DocSecurity>
  <Lines>391</Lines>
  <Paragraphs>203</Paragraphs>
  <ScaleCrop>false</ScaleCrop>
  <Company>Author-it Software Corporation Ltd.</Company>
  <LinksUpToDate>false</LinksUpToDate>
  <CharactersWithSpaces>13390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MEM23136A Evaluate stamping and forging tools</dc:title>
  <dc:subject>Approved</dc:subject>
  <dc:creator>Manufacturing Skills Australia</dc:creator>
  <cp:keywords>Release:</cp:keywords>
  <dc:description>Copyright © 1996-2007 Author-it Software Corporation Ltd., all rights reserved.</dc:description>
  <cp:lastModifiedBy>TPCMS</cp:lastModifiedBy>
  <cp:revision>3</cp:revision>
  <dcterms:created xsi:type="dcterms:W3CDTF">2012-12-20T04:31:00Z</dcterms:created>
  <dcterms:modified xsi:type="dcterms:W3CDTF">2012-12-20T04:31:00Z</dcterms:modified>
</cp:coreProperties>
</file>