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52FD" w:rsidP="005252FD">
      <w:pPr>
        <w:pStyle w:val="Title"/>
      </w:pPr>
      <w:bookmarkStart w:id="0" w:name="_GoBack"/>
      <w:bookmarkEnd w:id="0"/>
      <w:r>
        <w:fldChar w:fldCharType="begin"/>
      </w:r>
      <w:r>
        <w:instrText xml:space="preserve"> TITLE   \* MERGEFORMAT </w:instrText>
      </w:r>
      <w:r>
        <w:fldChar w:fldCharType="separate"/>
      </w:r>
      <w:r>
        <w:t>MEM23131A Evaluate rapid prototyping applications</w:t>
      </w:r>
      <w:r>
        <w:fldChar w:fldCharType="end"/>
      </w:r>
    </w:p>
    <w:p w:rsidR="005252FD" w:rsidP="005252FD">
      <w:pPr>
        <w:pStyle w:val="Version"/>
        <w:sectPr w:rsidSect="00EA5E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5E50" w:rsidP="00EA5E50">
      <w:pPr>
        <w:pStyle w:val="SuperHeading"/>
      </w:pPr>
      <w:r w:rsidRPr="00EA5E50">
        <w:t>MEM23131A Evaluate rapid prototyping applications</w:t>
      </w:r>
    </w:p>
    <w:p w:rsidR="00000000" w:rsidRPr="00EA5E50" w:rsidP="00EA5E50">
      <w:pPr>
        <w:pStyle w:val="Heading1"/>
      </w:pPr>
      <w:bookmarkStart w:id="1" w:name="O_520069"/>
      <w:bookmarkEnd w:id="1"/>
      <w:r w:rsidRPr="00EA5E50">
        <w:t>Modification History</w:t>
      </w:r>
    </w:p>
    <w:p w:rsidR="005252FD" w:rsidP="00EA5E50">
      <w:pPr>
        <w:pStyle w:val="BodyText"/>
      </w:pPr>
      <w:r w:rsidRPr="00EA5E50">
        <w:t>Release 1 (MEM05v9).</w:t>
      </w:r>
    </w:p>
    <w:p w:rsidR="005252FD" w:rsidP="00EA5E50">
      <w:pPr>
        <w:pStyle w:val="BodyText"/>
      </w:pPr>
    </w:p>
    <w:p w:rsidR="00000000" w:rsidRPr="00EA5E50" w:rsidP="00EA5E50">
      <w:pPr>
        <w:pStyle w:val="Heading1"/>
      </w:pPr>
      <w:bookmarkStart w:id="2" w:name="O_520081"/>
      <w:bookmarkEnd w:id="2"/>
      <w:r w:rsidRPr="00EA5E50">
        <w:t>Unit Descriptor</w:t>
      </w:r>
    </w:p>
    <w:p w:rsidR="005252FD" w:rsidP="00EA5E50">
      <w:pPr>
        <w:pStyle w:val="BodyText"/>
      </w:pPr>
      <w:r w:rsidRPr="00EA5E50">
        <w:t>This unit of competency covers the evaluation of rapid prototyping applications using additive processes, spray deposition and casting processes, rapid machining, cutting a</w:t>
      </w:r>
      <w:r w:rsidRPr="00EA5E50">
        <w:t>nd welding. It requires consideration of product manufacturability, materials, resources and skills, plant and tooling requirements systems and processes, strength, form, fit, function, lead time and sustainability.</w:t>
      </w:r>
    </w:p>
    <w:p w:rsidR="005252FD" w:rsidP="00EA5E50">
      <w:pPr>
        <w:pStyle w:val="BodyText"/>
      </w:pPr>
    </w:p>
    <w:p w:rsidR="00000000" w:rsidRPr="00EA5E50" w:rsidP="00EA5E50">
      <w:pPr>
        <w:pStyle w:val="Heading1"/>
      </w:pPr>
      <w:bookmarkStart w:id="3" w:name="O_520080"/>
      <w:bookmarkEnd w:id="3"/>
      <w:r w:rsidRPr="00EA5E50">
        <w:t>Application of the Uni</w:t>
      </w:r>
      <w:r w:rsidRPr="00EA5E50">
        <w:t>t</w:t>
      </w:r>
    </w:p>
    <w:p w:rsidR="005252FD" w:rsidP="00EA5E50">
      <w:pPr>
        <w:pStyle w:val="BodyText"/>
      </w:pPr>
      <w:r w:rsidRPr="00EA5E50">
        <w:t>This unit applies to rapid prototyping for engineering-related applications. It is suitable for people working as manufacturing or maintenance technicians, designers and draftspersons, and those pursuing engineering or related technical qualifications an</w:t>
      </w:r>
      <w:r w:rsidRPr="00EA5E50">
        <w:t>d careers.</w:t>
      </w:r>
    </w:p>
    <w:p w:rsidR="005252FD" w:rsidP="00EA5E50">
      <w:pPr>
        <w:pStyle w:val="BodyText"/>
      </w:pPr>
    </w:p>
    <w:p w:rsidR="00000000" w:rsidRPr="00EA5E50" w:rsidP="00EA5E50">
      <w:pPr>
        <w:pStyle w:val="Heading1"/>
      </w:pPr>
      <w:bookmarkStart w:id="4" w:name="O_520079"/>
      <w:bookmarkEnd w:id="4"/>
      <w:r w:rsidRPr="00EA5E50">
        <w:t>Licensing/Regulatory Information</w:t>
      </w:r>
    </w:p>
    <w:p w:rsidR="00000000" w:rsidRPr="00EA5E50" w:rsidP="00EA5E50">
      <w:pPr>
        <w:pStyle w:val="BodyText"/>
      </w:pPr>
      <w:r w:rsidRPr="00EA5E50">
        <w:t>Not applicable.</w:t>
      </w:r>
    </w:p>
    <w:p w:rsidR="00000000" w:rsidRPr="00EA5E50" w:rsidP="00EA5E50">
      <w:pPr>
        <w:pStyle w:val="AllowPageBreak"/>
      </w:pPr>
    </w:p>
    <w:p w:rsidR="00000000" w:rsidRPr="00EA5E50" w:rsidP="00EA5E50">
      <w:pPr>
        <w:pStyle w:val="Heading1"/>
      </w:pPr>
      <w:bookmarkStart w:id="5" w:name="O_520078"/>
      <w:bookmarkEnd w:id="5"/>
      <w:r w:rsidRPr="00EA5E50">
        <w:t>Pre-Requisites</w:t>
      </w:r>
    </w:p>
    <w:tbl>
      <w:tblPr>
        <w:tblW w:w="9354" w:type="dxa"/>
        <w:tblLayout w:type="fixed"/>
        <w:tblCellMar>
          <w:left w:w="62" w:type="dxa"/>
          <w:right w:w="62" w:type="dxa"/>
        </w:tblCellMar>
        <w:tblLook w:val="0000"/>
      </w:tblPr>
      <w:tblGrid>
        <w:gridCol w:w="2592"/>
        <w:gridCol w:w="6762"/>
      </w:tblGrid>
      <w:tr w:rsidTr="00EA5E50">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MEM23004A</w:t>
            </w:r>
          </w:p>
        </w:tc>
        <w:tc>
          <w:tcPr>
            <w:tcW w:w="6762" w:type="dxa"/>
            <w:tcBorders>
              <w:top w:val="nil"/>
              <w:left w:val="nil"/>
              <w:bottom w:val="nil"/>
              <w:right w:val="nil"/>
            </w:tcBorders>
            <w:tcMar>
              <w:top w:w="0" w:type="dxa"/>
              <w:left w:w="62" w:type="dxa"/>
              <w:bottom w:w="0" w:type="dxa"/>
              <w:right w:w="62" w:type="dxa"/>
            </w:tcMar>
          </w:tcPr>
          <w:p w:rsidR="00000000" w:rsidRPr="00EA5E50" w:rsidP="00EA5E50">
            <w:pPr>
              <w:pStyle w:val="BodyText"/>
            </w:pPr>
            <w:r w:rsidRPr="00EA5E50">
              <w:t>Apply technical mathematics</w:t>
            </w:r>
          </w:p>
        </w:tc>
      </w:tr>
    </w:tbl>
    <w:p w:rsidR="00000000" w:rsidRPr="00EA5E50" w:rsidP="00EA5E50">
      <w:pPr>
        <w:pStyle w:val="BodyText"/>
      </w:pPr>
    </w:p>
    <w:p w:rsidR="00000000" w:rsidRPr="00EA5E50" w:rsidP="00EA5E50">
      <w:pPr>
        <w:pStyle w:val="AllowPageBreak"/>
      </w:pPr>
    </w:p>
    <w:p w:rsidR="00000000" w:rsidRPr="00EA5E50" w:rsidP="00EA5E50">
      <w:pPr>
        <w:pStyle w:val="Heading1"/>
      </w:pPr>
      <w:bookmarkStart w:id="6" w:name="O_520077"/>
      <w:bookmarkEnd w:id="6"/>
      <w:r w:rsidRPr="00EA5E50">
        <w:t>Employability Skills Information</w:t>
      </w:r>
    </w:p>
    <w:p w:rsidR="005252FD" w:rsidP="00EA5E50">
      <w:pPr>
        <w:pStyle w:val="BodyText"/>
      </w:pPr>
      <w:r w:rsidRPr="00EA5E50">
        <w:t>This unit contains employability skills.</w:t>
      </w:r>
    </w:p>
    <w:p w:rsidR="005252FD" w:rsidP="00EA5E50">
      <w:pPr>
        <w:pStyle w:val="BodyText"/>
      </w:pPr>
    </w:p>
    <w:p w:rsidR="00000000" w:rsidRPr="00EA5E50" w:rsidP="00EA5E50">
      <w:pPr>
        <w:pStyle w:val="Heading1"/>
      </w:pPr>
      <w:bookmarkStart w:id="7" w:name="O_520076"/>
      <w:bookmarkEnd w:id="7"/>
      <w:r w:rsidRPr="00EA5E50">
        <w:t>Elements and Performance Criteria Pre-Content</w:t>
      </w:r>
    </w:p>
    <w:tbl>
      <w:tblPr>
        <w:tblW w:w="0" w:type="auto"/>
        <w:tblCellMar>
          <w:left w:w="62" w:type="dxa"/>
          <w:right w:w="62" w:type="dxa"/>
        </w:tblCellMar>
        <w:tblLook w:val="0000"/>
      </w:tblPr>
      <w:tblGrid>
        <w:gridCol w:w="2576"/>
        <w:gridCol w:w="6620"/>
      </w:tblGrid>
      <w:tr w:rsidTr="005252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EA5E50" w:rsidP="00EA5E50">
            <w:pPr>
              <w:pStyle w:val="BodyText"/>
            </w:pPr>
            <w:r w:rsidRPr="00EA5E50">
              <w:t xml:space="preserve">Performance criteria describe the performance needed to demonstrate achievement of the element. </w:t>
            </w:r>
          </w:p>
        </w:tc>
      </w:tr>
    </w:tbl>
    <w:p w:rsidR="005252FD" w:rsidP="00EA5E50">
      <w:pPr>
        <w:pStyle w:val="BodyText"/>
      </w:pPr>
    </w:p>
    <w:p w:rsidR="005252FD" w:rsidP="00EA5E50">
      <w:pPr>
        <w:pStyle w:val="BodyText"/>
      </w:pPr>
    </w:p>
    <w:p w:rsidR="00000000" w:rsidRPr="00EA5E50" w:rsidP="00EA5E50">
      <w:pPr>
        <w:pStyle w:val="Heading1"/>
      </w:pPr>
      <w:bookmarkStart w:id="8" w:name="O_520075"/>
      <w:bookmarkEnd w:id="8"/>
      <w:r w:rsidRPr="00EA5E50">
        <w:t>Elements and Per</w:t>
      </w:r>
      <w:r w:rsidRPr="00EA5E50">
        <w:t>formance Criteria</w:t>
      </w:r>
    </w:p>
    <w:tbl>
      <w:tblPr>
        <w:tblW w:w="0" w:type="auto"/>
        <w:tblLayout w:type="fixed"/>
        <w:tblCellMar>
          <w:left w:w="62" w:type="dxa"/>
          <w:right w:w="62" w:type="dxa"/>
        </w:tblCellMar>
        <w:tblLook w:val="0000"/>
      </w:tblPr>
      <w:tblGrid>
        <w:gridCol w:w="678"/>
        <w:gridCol w:w="1962"/>
        <w:gridCol w:w="770"/>
        <w:gridCol w:w="5610"/>
      </w:tblGrid>
      <w:tr w:rsidTr="00EA5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1</w:t>
            </w:r>
          </w:p>
        </w:tc>
        <w:tc>
          <w:tcPr>
            <w:tcW w:w="1962" w:type="dxa"/>
            <w:vMerge w:val="restart"/>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Establish scope of rapid prototyping application</w:t>
            </w:r>
          </w:p>
        </w:tc>
        <w:tc>
          <w:tcPr>
            <w:tcW w:w="77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1.1</w:t>
            </w:r>
          </w:p>
        </w:tc>
        <w:tc>
          <w:tcPr>
            <w:tcW w:w="561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 xml:space="preserve">Identify technology, including software, used in rapid prototyping application </w:t>
            </w:r>
          </w:p>
        </w:tc>
      </w:tr>
      <w:tr w:rsidTr="00EA5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1.2</w:t>
            </w:r>
          </w:p>
        </w:tc>
        <w:tc>
          <w:tcPr>
            <w:tcW w:w="561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Identify purpose and product of rapid prototyping application</w:t>
            </w:r>
          </w:p>
        </w:tc>
      </w:tr>
      <w:tr w:rsidTr="00EA5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1.3</w:t>
            </w:r>
          </w:p>
        </w:tc>
        <w:tc>
          <w:tcPr>
            <w:tcW w:w="561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Confirm stakeholders to be consulted as part of evaluation</w:t>
            </w:r>
          </w:p>
        </w:tc>
      </w:tr>
      <w:tr w:rsidTr="00EA5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1.4</w:t>
            </w:r>
          </w:p>
        </w:tc>
        <w:tc>
          <w:tcPr>
            <w:tcW w:w="561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 xml:space="preserve">Confirm that appropriate support, including technical and professional assistance, is available </w:t>
            </w:r>
          </w:p>
        </w:tc>
      </w:tr>
      <w:tr w:rsidTr="00EA5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1.5</w:t>
            </w:r>
          </w:p>
        </w:tc>
        <w:tc>
          <w:tcPr>
            <w:tcW w:w="5610" w:type="dxa"/>
            <w:tcBorders>
              <w:top w:val="nil"/>
              <w:left w:val="nil"/>
              <w:bottom w:val="nil"/>
              <w:right w:val="nil"/>
            </w:tcBorders>
            <w:tcMar>
              <w:top w:w="0" w:type="dxa"/>
              <w:left w:w="62" w:type="dxa"/>
              <w:bottom w:w="0" w:type="dxa"/>
              <w:right w:w="62" w:type="dxa"/>
            </w:tcMar>
          </w:tcPr>
          <w:p w:rsidR="00000000" w:rsidRPr="00EA5E50" w:rsidP="00EA5E50">
            <w:pPr>
              <w:pStyle w:val="BodyText"/>
            </w:pPr>
            <w:r w:rsidRPr="00EA5E50">
              <w:t>Determine relevant work health and safety (WHS) and regulatory requirements, standards, codes of practice, risk management and organisational procedures</w:t>
            </w:r>
          </w:p>
        </w:tc>
      </w:tr>
    </w:tbl>
    <w:p w:rsidR="00000000" w:rsidRPr="00EA5E50" w:rsidP="00EA5E50">
      <w:pPr>
        <w:pStyle w:val="BodyText"/>
      </w:pPr>
    </w:p>
    <w:tbl>
      <w:tblPr>
        <w:tblW w:w="0" w:type="auto"/>
        <w:tblLayout w:type="fixed"/>
        <w:tblCellMar>
          <w:left w:w="62" w:type="dxa"/>
          <w:right w:w="62" w:type="dxa"/>
        </w:tblCellMar>
        <w:tblLook w:val="0000"/>
      </w:tblPr>
      <w:tblGrid>
        <w:gridCol w:w="678"/>
        <w:gridCol w:w="1962"/>
        <w:gridCol w:w="770"/>
        <w:gridCol w:w="5610"/>
      </w:tblGrid>
      <w:tr w:rsidTr="00EA5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2</w:t>
            </w:r>
          </w:p>
        </w:tc>
        <w:tc>
          <w:tcPr>
            <w:tcW w:w="1962" w:type="dxa"/>
            <w:vMerge w:val="restart"/>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Identify principles and techniques required for evaluation of rapid prototyping application</w:t>
            </w:r>
          </w:p>
        </w:tc>
        <w:tc>
          <w:tcPr>
            <w:tcW w:w="77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2.1</w:t>
            </w:r>
          </w:p>
        </w:tc>
        <w:tc>
          <w:tcPr>
            <w:tcW w:w="561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Det</w:t>
            </w:r>
            <w:r w:rsidRPr="00EA5E50">
              <w:t xml:space="preserve">ermine principles and techniques required to evaluate and optimise the rapid prototyping applications </w:t>
            </w:r>
          </w:p>
        </w:tc>
      </w:tr>
      <w:tr w:rsidTr="00EA5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2.2</w:t>
            </w:r>
          </w:p>
        </w:tc>
        <w:tc>
          <w:tcPr>
            <w:tcW w:w="5610" w:type="dxa"/>
            <w:tcBorders>
              <w:top w:val="nil"/>
              <w:left w:val="nil"/>
              <w:bottom w:val="nil"/>
              <w:right w:val="nil"/>
            </w:tcBorders>
            <w:tcMar>
              <w:top w:w="0" w:type="dxa"/>
              <w:left w:w="62" w:type="dxa"/>
              <w:bottom w:w="0" w:type="dxa"/>
              <w:right w:w="62" w:type="dxa"/>
            </w:tcMar>
          </w:tcPr>
          <w:p w:rsidR="00000000" w:rsidRPr="00EA5E50" w:rsidP="00EA5E50">
            <w:pPr>
              <w:pStyle w:val="BodyText"/>
            </w:pPr>
            <w:r w:rsidRPr="00EA5E50">
              <w:t>Select appropriate analysis and development software and software validation techniques</w:t>
            </w:r>
          </w:p>
        </w:tc>
      </w:tr>
    </w:tbl>
    <w:p w:rsidR="00000000" w:rsidRPr="00EA5E50" w:rsidP="00EA5E50">
      <w:pPr>
        <w:pStyle w:val="BodyText"/>
      </w:pPr>
    </w:p>
    <w:tbl>
      <w:tblPr>
        <w:tblW w:w="0" w:type="auto"/>
        <w:tblLayout w:type="fixed"/>
        <w:tblCellMar>
          <w:left w:w="62" w:type="dxa"/>
          <w:right w:w="62" w:type="dxa"/>
        </w:tblCellMar>
        <w:tblLook w:val="0000"/>
      </w:tblPr>
      <w:tblGrid>
        <w:gridCol w:w="678"/>
        <w:gridCol w:w="1962"/>
        <w:gridCol w:w="770"/>
        <w:gridCol w:w="5610"/>
      </w:tblGrid>
      <w:tr w:rsidTr="00EA5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3</w:t>
            </w:r>
          </w:p>
        </w:tc>
        <w:tc>
          <w:tcPr>
            <w:tcW w:w="1962" w:type="dxa"/>
            <w:vMerge w:val="restart"/>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Evaluate rapid prototyping application</w:t>
            </w:r>
          </w:p>
        </w:tc>
        <w:tc>
          <w:tcPr>
            <w:tcW w:w="77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3.1</w:t>
            </w:r>
          </w:p>
        </w:tc>
        <w:tc>
          <w:tcPr>
            <w:tcW w:w="561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Assess WHS and regulatory compliance requirements and risk management practices of rapid prototyping processes</w:t>
            </w:r>
          </w:p>
        </w:tc>
      </w:tr>
      <w:tr w:rsidTr="00EA5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3.2</w:t>
            </w:r>
          </w:p>
        </w:tc>
        <w:tc>
          <w:tcPr>
            <w:tcW w:w="561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Assess effectiveness of software for product design, process analysis and optimisation</w:t>
            </w:r>
          </w:p>
        </w:tc>
      </w:tr>
      <w:tr w:rsidTr="00EA5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3.3</w:t>
            </w:r>
          </w:p>
        </w:tc>
        <w:tc>
          <w:tcPr>
            <w:tcW w:w="561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Determine suitability of facilities, services, plant and tooling for rapid prototyping processes</w:t>
            </w:r>
          </w:p>
        </w:tc>
      </w:tr>
      <w:tr w:rsidTr="00EA5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3.4</w:t>
            </w:r>
          </w:p>
        </w:tc>
        <w:tc>
          <w:tcPr>
            <w:tcW w:w="561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Assess materials against specifications in design and suitability for rapid prototyping processes</w:t>
            </w:r>
          </w:p>
        </w:tc>
      </w:tr>
      <w:tr w:rsidTr="00EA5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3.5</w:t>
            </w:r>
          </w:p>
        </w:tc>
        <w:tc>
          <w:tcPr>
            <w:tcW w:w="561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Review prototypes for compliance with specifica</w:t>
            </w:r>
            <w:r w:rsidRPr="00EA5E50">
              <w:t>tions and process efficiency,</w:t>
            </w:r>
          </w:p>
        </w:tc>
      </w:tr>
      <w:tr w:rsidTr="00EA5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3.6</w:t>
            </w:r>
          </w:p>
        </w:tc>
        <w:tc>
          <w:tcPr>
            <w:tcW w:w="561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Review rapid prototyping cost-effectiveness, including break-even and comparative costing relative to alternatives</w:t>
            </w:r>
          </w:p>
        </w:tc>
      </w:tr>
      <w:tr w:rsidTr="00EA5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3.7</w:t>
            </w:r>
          </w:p>
        </w:tc>
        <w:tc>
          <w:tcPr>
            <w:tcW w:w="561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Review labour and skills requirement of rapid prototyping application</w:t>
            </w:r>
          </w:p>
        </w:tc>
      </w:tr>
      <w:tr w:rsidTr="00EA5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3.8</w:t>
            </w:r>
          </w:p>
        </w:tc>
        <w:tc>
          <w:tcPr>
            <w:tcW w:w="561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Investigate sustainability implications of rapid prototyping application</w:t>
            </w:r>
          </w:p>
        </w:tc>
      </w:tr>
      <w:tr w:rsidTr="00EA5E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3.9</w:t>
            </w:r>
          </w:p>
        </w:tc>
        <w:tc>
          <w:tcPr>
            <w:tcW w:w="5610" w:type="dxa"/>
            <w:tcBorders>
              <w:top w:val="nil"/>
              <w:left w:val="nil"/>
              <w:bottom w:val="nil"/>
              <w:right w:val="nil"/>
            </w:tcBorders>
            <w:tcMar>
              <w:top w:w="0" w:type="dxa"/>
              <w:left w:w="62" w:type="dxa"/>
              <w:bottom w:w="0" w:type="dxa"/>
              <w:right w:w="62" w:type="dxa"/>
            </w:tcMar>
          </w:tcPr>
          <w:p w:rsidR="00000000" w:rsidRPr="00EA5E50" w:rsidP="00EA5E50">
            <w:pPr>
              <w:pStyle w:val="BodyText"/>
            </w:pPr>
            <w:r w:rsidRPr="00EA5E50">
              <w:t>Apply systems thinking, continuous improvement, problem solving and decision making, and constraint and contingency management</w:t>
            </w:r>
          </w:p>
        </w:tc>
      </w:tr>
    </w:tbl>
    <w:p w:rsidR="00000000" w:rsidRPr="00EA5E50" w:rsidP="00EA5E50">
      <w:pPr>
        <w:pStyle w:val="BodyText"/>
      </w:pPr>
    </w:p>
    <w:tbl>
      <w:tblPr>
        <w:tblW w:w="0" w:type="auto"/>
        <w:tblLayout w:type="fixed"/>
        <w:tblCellMar>
          <w:left w:w="62" w:type="dxa"/>
          <w:right w:w="62" w:type="dxa"/>
        </w:tblCellMar>
        <w:tblLook w:val="0000"/>
      </w:tblPr>
      <w:tblGrid>
        <w:gridCol w:w="630"/>
        <w:gridCol w:w="2010"/>
        <w:gridCol w:w="770"/>
        <w:gridCol w:w="5610"/>
      </w:tblGrid>
      <w:tr w:rsidTr="00EA5E5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4</w:t>
            </w:r>
          </w:p>
        </w:tc>
        <w:tc>
          <w:tcPr>
            <w:tcW w:w="2010" w:type="dxa"/>
            <w:vMerge w:val="restart"/>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Report results</w:t>
            </w:r>
          </w:p>
        </w:tc>
        <w:tc>
          <w:tcPr>
            <w:tcW w:w="77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4.1</w:t>
            </w:r>
          </w:p>
        </w:tc>
        <w:tc>
          <w:tcPr>
            <w:tcW w:w="561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Record results of evaluati</w:t>
            </w:r>
            <w:r w:rsidRPr="00EA5E50">
              <w:t>on</w:t>
            </w:r>
          </w:p>
        </w:tc>
      </w:tr>
      <w:tr w:rsidTr="00EA5E5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4.2</w:t>
            </w:r>
          </w:p>
        </w:tc>
        <w:tc>
          <w:tcPr>
            <w:tcW w:w="5610" w:type="dxa"/>
            <w:tcBorders>
              <w:top w:val="nil"/>
              <w:left w:val="nil"/>
              <w:bottom w:val="nil"/>
              <w:right w:val="nil"/>
            </w:tcBorders>
            <w:tcMar>
              <w:top w:w="0" w:type="dxa"/>
              <w:left w:w="62" w:type="dxa"/>
              <w:bottom w:w="0" w:type="dxa"/>
              <w:right w:w="62" w:type="dxa"/>
            </w:tcMar>
          </w:tcPr>
          <w:p w:rsidR="00000000" w:rsidRPr="00EA5E50" w:rsidP="00EA5E50">
            <w:pPr>
              <w:pStyle w:val="BodyText"/>
            </w:pPr>
            <w:r w:rsidRPr="00EA5E50">
              <w:t>Provide documentation, such as drawings, calculations, product and process analysis, and computer-aided design (CAD) files</w:t>
            </w:r>
          </w:p>
        </w:tc>
      </w:tr>
    </w:tbl>
    <w:p w:rsidR="005252FD" w:rsidP="00EA5E50">
      <w:pPr>
        <w:pStyle w:val="BodyText"/>
      </w:pPr>
    </w:p>
    <w:p w:rsidR="005252FD" w:rsidP="00EA5E50">
      <w:pPr>
        <w:pStyle w:val="BodyText"/>
      </w:pPr>
    </w:p>
    <w:p w:rsidR="00000000" w:rsidRPr="00EA5E50" w:rsidP="00EA5E50">
      <w:pPr>
        <w:pStyle w:val="Heading1"/>
      </w:pPr>
      <w:bookmarkStart w:id="9" w:name="O_520074"/>
      <w:bookmarkEnd w:id="9"/>
      <w:r w:rsidRPr="00EA5E50">
        <w:t>Required Skills and Knowledge</w:t>
      </w:r>
    </w:p>
    <w:tbl>
      <w:tblPr>
        <w:tblW w:w="9462" w:type="dxa"/>
        <w:tblLayout w:type="fixed"/>
        <w:tblCellMar>
          <w:left w:w="62" w:type="dxa"/>
          <w:right w:w="62" w:type="dxa"/>
        </w:tblCellMar>
        <w:tblLook w:val="0000"/>
      </w:tblPr>
      <w:tblGrid>
        <w:gridCol w:w="9462"/>
      </w:tblGrid>
      <w:tr w:rsidTr="00EA5E5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t>This section describes the skills and knowledge required for this unit.</w:t>
            </w:r>
          </w:p>
        </w:tc>
      </w:tr>
      <w:tr w:rsidTr="00EA5E5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rPr>
                <w:rStyle w:val="SpecialBold"/>
              </w:rPr>
              <w:t>Required skills</w:t>
            </w:r>
          </w:p>
        </w:tc>
      </w:tr>
      <w:tr w:rsidTr="00EA5E5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A5E50" w:rsidP="00EA5E50">
            <w:pPr>
              <w:pStyle w:val="BodyText"/>
            </w:pPr>
            <w:r w:rsidRPr="00EA5E50">
              <w:t>Required skills include:</w:t>
            </w:r>
          </w:p>
          <w:p w:rsidR="00000000" w:rsidRPr="00EA5E50" w:rsidP="00EA5E50">
            <w:pPr>
              <w:pStyle w:val="ListBullet"/>
            </w:pPr>
            <w:r w:rsidRPr="00EA5E50">
              <w:t xml:space="preserve">determining technologies, parameters and context of rapid prototyping applications </w:t>
            </w:r>
          </w:p>
          <w:p w:rsidR="00000000" w:rsidRPr="00EA5E50" w:rsidP="00EA5E50">
            <w:pPr>
              <w:pStyle w:val="ListBullet"/>
            </w:pPr>
            <w:r w:rsidRPr="00EA5E50">
              <w:t>investigating sustainability implications of rapid prototyping applications</w:t>
            </w:r>
          </w:p>
          <w:p w:rsidR="00000000" w:rsidRPr="00EA5E50" w:rsidP="00EA5E50">
            <w:pPr>
              <w:pStyle w:val="ListBullet"/>
            </w:pPr>
            <w:r w:rsidRPr="00EA5E50">
              <w:t>reviewing features and functions of rapid prototyping</w:t>
            </w:r>
            <w:r w:rsidRPr="00EA5E50">
              <w:t xml:space="preserve"> applications</w:t>
            </w:r>
          </w:p>
          <w:p w:rsidR="00000000" w:rsidRPr="00EA5E50" w:rsidP="00EA5E50">
            <w:pPr>
              <w:pStyle w:val="ListBullet"/>
            </w:pPr>
            <w:r w:rsidRPr="00EA5E50">
              <w:t>identifying rapid prototyping principles and techniques, analysis techniques and software</w:t>
            </w:r>
          </w:p>
          <w:p w:rsidR="00000000" w:rsidRPr="00EA5E50" w:rsidP="00EA5E50">
            <w:pPr>
              <w:pStyle w:val="ListBullet"/>
            </w:pPr>
            <w:r w:rsidRPr="00EA5E50">
              <w:t xml:space="preserve">identifying relevant WHS, regulatory and risk management compliance requirements for rapid prototyping applications </w:t>
            </w:r>
          </w:p>
          <w:p w:rsidR="00000000" w:rsidRPr="00EA5E50" w:rsidP="00EA5E50">
            <w:pPr>
              <w:pStyle w:val="ListBullet"/>
            </w:pPr>
            <w:r w:rsidRPr="00EA5E50">
              <w:t>assessing software, facilities, ser</w:t>
            </w:r>
            <w:r w:rsidRPr="00EA5E50">
              <w:t>vices, plant and tooling, and materials</w:t>
            </w:r>
          </w:p>
          <w:p w:rsidR="00000000" w:rsidRPr="00EA5E50" w:rsidP="00EA5E50">
            <w:pPr>
              <w:pStyle w:val="ListBullet"/>
            </w:pPr>
            <w:r w:rsidRPr="00EA5E50">
              <w:t>analysing labour and skills distribution requirements, degree of automation and competitiveness, costs and break-even</w:t>
            </w:r>
          </w:p>
          <w:p w:rsidR="00000000" w:rsidRPr="00EA5E50" w:rsidP="00EA5E50">
            <w:pPr>
              <w:pStyle w:val="ListBullet"/>
            </w:pPr>
            <w:r w:rsidRPr="00EA5E50">
              <w:t>evaluating rapid prototyping against alternative methods and technologies</w:t>
            </w:r>
          </w:p>
          <w:p w:rsidR="00000000" w:rsidP="00EA5E50">
            <w:pPr>
              <w:pStyle w:val="ListBullet"/>
              <w:rPr>
                <w:lang w:val="en-NZ"/>
              </w:rPr>
            </w:pPr>
            <w:r w:rsidRPr="00EA5E50">
              <w:t>reporting and documentin</w:t>
            </w:r>
            <w:r w:rsidRPr="00EA5E50">
              <w:t>g results of scoping, principles and techniques identification and evaluation of products and processes, product and process analysis, and CAD files</w:t>
            </w:r>
          </w:p>
        </w:tc>
      </w:tr>
      <w:tr w:rsidTr="00EA5E5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A5E50" w:rsidP="00EA5E50">
            <w:pPr>
              <w:pStyle w:val="BodyText"/>
            </w:pPr>
          </w:p>
          <w:p w:rsidR="00000000" w:rsidP="00EA5E50">
            <w:pPr>
              <w:pStyle w:val="BodyText"/>
              <w:rPr>
                <w:lang w:val="en-NZ"/>
              </w:rPr>
            </w:pPr>
            <w:r w:rsidRPr="00EA5E50">
              <w:rPr>
                <w:rStyle w:val="SpecialBold"/>
              </w:rPr>
              <w:t>Required knowledge</w:t>
            </w:r>
          </w:p>
        </w:tc>
      </w:tr>
      <w:tr w:rsidTr="00EA5E5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A5E50" w:rsidP="00EA5E50">
            <w:pPr>
              <w:pStyle w:val="BodyText"/>
            </w:pPr>
            <w:r w:rsidRPr="00EA5E50">
              <w:t>Required knowledge includes:</w:t>
            </w:r>
          </w:p>
          <w:p w:rsidR="00000000" w:rsidRPr="00EA5E50" w:rsidP="00EA5E50">
            <w:pPr>
              <w:pStyle w:val="ListBullet"/>
            </w:pPr>
            <w:r w:rsidRPr="00EA5E50">
              <w:t xml:space="preserve">range, features and applications </w:t>
            </w:r>
            <w:r w:rsidRPr="00EA5E50">
              <w:t>of rapid prototyping processes, including:</w:t>
            </w:r>
          </w:p>
          <w:p w:rsidR="00000000" w:rsidRPr="00EA5E50" w:rsidP="00EA5E50">
            <w:pPr>
              <w:pStyle w:val="ListBullet2"/>
            </w:pPr>
            <w:r w:rsidRPr="00EA5E50">
              <w:t>digitisers and reverse engineering processes</w:t>
            </w:r>
          </w:p>
          <w:p w:rsidR="00000000" w:rsidRPr="00EA5E50" w:rsidP="00EA5E50">
            <w:pPr>
              <w:pStyle w:val="ListBullet2"/>
            </w:pPr>
            <w:r w:rsidRPr="00EA5E50">
              <w:t>selective laser sintering (SLS)</w:t>
            </w:r>
          </w:p>
          <w:p w:rsidR="00000000" w:rsidRPr="00EA5E50" w:rsidP="00EA5E50">
            <w:pPr>
              <w:pStyle w:val="ListBullet2"/>
            </w:pPr>
            <w:r w:rsidRPr="00EA5E50">
              <w:t>fused deposition modelling (FDM)</w:t>
            </w:r>
          </w:p>
          <w:p w:rsidR="00000000" w:rsidRPr="00EA5E50" w:rsidP="00EA5E50">
            <w:pPr>
              <w:pStyle w:val="ListBullet2"/>
            </w:pPr>
            <w:r w:rsidRPr="00EA5E50">
              <w:t>stereolithography (SLA)</w:t>
            </w:r>
          </w:p>
          <w:p w:rsidR="00000000" w:rsidRPr="00EA5E50" w:rsidP="00EA5E50">
            <w:pPr>
              <w:pStyle w:val="ListBullet2"/>
            </w:pPr>
            <w:r w:rsidRPr="00EA5E50">
              <w:t>laminated object manufacturing (LOM)</w:t>
            </w:r>
          </w:p>
          <w:p w:rsidR="00000000" w:rsidRPr="00EA5E50" w:rsidP="00EA5E50">
            <w:pPr>
              <w:pStyle w:val="ListBullet2"/>
            </w:pPr>
            <w:r w:rsidRPr="00EA5E50">
              <w:t>electron beam melting (EBM)</w:t>
            </w:r>
          </w:p>
          <w:p w:rsidR="00000000" w:rsidRPr="00EA5E50" w:rsidP="00EA5E50">
            <w:pPr>
              <w:pStyle w:val="ListBullet2"/>
            </w:pPr>
            <w:r w:rsidRPr="00EA5E50">
              <w:t>3-D printing (3-DP)</w:t>
            </w:r>
          </w:p>
          <w:p w:rsidR="00000000" w:rsidRPr="00EA5E50" w:rsidP="00EA5E50">
            <w:pPr>
              <w:pStyle w:val="ListBullet2"/>
            </w:pPr>
            <w:r w:rsidRPr="00EA5E50">
              <w:t>solid freeform fabrication</w:t>
            </w:r>
          </w:p>
          <w:p w:rsidR="00000000" w:rsidRPr="00EA5E50" w:rsidP="00EA5E50">
            <w:pPr>
              <w:pStyle w:val="ListBullet2"/>
            </w:pPr>
            <w:r w:rsidRPr="00EA5E50">
              <w:t>sprayed metal deposition</w:t>
            </w:r>
          </w:p>
          <w:p w:rsidR="00000000" w:rsidRPr="00EA5E50" w:rsidP="00EA5E50">
            <w:pPr>
              <w:pStyle w:val="ListBullet2"/>
            </w:pPr>
            <w:r w:rsidRPr="00EA5E50">
              <w:t>direct metal deposition (DMD)</w:t>
            </w:r>
          </w:p>
          <w:p w:rsidR="00000000" w:rsidRPr="00EA5E50" w:rsidP="00EA5E50">
            <w:pPr>
              <w:pStyle w:val="ListBullet2"/>
            </w:pPr>
            <w:r w:rsidRPr="00EA5E50">
              <w:t>casting (patternless and rapid pattern processes)</w:t>
            </w:r>
          </w:p>
          <w:p w:rsidR="00000000" w:rsidRPr="00EA5E50" w:rsidP="00EA5E50">
            <w:pPr>
              <w:pStyle w:val="ListBullet2"/>
            </w:pPr>
            <w:r w:rsidRPr="00EA5E50">
              <w:t>vacuum forming</w:t>
            </w:r>
          </w:p>
          <w:p w:rsidR="00000000" w:rsidRPr="00EA5E50" w:rsidP="00EA5E50">
            <w:pPr>
              <w:pStyle w:val="ListBullet2"/>
            </w:pPr>
            <w:r w:rsidRPr="00EA5E50">
              <w:t>rapid machining (subtractive) options</w:t>
            </w:r>
          </w:p>
          <w:p w:rsidR="00000000" w:rsidRPr="00EA5E50" w:rsidP="00EA5E50">
            <w:pPr>
              <w:pStyle w:val="ListBullet2"/>
            </w:pPr>
            <w:r w:rsidRPr="00EA5E50">
              <w:t xml:space="preserve">rapid cutting options, such as computer driven gas </w:t>
            </w:r>
            <w:r w:rsidRPr="00EA5E50">
              <w:t>and laser cutting</w:t>
            </w:r>
          </w:p>
          <w:p w:rsidR="00000000" w:rsidRPr="00EA5E50" w:rsidP="00EA5E50">
            <w:pPr>
              <w:pStyle w:val="ListBullet2"/>
            </w:pPr>
            <w:r w:rsidRPr="00EA5E50">
              <w:t>robot and auto welding</w:t>
            </w:r>
          </w:p>
          <w:p w:rsidR="00000000" w:rsidRPr="00EA5E50" w:rsidP="00EA5E50">
            <w:pPr>
              <w:pStyle w:val="ListBullet"/>
            </w:pPr>
            <w:r w:rsidRPr="00EA5E50">
              <w:t>common applications for rapid prototyping, including:</w:t>
            </w:r>
          </w:p>
          <w:p w:rsidR="00000000" w:rsidRPr="00EA5E50" w:rsidP="00EA5E50">
            <w:pPr>
              <w:pStyle w:val="ListBullet2"/>
            </w:pPr>
            <w:r w:rsidRPr="00EA5E50">
              <w:t>concept modelling</w:t>
            </w:r>
          </w:p>
          <w:p w:rsidR="00000000" w:rsidRPr="00EA5E50" w:rsidP="00EA5E50">
            <w:pPr>
              <w:pStyle w:val="ListBullet2"/>
            </w:pPr>
            <w:r w:rsidRPr="00EA5E50">
              <w:t>multiple design iterations at low cost</w:t>
            </w:r>
          </w:p>
          <w:p w:rsidR="00000000" w:rsidRPr="00EA5E50" w:rsidP="00EA5E50">
            <w:pPr>
              <w:pStyle w:val="ListBullet2"/>
            </w:pPr>
            <w:r w:rsidRPr="00EA5E50">
              <w:t>form, fit and function testing prior to committing to tooling</w:t>
            </w:r>
          </w:p>
          <w:p w:rsidR="00000000" w:rsidRPr="00EA5E50" w:rsidP="00EA5E50">
            <w:pPr>
              <w:pStyle w:val="ListBullet2"/>
            </w:pPr>
            <w:r w:rsidRPr="00EA5E50">
              <w:t>market design verification prior to mass production</w:t>
            </w:r>
          </w:p>
          <w:p w:rsidR="00000000" w:rsidRPr="00EA5E50" w:rsidP="00EA5E50">
            <w:pPr>
              <w:pStyle w:val="ListBullet2"/>
            </w:pPr>
            <w:r w:rsidRPr="00EA5E50">
              <w:t>masters for vacuum forming and investment casting</w:t>
            </w:r>
          </w:p>
          <w:p w:rsidR="00000000" w:rsidRPr="00EA5E50" w:rsidP="00EA5E50">
            <w:pPr>
              <w:pStyle w:val="ListBullet2"/>
            </w:pPr>
            <w:r w:rsidRPr="00EA5E50">
              <w:t>one piece thermoplastic jigs and fixtures</w:t>
            </w:r>
          </w:p>
          <w:p w:rsidR="00000000" w:rsidRPr="00EA5E50" w:rsidP="00EA5E50">
            <w:pPr>
              <w:pStyle w:val="ListBullet2"/>
            </w:pPr>
            <w:r w:rsidRPr="00EA5E50">
              <w:t xml:space="preserve">one-off full strength plastic, cast, direct deposited metal or sprayed metal components </w:t>
            </w:r>
          </w:p>
          <w:p w:rsidR="00000000" w:rsidRPr="00EA5E50" w:rsidP="00EA5E50">
            <w:pPr>
              <w:pStyle w:val="ListBullet"/>
            </w:pPr>
            <w:r w:rsidRPr="00EA5E50">
              <w:t>sources of technical a</w:t>
            </w:r>
            <w:r w:rsidRPr="00EA5E50">
              <w:t>nd professional assistance</w:t>
            </w:r>
          </w:p>
          <w:p w:rsidR="00000000" w:rsidRPr="00EA5E50" w:rsidP="00EA5E50">
            <w:pPr>
              <w:pStyle w:val="ListBullet"/>
            </w:pPr>
            <w:r w:rsidRPr="00EA5E50">
              <w:t>sustainability implications of rapid prototyping applications and processes</w:t>
            </w:r>
          </w:p>
          <w:p w:rsidR="00000000" w:rsidRPr="00EA5E50" w:rsidP="00EA5E50">
            <w:pPr>
              <w:pStyle w:val="ListBullet"/>
            </w:pPr>
            <w:r w:rsidRPr="00EA5E50">
              <w:t>rapid prototyping principles, techniques and software</w:t>
            </w:r>
          </w:p>
          <w:p w:rsidR="00000000" w:rsidRPr="00EA5E50" w:rsidP="00EA5E50">
            <w:pPr>
              <w:pStyle w:val="ListBullet"/>
            </w:pPr>
            <w:r w:rsidRPr="00EA5E50">
              <w:t>WHS, regulatory and risk management requirements relevant to rapid prototyping applications</w:t>
            </w:r>
          </w:p>
          <w:p w:rsidR="00000000" w:rsidRPr="00EA5E50" w:rsidP="00EA5E50">
            <w:pPr>
              <w:pStyle w:val="ListBullet"/>
            </w:pPr>
            <w:r w:rsidRPr="00EA5E50">
              <w:t>facilit</w:t>
            </w:r>
            <w:r w:rsidRPr="00EA5E50">
              <w:t xml:space="preserve">ies, services, plant and tooling required for rapid prototyping applications </w:t>
            </w:r>
          </w:p>
          <w:p w:rsidR="00000000" w:rsidRPr="00EA5E50" w:rsidP="00EA5E50">
            <w:pPr>
              <w:pStyle w:val="ListBullet"/>
            </w:pPr>
            <w:r w:rsidRPr="00EA5E50">
              <w:t>materials used in additive ‘printing’ processes</w:t>
            </w:r>
          </w:p>
          <w:p w:rsidR="00000000" w:rsidRPr="00EA5E50" w:rsidP="00EA5E50">
            <w:pPr>
              <w:pStyle w:val="ListBullet"/>
            </w:pPr>
            <w:r w:rsidRPr="00EA5E50">
              <w:t>materials for sprayed metal deposition</w:t>
            </w:r>
          </w:p>
          <w:p w:rsidR="00000000" w:rsidRPr="00EA5E50" w:rsidP="00EA5E50">
            <w:pPr>
              <w:pStyle w:val="ListBullet"/>
            </w:pPr>
            <w:r w:rsidRPr="00EA5E50">
              <w:t>materials for rapid casting</w:t>
            </w:r>
          </w:p>
          <w:p w:rsidR="00000000" w:rsidRPr="00EA5E50" w:rsidP="00EA5E50">
            <w:pPr>
              <w:pStyle w:val="ListBullet"/>
            </w:pPr>
            <w:r w:rsidRPr="00EA5E50">
              <w:t>other materials, including:</w:t>
            </w:r>
          </w:p>
          <w:p w:rsidR="00000000" w:rsidRPr="00EA5E50" w:rsidP="00EA5E50">
            <w:pPr>
              <w:pStyle w:val="ListBullet2"/>
            </w:pPr>
            <w:r w:rsidRPr="00EA5E50">
              <w:t>thermoplastics for vacuum forming</w:t>
            </w:r>
          </w:p>
          <w:p w:rsidR="00000000" w:rsidRPr="00EA5E50" w:rsidP="00EA5E50">
            <w:pPr>
              <w:pStyle w:val="ListBullet2"/>
            </w:pPr>
            <w:r w:rsidRPr="00EA5E50">
              <w:t>materials for rapid machining and fabrication</w:t>
            </w:r>
          </w:p>
          <w:p w:rsidR="00000000" w:rsidRPr="00EA5E50" w:rsidP="00EA5E50">
            <w:pPr>
              <w:pStyle w:val="ListBullet"/>
            </w:pPr>
            <w:r w:rsidRPr="00EA5E50">
              <w:t>component design processes and CAD techniques relevant to rapid prototyping processes and applications, including:</w:t>
            </w:r>
          </w:p>
          <w:p w:rsidR="00000000" w:rsidRPr="00EA5E50" w:rsidP="00EA5E50">
            <w:pPr>
              <w:pStyle w:val="ListBullet2"/>
            </w:pPr>
            <w:r w:rsidRPr="00EA5E50">
              <w:t>size limitations</w:t>
            </w:r>
          </w:p>
          <w:p w:rsidR="00000000" w:rsidRPr="00EA5E50" w:rsidP="00EA5E50">
            <w:pPr>
              <w:pStyle w:val="ListBullet2"/>
            </w:pPr>
            <w:r w:rsidRPr="00EA5E50">
              <w:t>combining components</w:t>
            </w:r>
          </w:p>
          <w:p w:rsidR="00000000" w:rsidRPr="00EA5E50" w:rsidP="00EA5E50">
            <w:pPr>
              <w:pStyle w:val="ListBullet2"/>
            </w:pPr>
            <w:r w:rsidRPr="00EA5E50">
              <w:t>digitising</w:t>
            </w:r>
          </w:p>
          <w:p w:rsidR="00000000" w:rsidRPr="00EA5E50" w:rsidP="00EA5E50">
            <w:pPr>
              <w:pStyle w:val="ListBullet2"/>
            </w:pPr>
            <w:r w:rsidRPr="00EA5E50">
              <w:t>reverse engineering</w:t>
            </w:r>
          </w:p>
          <w:p w:rsidR="00000000" w:rsidRPr="00EA5E50" w:rsidP="00EA5E50">
            <w:pPr>
              <w:pStyle w:val="ListBullet"/>
            </w:pPr>
            <w:r w:rsidRPr="00EA5E50">
              <w:t>labour and skills requi</w:t>
            </w:r>
            <w:r w:rsidRPr="00EA5E50">
              <w:t>rements relevant to rapid prototyping</w:t>
            </w:r>
          </w:p>
          <w:p w:rsidR="00000000" w:rsidRPr="00EA5E50" w:rsidP="00EA5E50">
            <w:pPr>
              <w:pStyle w:val="ListBullet"/>
            </w:pPr>
            <w:r w:rsidRPr="00EA5E50">
              <w:t xml:space="preserve">systems thinking, continuous improvement, and constraint and contingency management techniques </w:t>
            </w:r>
          </w:p>
          <w:p w:rsidR="00000000" w:rsidRPr="00EA5E50" w:rsidP="00EA5E50">
            <w:pPr>
              <w:pStyle w:val="ListBullet"/>
            </w:pPr>
            <w:r w:rsidRPr="00EA5E50">
              <w:t>WHS and regulatory requirements, codes of practice, standards, risk management and registration requirements</w:t>
            </w:r>
          </w:p>
        </w:tc>
      </w:tr>
    </w:tbl>
    <w:p w:rsidR="00000000" w:rsidRPr="00EA5E50" w:rsidP="00EA5E50">
      <w:pPr>
        <w:pStyle w:val="BodyText"/>
      </w:pPr>
    </w:p>
    <w:p w:rsidR="00000000" w:rsidRPr="00EA5E50" w:rsidP="00EA5E50">
      <w:pPr>
        <w:pStyle w:val="AllowPageBreak"/>
      </w:pPr>
    </w:p>
    <w:p w:rsidR="00000000" w:rsidRPr="00EA5E50" w:rsidP="00EA5E50">
      <w:pPr>
        <w:pStyle w:val="Heading1"/>
      </w:pPr>
      <w:bookmarkStart w:id="10" w:name="O_520073"/>
      <w:bookmarkEnd w:id="10"/>
      <w:r w:rsidRPr="00EA5E50">
        <w:t>Evidence Guide</w:t>
      </w:r>
    </w:p>
    <w:tbl>
      <w:tblPr>
        <w:tblW w:w="9462" w:type="dxa"/>
        <w:tblLayout w:type="fixed"/>
        <w:tblCellMar>
          <w:left w:w="62" w:type="dxa"/>
          <w:right w:w="62" w:type="dxa"/>
        </w:tblCellMar>
        <w:tblLook w:val="0000"/>
      </w:tblPr>
      <w:tblGrid>
        <w:gridCol w:w="3800"/>
        <w:gridCol w:w="5662"/>
      </w:tblGrid>
      <w:tr w:rsidTr="00EA5E5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A5E50">
            <w:pPr>
              <w:pStyle w:val="BodyText"/>
              <w:rPr>
                <w:lang w:val="en-NZ"/>
              </w:rPr>
            </w:pPr>
            <w:r w:rsidRPr="00EA5E50">
              <w:t>The evidence guide provides advice on assessment and must be read in conjunction with the performance criteria, required skills and knowledge, range statement and the Assessment Guidelines for the Training Package.</w:t>
            </w:r>
          </w:p>
        </w:tc>
      </w:tr>
      <w:tr w:rsidTr="00EA5E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E50">
            <w:pPr>
              <w:pStyle w:val="BodyText"/>
              <w:rPr>
                <w:lang w:val="en-NZ"/>
              </w:rPr>
            </w:pPr>
            <w:r w:rsidRPr="00EA5E50">
              <w:rPr>
                <w:rStyle w:val="SpecialBold"/>
              </w:rPr>
              <w:t>Overview of asse</w:t>
            </w:r>
            <w:r w:rsidRPr="00EA5E50">
              <w:rPr>
                <w:rStyle w:val="SpecialBold"/>
              </w:rPr>
              <w:t>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E50">
            <w:pPr>
              <w:pStyle w:val="BodyText"/>
              <w:rPr>
                <w:lang w:val="en-NZ"/>
              </w:rPr>
            </w:pPr>
            <w:r w:rsidRPr="00EA5E50">
              <w:t>A person who demonstrates competency in this unit must be able to evaluate rapid prototyping applications for safety, economy and fitness for purpose.</w:t>
            </w:r>
          </w:p>
        </w:tc>
      </w:tr>
      <w:tr w:rsidTr="00EA5E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E50">
            <w:pPr>
              <w:pStyle w:val="BodyText"/>
              <w:rPr>
                <w:lang w:val="en-NZ"/>
              </w:rPr>
            </w:pPr>
            <w:r w:rsidRPr="00EA5E50">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E50" w:rsidP="00EA5E50">
            <w:pPr>
              <w:pStyle w:val="BodyText"/>
            </w:pPr>
            <w:r w:rsidRPr="00EA5E50">
              <w:t>Assessors must be satisfied that the candidate can competently and consistently:</w:t>
            </w:r>
          </w:p>
          <w:p w:rsidR="00000000" w:rsidRPr="00EA5E50" w:rsidP="00EA5E50">
            <w:pPr>
              <w:pStyle w:val="ListBullet"/>
            </w:pPr>
            <w:r w:rsidRPr="00EA5E50">
              <w:t>evaluate suitability of a rapid prototyping application against alternative processes</w:t>
            </w:r>
          </w:p>
          <w:p w:rsidR="00000000" w:rsidRPr="00EA5E50" w:rsidP="00EA5E50">
            <w:pPr>
              <w:pStyle w:val="ListBullet"/>
            </w:pPr>
            <w:r w:rsidRPr="00EA5E50">
              <w:t>review features and functions of rapid prototyping processes</w:t>
            </w:r>
          </w:p>
          <w:p w:rsidR="00000000" w:rsidRPr="00EA5E50" w:rsidP="00EA5E50">
            <w:pPr>
              <w:pStyle w:val="ListBullet"/>
            </w:pPr>
            <w:r w:rsidRPr="00EA5E50">
              <w:t>select appropriate rapid pr</w:t>
            </w:r>
            <w:r w:rsidRPr="00EA5E50">
              <w:t>ototyping principles and techniques, analysis techniques and software</w:t>
            </w:r>
          </w:p>
          <w:p w:rsidR="00000000" w:rsidRPr="00EA5E50" w:rsidP="00EA5E50">
            <w:pPr>
              <w:pStyle w:val="ListBullet"/>
            </w:pPr>
            <w:r w:rsidRPr="00EA5E50">
              <w:t>determine WHS and regulatory requirements, risk management and organisational procedures</w:t>
            </w:r>
          </w:p>
          <w:p w:rsidR="00000000" w:rsidP="00EA5E50">
            <w:pPr>
              <w:pStyle w:val="ListBullet"/>
              <w:rPr>
                <w:lang w:val="en-NZ"/>
              </w:rPr>
            </w:pPr>
            <w:r w:rsidRPr="00EA5E50">
              <w:t>report and document results.</w:t>
            </w:r>
          </w:p>
        </w:tc>
      </w:tr>
      <w:tr w:rsidTr="00EA5E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E50">
            <w:pPr>
              <w:pStyle w:val="BodyText"/>
              <w:rPr>
                <w:lang w:val="en-NZ"/>
              </w:rPr>
            </w:pPr>
            <w:r w:rsidRPr="00EA5E50">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E50" w:rsidP="00EA5E50">
            <w:pPr>
              <w:pStyle w:val="ListBullet"/>
            </w:pPr>
            <w:r w:rsidRPr="00EA5E50">
              <w:t xml:space="preserve">This unit may be </w:t>
            </w:r>
            <w:r w:rsidRPr="00EA5E50">
              <w:t xml:space="preserve">assessed on the job, off the job or a combination of both on and off the job. Where assessment occurs off the job, then a simulated working environment must be used where the range of conditions reflects realistic workplace situations. </w:t>
            </w:r>
          </w:p>
          <w:p w:rsidR="00000000" w:rsidRPr="00EA5E50" w:rsidP="00EA5E50">
            <w:pPr>
              <w:pStyle w:val="ListBullet"/>
            </w:pPr>
            <w:r w:rsidRPr="00EA5E50">
              <w:t>The competencies co</w:t>
            </w:r>
            <w:r w:rsidRPr="00EA5E50">
              <w:t xml:space="preserve">vered by this unit would be demonstrated by an individual working alone or as part of a team. </w:t>
            </w:r>
          </w:p>
          <w:p w:rsidR="00000000" w:rsidRPr="00EA5E50" w:rsidP="00EA5E50">
            <w:pPr>
              <w:pStyle w:val="ListBullet"/>
            </w:pPr>
            <w:r w:rsidRPr="00EA5E50">
              <w:t>Where applicable, reasonable adjustment must be made to work environments and training situations to accommodate ethnicity, age, gender, demographics and disabil</w:t>
            </w:r>
            <w:r w:rsidRPr="00EA5E50">
              <w:t>ity.</w:t>
            </w:r>
          </w:p>
          <w:p w:rsidR="00000000" w:rsidP="00EA5E50">
            <w:pPr>
              <w:pStyle w:val="ListBullet"/>
              <w:rPr>
                <w:lang w:val="en-NZ"/>
              </w:rPr>
            </w:pPr>
            <w:r w:rsidRPr="00EA5E50">
              <w:t>Access must be provided to appropriate learning and/or assessment support when required. Where applicable, physical resources should include equipment modified for people with disabilities.</w:t>
            </w:r>
          </w:p>
        </w:tc>
      </w:tr>
      <w:tr w:rsidTr="00EA5E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E50">
            <w:pPr>
              <w:pStyle w:val="BodyText"/>
              <w:rPr>
                <w:lang w:val="en-NZ"/>
              </w:rPr>
            </w:pPr>
            <w:r w:rsidRPr="00EA5E50">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E50" w:rsidP="00EA5E50">
            <w:pPr>
              <w:pStyle w:val="ListBullet"/>
            </w:pPr>
            <w:r w:rsidRPr="00EA5E50">
              <w:t>Assessment must satisfy the endorsed A</w:t>
            </w:r>
            <w:r w:rsidRPr="00EA5E50">
              <w:t>ssessment Guidelines of the MEM05 Metal and Engineering Training Package.</w:t>
            </w:r>
          </w:p>
          <w:p w:rsidR="00000000" w:rsidRPr="00EA5E50" w:rsidP="00EA5E50">
            <w:pPr>
              <w:pStyle w:val="ListBullet"/>
            </w:pPr>
            <w:r w:rsidRPr="00EA5E50">
              <w:t>Assessment methods must confirm consistency and accuracy of performance (over time and in a range of workplace relevant contexts) together with application of underpinning knowledge.</w:t>
            </w:r>
          </w:p>
          <w:p w:rsidR="00000000" w:rsidRPr="00EA5E50" w:rsidP="00EA5E50">
            <w:pPr>
              <w:pStyle w:val="ListBullet"/>
            </w:pPr>
            <w:r w:rsidRPr="00EA5E50">
              <w:t>Assessment methods must be by direct observation of tasks and include questioning on underpinning knowledge to ensure correct interpretation and application.</w:t>
            </w:r>
          </w:p>
          <w:p w:rsidR="00000000" w:rsidRPr="00EA5E50" w:rsidP="00EA5E50">
            <w:pPr>
              <w:pStyle w:val="ListBullet"/>
            </w:pPr>
            <w:r w:rsidRPr="00EA5E50">
              <w:t>Assessment may be applied under project-related conditions (real or simulated) and require eviden</w:t>
            </w:r>
            <w:r w:rsidRPr="00EA5E50">
              <w:t>ce of process.</w:t>
            </w:r>
          </w:p>
          <w:p w:rsidR="00000000" w:rsidRPr="00EA5E50" w:rsidP="00EA5E50">
            <w:pPr>
              <w:pStyle w:val="ListBullet"/>
            </w:pPr>
            <w:r w:rsidRPr="00EA5E50">
              <w:t>Assessment must confirm a reasonable inference that competency is not only able to be satisfied under the particular circumstance, but is able to be transferred to other circumstances.</w:t>
            </w:r>
          </w:p>
          <w:p w:rsidR="00000000" w:rsidP="00EA5E50">
            <w:pPr>
              <w:pStyle w:val="ListBullet"/>
              <w:rPr>
                <w:lang w:val="en-NZ"/>
              </w:rPr>
            </w:pPr>
            <w:r w:rsidRPr="00EA5E50">
              <w:t>Assessment may be in conjunction with assessment of othe</w:t>
            </w:r>
            <w:r w:rsidRPr="00EA5E50">
              <w:t>r units of competency where required.</w:t>
            </w:r>
          </w:p>
        </w:tc>
      </w:tr>
      <w:tr w:rsidTr="00EA5E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E50">
            <w:pPr>
              <w:pStyle w:val="BodyText"/>
              <w:rPr>
                <w:lang w:val="en-NZ"/>
              </w:rPr>
            </w:pPr>
            <w:r w:rsidRPr="00EA5E50">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E50" w:rsidP="00EA5E50">
            <w:pPr>
              <w:pStyle w:val="BodyText"/>
            </w:pPr>
            <w:r w:rsidRPr="00EA5E50">
              <w:t>Assessment processes and techniques must be culturally appropriate and appropriate to the language and literacy capacity of the candidate and the work being performed.</w:t>
            </w:r>
          </w:p>
        </w:tc>
      </w:tr>
    </w:tbl>
    <w:p w:rsidR="005252FD" w:rsidP="00EA5E50">
      <w:pPr>
        <w:pStyle w:val="BodyText"/>
      </w:pPr>
    </w:p>
    <w:p w:rsidR="005252FD" w:rsidP="00EA5E50">
      <w:pPr>
        <w:pStyle w:val="BodyText"/>
      </w:pPr>
    </w:p>
    <w:p w:rsidR="00000000" w:rsidRPr="00EA5E50" w:rsidP="00EA5E50">
      <w:pPr>
        <w:pStyle w:val="Heading1"/>
      </w:pPr>
      <w:bookmarkStart w:id="11" w:name="O_520072"/>
      <w:bookmarkEnd w:id="11"/>
      <w:r w:rsidRPr="00EA5E50">
        <w:t>Range Statement</w:t>
      </w:r>
    </w:p>
    <w:tbl>
      <w:tblPr>
        <w:tblW w:w="9462" w:type="dxa"/>
        <w:tblLayout w:type="fixed"/>
        <w:tblCellMar>
          <w:left w:w="62" w:type="dxa"/>
          <w:right w:w="62" w:type="dxa"/>
        </w:tblCellMar>
        <w:tblLook w:val="0000"/>
      </w:tblPr>
      <w:tblGrid>
        <w:gridCol w:w="3800"/>
        <w:gridCol w:w="5662"/>
      </w:tblGrid>
      <w:tr w:rsidTr="00EA5E5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A5E50">
            <w:pPr>
              <w:pStyle w:val="BodyText"/>
              <w:rPr>
                <w:lang w:val="en-NZ"/>
              </w:rPr>
            </w:pPr>
            <w:r w:rsidRPr="00EA5E50">
              <w:t xml:space="preserve">The range statement relates to the unit of competency as a whole. It allows for different work environments and situations that may affect performance. Bold italicised wording, if used in the performance criteria, is detailed below. </w:t>
            </w:r>
            <w:r w:rsidRPr="00EA5E50">
              <w:t>Essential operating conditions that may be present with training and assessment (depending on the work situation, needs of the candidate, accessibility of the item, and local industry and regional contexts) may also be included.</w:t>
            </w:r>
          </w:p>
        </w:tc>
      </w:tr>
      <w:tr w:rsidTr="00EA5E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E50" w:rsidP="00EA5E50">
            <w:pPr>
              <w:pStyle w:val="BodyText"/>
            </w:pPr>
            <w:r w:rsidRPr="00EA5E50">
              <w:rPr>
                <w:rStyle w:val="SpecialBold"/>
              </w:rPr>
              <w:t>Rapid prototyping applications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E50" w:rsidP="00EA5E50">
            <w:pPr>
              <w:pStyle w:val="BodyText"/>
            </w:pPr>
            <w:r w:rsidRPr="00EA5E50">
              <w:t xml:space="preserve">Rapid prototyping applications are typically applications with either one-off or small to medium quantities. Rapid prototypes are typically developed for: </w:t>
            </w:r>
          </w:p>
          <w:p w:rsidR="00000000" w:rsidRPr="00EA5E50" w:rsidP="00EA5E50">
            <w:pPr>
              <w:pStyle w:val="ListBullet"/>
            </w:pPr>
            <w:r w:rsidRPr="00EA5E50">
              <w:t>concept modelling</w:t>
            </w:r>
          </w:p>
          <w:p w:rsidR="00000000" w:rsidRPr="00EA5E50" w:rsidP="00EA5E50">
            <w:pPr>
              <w:pStyle w:val="ListBullet"/>
            </w:pPr>
            <w:r w:rsidRPr="00EA5E50">
              <w:t>multiple design iterations at low cost</w:t>
            </w:r>
          </w:p>
          <w:p w:rsidR="00000000" w:rsidRPr="00EA5E50" w:rsidP="00EA5E50">
            <w:pPr>
              <w:pStyle w:val="ListBullet"/>
            </w:pPr>
            <w:r w:rsidRPr="00EA5E50">
              <w:t xml:space="preserve">form, fit </w:t>
            </w:r>
            <w:r w:rsidRPr="00EA5E50">
              <w:t>and function testing prior to committing to tooling</w:t>
            </w:r>
          </w:p>
          <w:p w:rsidR="00000000" w:rsidRPr="00EA5E50" w:rsidP="00EA5E50">
            <w:pPr>
              <w:pStyle w:val="ListBullet"/>
            </w:pPr>
            <w:r w:rsidRPr="00EA5E50">
              <w:t>market design verification prior to mass production</w:t>
            </w:r>
          </w:p>
          <w:p w:rsidR="00000000" w:rsidRPr="00EA5E50" w:rsidP="00EA5E50">
            <w:pPr>
              <w:pStyle w:val="ListBullet"/>
            </w:pPr>
            <w:r w:rsidRPr="00EA5E50">
              <w:t>masters for vacuum forming and investment casting</w:t>
            </w:r>
          </w:p>
          <w:p w:rsidR="00000000" w:rsidRPr="00EA5E50" w:rsidP="00EA5E50">
            <w:pPr>
              <w:pStyle w:val="ListBullet"/>
            </w:pPr>
            <w:r w:rsidRPr="00EA5E50">
              <w:t>one piece thermoplastic jigs and fixtures</w:t>
            </w:r>
          </w:p>
          <w:p w:rsidR="00000000" w:rsidP="00EA5E50">
            <w:pPr>
              <w:pStyle w:val="ListBullet"/>
              <w:rPr>
                <w:lang w:val="en-NZ"/>
              </w:rPr>
            </w:pPr>
            <w:r w:rsidRPr="00EA5E50">
              <w:t xml:space="preserve">one-off full strength plastic, cast, direct deposited metal </w:t>
            </w:r>
            <w:r w:rsidRPr="00EA5E50">
              <w:t>or sprayed metal components</w:t>
            </w:r>
          </w:p>
        </w:tc>
      </w:tr>
      <w:tr w:rsidTr="00EA5E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E50">
            <w:pPr>
              <w:pStyle w:val="BodyText"/>
              <w:rPr>
                <w:lang w:val="en-NZ"/>
              </w:rPr>
            </w:pPr>
            <w:r w:rsidRPr="00EA5E50">
              <w:rPr>
                <w:rStyle w:val="SpecialBold"/>
              </w:rPr>
              <w:t>Appropriate technical and professional assistance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E50" w:rsidP="00EA5E50">
            <w:pPr>
              <w:pStyle w:val="BodyText"/>
            </w:pPr>
            <w:r w:rsidRPr="00EA5E50">
              <w:t>Appropriate technical and professional assistance may include:</w:t>
            </w:r>
          </w:p>
          <w:p w:rsidR="00000000" w:rsidRPr="00EA5E50" w:rsidP="00EA5E50">
            <w:pPr>
              <w:pStyle w:val="ListBullet"/>
            </w:pPr>
            <w:r w:rsidRPr="00EA5E50">
              <w:t xml:space="preserve">technical support and advice relating to elements which have intrinsic dangers, such as: </w:t>
            </w:r>
          </w:p>
          <w:p w:rsidR="00000000" w:rsidRPr="00EA5E50" w:rsidP="00EA5E50">
            <w:pPr>
              <w:pStyle w:val="ListBullet2"/>
            </w:pPr>
            <w:r w:rsidRPr="00EA5E50">
              <w:t>high pressure</w:t>
            </w:r>
          </w:p>
          <w:p w:rsidR="00000000" w:rsidRPr="00EA5E50" w:rsidP="00EA5E50">
            <w:pPr>
              <w:pStyle w:val="ListBullet2"/>
            </w:pPr>
            <w:r w:rsidRPr="00EA5E50">
              <w:t>energised fluid vessels</w:t>
            </w:r>
          </w:p>
          <w:p w:rsidR="00000000" w:rsidRPr="00EA5E50" w:rsidP="00EA5E50">
            <w:pPr>
              <w:pStyle w:val="ListBullet2"/>
            </w:pPr>
            <w:r w:rsidRPr="00EA5E50">
              <w:t>high temperatures and heat energy capacity</w:t>
            </w:r>
          </w:p>
          <w:p w:rsidR="00000000" w:rsidRPr="00EA5E50" w:rsidP="00EA5E50">
            <w:pPr>
              <w:pStyle w:val="ListBullet2"/>
            </w:pPr>
            <w:r w:rsidRPr="00EA5E50">
              <w:t>wiring with high current control voltages above extra low voltage</w:t>
            </w:r>
          </w:p>
          <w:p w:rsidR="00000000" w:rsidRPr="00EA5E50" w:rsidP="00EA5E50">
            <w:pPr>
              <w:pStyle w:val="ListBullet"/>
            </w:pPr>
            <w:r w:rsidRPr="00EA5E50">
              <w:t>professional support for technologies, such as:</w:t>
            </w:r>
          </w:p>
          <w:p w:rsidR="00000000" w:rsidRPr="00EA5E50" w:rsidP="00EA5E50">
            <w:pPr>
              <w:pStyle w:val="ListBullet2"/>
            </w:pPr>
            <w:r w:rsidRPr="00EA5E50">
              <w:t>specialist electric motor drives and controllers</w:t>
            </w:r>
          </w:p>
          <w:p w:rsidR="00000000" w:rsidRPr="00EA5E50" w:rsidP="00EA5E50">
            <w:pPr>
              <w:pStyle w:val="ListBullet2"/>
            </w:pPr>
            <w:r w:rsidRPr="00EA5E50">
              <w:t>specialist materials, plastics, metal alloys and nano materials</w:t>
            </w:r>
          </w:p>
          <w:p w:rsidR="00000000" w:rsidP="00EA5E50">
            <w:pPr>
              <w:pStyle w:val="ListBullet2"/>
              <w:rPr>
                <w:lang w:val="en-NZ"/>
              </w:rPr>
            </w:pPr>
            <w:r w:rsidRPr="00EA5E50">
              <w:t>special processes, foundry, alloy welding, heat treatment, sealing and fastening</w:t>
            </w:r>
          </w:p>
        </w:tc>
      </w:tr>
      <w:tr w:rsidTr="00EA5E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E50" w:rsidP="00EA5E50">
            <w:pPr>
              <w:pStyle w:val="BodyText"/>
            </w:pPr>
            <w:r w:rsidRPr="00EA5E50">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E50" w:rsidP="00EA5E50">
            <w:pPr>
              <w:pStyle w:val="BodyText"/>
            </w:pPr>
            <w:r w:rsidRPr="00EA5E50">
              <w:t>WHS, regulatory requirements and enterprise procedures</w:t>
            </w:r>
            <w:r w:rsidRPr="00EA5E50">
              <w:t xml:space="preserve"> may include:</w:t>
            </w:r>
          </w:p>
          <w:p w:rsidR="00000000" w:rsidRPr="00EA5E50" w:rsidP="00EA5E50">
            <w:pPr>
              <w:pStyle w:val="ListBullet"/>
            </w:pPr>
            <w:r w:rsidRPr="00EA5E50">
              <w:t>WHS Acts and regulations</w:t>
            </w:r>
          </w:p>
          <w:p w:rsidR="00000000" w:rsidRPr="00EA5E50" w:rsidP="00EA5E50">
            <w:pPr>
              <w:pStyle w:val="ListBullet"/>
            </w:pPr>
            <w:r w:rsidRPr="00EA5E50">
              <w:t>relevant standards</w:t>
            </w:r>
          </w:p>
          <w:p w:rsidR="00000000" w:rsidRPr="00EA5E50" w:rsidP="00EA5E50">
            <w:pPr>
              <w:pStyle w:val="ListBullet"/>
            </w:pPr>
            <w:r w:rsidRPr="00EA5E50">
              <w:t>codes of practice from Australian and overseas engineering and technical associations and societies</w:t>
            </w:r>
          </w:p>
          <w:p w:rsidR="00000000" w:rsidRPr="00EA5E50" w:rsidP="00EA5E50">
            <w:pPr>
              <w:pStyle w:val="ListBullet"/>
            </w:pPr>
            <w:r w:rsidRPr="00EA5E50">
              <w:t>risk assessments</w:t>
            </w:r>
          </w:p>
          <w:p w:rsidR="00000000" w:rsidRPr="00EA5E50" w:rsidP="00EA5E50">
            <w:pPr>
              <w:pStyle w:val="ListBullet"/>
            </w:pPr>
            <w:r w:rsidRPr="00EA5E50">
              <w:t xml:space="preserve">registration requirements </w:t>
            </w:r>
          </w:p>
          <w:p w:rsidR="00000000" w:rsidRPr="00EA5E50" w:rsidP="00EA5E50">
            <w:pPr>
              <w:pStyle w:val="ListBullet"/>
            </w:pPr>
            <w:r w:rsidRPr="00EA5E50">
              <w:t>safe work practices</w:t>
            </w:r>
          </w:p>
          <w:p w:rsidR="00000000" w:rsidP="00EA5E50">
            <w:pPr>
              <w:pStyle w:val="ListBullet"/>
              <w:rPr>
                <w:lang w:val="en-NZ"/>
              </w:rPr>
            </w:pPr>
            <w:r w:rsidRPr="00EA5E50">
              <w:t>state and territory regulatory re</w:t>
            </w:r>
            <w:r w:rsidRPr="00EA5E50">
              <w:t xml:space="preserve">quirements </w:t>
            </w:r>
          </w:p>
        </w:tc>
      </w:tr>
      <w:tr w:rsidTr="00EA5E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E50">
            <w:pPr>
              <w:pStyle w:val="BodyText"/>
              <w:rPr>
                <w:lang w:val="en-NZ"/>
              </w:rPr>
            </w:pPr>
            <w:r w:rsidRPr="00EA5E50">
              <w:rPr>
                <w:rStyle w:val="SpecialBold"/>
              </w:rPr>
              <w:t>Standards and codes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E50">
            <w:pPr>
              <w:pStyle w:val="BodyText"/>
              <w:rPr>
                <w:lang w:val="en-NZ"/>
              </w:rPr>
            </w:pPr>
            <w:r w:rsidRPr="00EA5E50">
              <w:t>Standards and codes refer to all relevant Australian and international standards and codes applicable to a particular rapid prototyping application</w:t>
            </w:r>
          </w:p>
        </w:tc>
      </w:tr>
      <w:tr w:rsidTr="00EA5E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E50">
            <w:pPr>
              <w:pStyle w:val="BodyText"/>
              <w:rPr>
                <w:lang w:val="en-NZ"/>
              </w:rPr>
            </w:pPr>
            <w:r w:rsidRPr="00EA5E50">
              <w:rPr>
                <w:rStyle w:val="SpecialBold"/>
              </w:rPr>
              <w:t xml:space="preserve">Sustainability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E50" w:rsidP="00EA5E50">
            <w:pPr>
              <w:pStyle w:val="BodyText"/>
            </w:pPr>
            <w:r w:rsidRPr="00EA5E50">
              <w:t>Sustainability is used to mean the entire sustainable performance of the organisation/plant, including:</w:t>
            </w:r>
          </w:p>
          <w:p w:rsidR="00000000" w:rsidRPr="00EA5E50" w:rsidP="00EA5E50">
            <w:pPr>
              <w:pStyle w:val="ListBullet"/>
            </w:pPr>
            <w:r w:rsidRPr="00EA5E50">
              <w:t>meeting all regulatory requirements</w:t>
            </w:r>
          </w:p>
          <w:p w:rsidR="00000000" w:rsidRPr="00EA5E50" w:rsidP="00EA5E50">
            <w:pPr>
              <w:pStyle w:val="ListBullet"/>
            </w:pPr>
            <w:r w:rsidRPr="00EA5E50">
              <w:t xml:space="preserve">conforming to all industry covenants, protocols and best </w:t>
            </w:r>
            <w:r w:rsidRPr="00EA5E50">
              <w:t>practice guides</w:t>
            </w:r>
          </w:p>
          <w:p w:rsidR="00000000" w:rsidRPr="00EA5E50" w:rsidP="00EA5E50">
            <w:pPr>
              <w:pStyle w:val="ListBullet"/>
            </w:pPr>
            <w:r w:rsidRPr="00EA5E50">
              <w:t>minimising ecological and environmental footprint of process, plant and product</w:t>
            </w:r>
          </w:p>
          <w:p w:rsidR="00000000" w:rsidRPr="00EA5E50" w:rsidP="00EA5E50">
            <w:pPr>
              <w:pStyle w:val="ListBullet"/>
            </w:pPr>
            <w:r w:rsidRPr="00EA5E50">
              <w:t xml:space="preserve">maximising economic benefit of process plant and product to the organisation and the community </w:t>
            </w:r>
          </w:p>
          <w:p w:rsidR="00000000" w:rsidP="00EA5E50">
            <w:pPr>
              <w:pStyle w:val="ListBullet"/>
              <w:rPr>
                <w:lang w:val="en-NZ"/>
              </w:rPr>
            </w:pPr>
            <w:r w:rsidRPr="00EA5E50">
              <w:t>minimising the negative WHS impact on employees, community and customer</w:t>
            </w:r>
          </w:p>
        </w:tc>
      </w:tr>
      <w:tr w:rsidTr="00EA5E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E50" w:rsidP="00EA5E50">
            <w:pPr>
              <w:pStyle w:val="BodyText"/>
            </w:pPr>
            <w:r w:rsidRPr="00EA5E50">
              <w:rPr>
                <w:rStyle w:val="SpecialBold"/>
              </w:rPr>
              <w:t>Systems</w:t>
            </w:r>
            <w:r w:rsidRPr="00EA5E50">
              <w:rPr>
                <w:rStyle w:val="SpecialBold"/>
              </w:rPr>
              <w:t xml:space="preserve"> thinking</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E50">
            <w:pPr>
              <w:pStyle w:val="BodyText"/>
              <w:rPr>
                <w:lang w:val="en-NZ"/>
              </w:rPr>
            </w:pPr>
            <w:r w:rsidRPr="00EA5E50">
              <w:t>Systems thinking refers to the conduct of engineering work in a manner that demonstrates knowledge of how the interaction of different technical systems on equipment, machinery or structures, as well as the skills and techniques of personnel, co</w:t>
            </w:r>
            <w:r w:rsidRPr="00EA5E50">
              <w:t>mbine to perform or support engineering-related operations, processes or projects. It embraces determining or establishing how the function of each technical system or component, as well as the skills and techniques of personnel, effects or potentially may</w:t>
            </w:r>
            <w:r w:rsidRPr="00EA5E50">
              <w:t xml:space="preserve"> effect, outcomes. Systems should be interpreted broadly within the context of the organisation and depending on the project or operation can include equipment, related facilities, material, software, internal services and personnel, and other organisation</w:t>
            </w:r>
            <w:r w:rsidRPr="00EA5E50">
              <w:t>s in the value chain</w:t>
            </w:r>
          </w:p>
        </w:tc>
      </w:tr>
      <w:tr w:rsidTr="00EA5E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E50">
            <w:pPr>
              <w:pStyle w:val="BodyText"/>
              <w:rPr>
                <w:lang w:val="en-NZ"/>
              </w:rPr>
            </w:pPr>
            <w:r w:rsidRPr="00EA5E50">
              <w:rPr>
                <w:rStyle w:val="SpecialBold"/>
              </w:rPr>
              <w:t xml:space="preserve">Continuous improvement implementation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E50" w:rsidP="00EA5E50">
            <w:pPr>
              <w:pStyle w:val="BodyText"/>
            </w:pPr>
            <w:r w:rsidRPr="00EA5E50">
              <w:t>Continuous improvement implementation may relate to plant, products, processes, systems or services, including design, development, implementation or manufacture, commissioning, operation or deli</w:t>
            </w:r>
            <w:r w:rsidRPr="00EA5E50">
              <w:t>very and maintenance.</w:t>
            </w:r>
          </w:p>
          <w:p w:rsidR="00000000" w:rsidRPr="00EA5E50" w:rsidP="00EA5E50">
            <w:pPr>
              <w:pStyle w:val="BodyText"/>
            </w:pPr>
            <w:r w:rsidRPr="00EA5E50">
              <w:t>Improvement processes may include techniques, such as:</w:t>
            </w:r>
          </w:p>
          <w:p w:rsidR="00000000" w:rsidRPr="00EA5E50" w:rsidP="00EA5E50">
            <w:pPr>
              <w:pStyle w:val="ListBullet"/>
            </w:pPr>
            <w:r w:rsidRPr="00EA5E50">
              <w:t xml:space="preserve">balanced scorecard </w:t>
            </w:r>
          </w:p>
          <w:p w:rsidR="00000000" w:rsidRPr="00EA5E50" w:rsidP="00EA5E50">
            <w:pPr>
              <w:pStyle w:val="ListBullet"/>
            </w:pPr>
            <w:r w:rsidRPr="00EA5E50">
              <w:t>current and future state mapping</w:t>
            </w:r>
          </w:p>
          <w:p w:rsidR="00000000" w:rsidRPr="00EA5E50" w:rsidP="00EA5E50">
            <w:pPr>
              <w:pStyle w:val="ListBullet"/>
            </w:pPr>
            <w:r w:rsidRPr="00EA5E50">
              <w:t xml:space="preserve">measuring performance against benchmarks </w:t>
            </w:r>
          </w:p>
          <w:p w:rsidR="00000000" w:rsidRPr="00EA5E50" w:rsidP="00EA5E50">
            <w:pPr>
              <w:pStyle w:val="ListBullet"/>
            </w:pPr>
            <w:r w:rsidRPr="00EA5E50">
              <w:t>process improvement, problem solving and decision making</w:t>
            </w:r>
          </w:p>
          <w:p w:rsidR="00000000" w:rsidRPr="00EA5E50" w:rsidP="00EA5E50">
            <w:pPr>
              <w:pStyle w:val="ListBullet"/>
            </w:pPr>
            <w:r w:rsidRPr="00EA5E50">
              <w:t>data management, generation, recording, analysing, storing and use of software</w:t>
            </w:r>
          </w:p>
          <w:p w:rsidR="00000000" w:rsidRPr="00EA5E50" w:rsidP="00EA5E50">
            <w:pPr>
              <w:pStyle w:val="ListBullet"/>
            </w:pPr>
            <w:r w:rsidRPr="00EA5E50">
              <w:t>training for improvement systems participation</w:t>
            </w:r>
          </w:p>
          <w:p w:rsidR="00000000" w:rsidP="00EA5E50">
            <w:pPr>
              <w:pStyle w:val="ListBullet"/>
              <w:rPr>
                <w:lang w:val="en-NZ"/>
              </w:rPr>
            </w:pPr>
            <w:r w:rsidRPr="00EA5E50">
              <w:t>technical training</w:t>
            </w:r>
          </w:p>
        </w:tc>
      </w:tr>
      <w:tr w:rsidTr="00EA5E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E50">
            <w:pPr>
              <w:pStyle w:val="BodyText"/>
              <w:rPr>
                <w:lang w:val="en-NZ"/>
              </w:rPr>
            </w:pPr>
            <w:r w:rsidRPr="00EA5E50">
              <w:rPr>
                <w:rStyle w:val="SpecialBold"/>
              </w:rPr>
              <w:t>Constraints and contingencies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E50" w:rsidP="00EA5E50">
            <w:pPr>
              <w:pStyle w:val="BodyText"/>
            </w:pPr>
            <w:r w:rsidRPr="00EA5E50">
              <w:t>Constraints and contingencies may be:</w:t>
            </w:r>
          </w:p>
          <w:p w:rsidR="00000000" w:rsidRPr="00EA5E50" w:rsidP="00EA5E50">
            <w:pPr>
              <w:pStyle w:val="ListBullet"/>
            </w:pPr>
            <w:r w:rsidRPr="00EA5E50">
              <w:t>financial</w:t>
            </w:r>
          </w:p>
          <w:p w:rsidR="00000000" w:rsidRPr="00EA5E50" w:rsidP="00EA5E50">
            <w:pPr>
              <w:pStyle w:val="ListBullet"/>
            </w:pPr>
            <w:r w:rsidRPr="00EA5E50">
              <w:t>organisational, procedural or c</w:t>
            </w:r>
            <w:r w:rsidRPr="00EA5E50">
              <w:t xml:space="preserve">ultural </w:t>
            </w:r>
          </w:p>
          <w:p w:rsidR="00000000" w:rsidRPr="00EA5E50" w:rsidP="00EA5E50">
            <w:pPr>
              <w:pStyle w:val="ListBullet"/>
            </w:pPr>
            <w:r w:rsidRPr="00EA5E50">
              <w:t>physical constraints, such as limits to resources, limits to site access or logistical limitations</w:t>
            </w:r>
          </w:p>
        </w:tc>
      </w:tr>
    </w:tbl>
    <w:p w:rsidR="00000000" w:rsidRPr="00EA5E50" w:rsidP="00EA5E50">
      <w:pPr>
        <w:pStyle w:val="BodyText"/>
      </w:pPr>
    </w:p>
    <w:p w:rsidR="00000000" w:rsidRPr="00EA5E50" w:rsidP="00EA5E50">
      <w:pPr>
        <w:pStyle w:val="AllowPageBreak"/>
      </w:pPr>
    </w:p>
    <w:p w:rsidR="00000000" w:rsidRPr="00EA5E50" w:rsidP="00EA5E50">
      <w:pPr>
        <w:pStyle w:val="Heading1"/>
      </w:pPr>
      <w:bookmarkStart w:id="12" w:name="O_520071"/>
      <w:bookmarkEnd w:id="12"/>
      <w:r w:rsidRPr="00EA5E50">
        <w:t>Unit Sector(s)</w:t>
      </w:r>
    </w:p>
    <w:tbl>
      <w:tblPr>
        <w:tblW w:w="0" w:type="auto"/>
        <w:tblCellMar>
          <w:left w:w="62" w:type="dxa"/>
          <w:right w:w="62" w:type="dxa"/>
        </w:tblCellMar>
        <w:tblLook w:val="0000"/>
      </w:tblPr>
      <w:tblGrid>
        <w:gridCol w:w="2576"/>
        <w:gridCol w:w="6620"/>
      </w:tblGrid>
      <w:tr w:rsidTr="005252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EA5E50">
            <w:pPr>
              <w:pStyle w:val="BodyText"/>
              <w:rPr>
                <w:lang w:val="en-NZ"/>
              </w:rPr>
            </w:pPr>
          </w:p>
        </w:tc>
      </w:tr>
      <w:tr w:rsidTr="005252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5E50">
            <w:pPr>
              <w:pStyle w:val="BodyText"/>
              <w:rPr>
                <w:lang w:val="en-NZ"/>
              </w:rPr>
            </w:pPr>
            <w:r w:rsidRPr="00EA5E50">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EA5E50" w:rsidP="00EA5E50">
            <w:pPr>
              <w:pStyle w:val="BodyText"/>
            </w:pPr>
            <w:r w:rsidRPr="00EA5E50">
              <w:t>Engineering science</w:t>
            </w:r>
          </w:p>
        </w:tc>
      </w:tr>
    </w:tbl>
    <w:p w:rsidR="00000000" w:rsidRPr="00EA5E50" w:rsidP="00EA5E50">
      <w:pPr>
        <w:pStyle w:val="BodyText"/>
      </w:pPr>
    </w:p>
    <w:p w:rsidR="00000000" w:rsidRPr="00EA5E50" w:rsidP="00EA5E50">
      <w:pPr>
        <w:pStyle w:val="AllowPageBreak"/>
      </w:pPr>
    </w:p>
    <w:p w:rsidR="00000000" w:rsidRPr="00EA5E50" w:rsidP="00EA5E50">
      <w:pPr>
        <w:pStyle w:val="Heading1"/>
      </w:pPr>
      <w:bookmarkStart w:id="13" w:name="O_520070"/>
      <w:bookmarkEnd w:id="13"/>
      <w:r w:rsidRPr="00EA5E50">
        <w:t>Custom Content Section</w:t>
      </w:r>
    </w:p>
    <w:p w:rsidR="00000000" w:rsidRPr="00EA5E50" w:rsidP="00EA5E50">
      <w:pPr>
        <w:pStyle w:val="BodyText"/>
      </w:pPr>
      <w:r w:rsidRPr="00EA5E50">
        <w:t>Not applicable.</w:t>
      </w:r>
    </w:p>
    <w:p w:rsidR="00000000" w:rsidRPr="00EA5E50" w:rsidP="00EA5E50"/>
    <w:sectPr w:rsidSect="00EA5E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50" w:rsidRPr="005252FD" w:rsidP="005252F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2FD" w:rsidP="00EA5E5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252FD" w:rsidP="00EA5E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252FD" w:rsidP="00EA5E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50" w:rsidRPr="005252FD" w:rsidP="005252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2FD" w:rsidRPr="002D2AF8" w:rsidP="00EA5E50">
    <w:pPr>
      <w:pStyle w:val="Header"/>
      <w:framePr w:wrap="around"/>
    </w:pPr>
    <w:r>
      <w:fldChar w:fldCharType="begin"/>
    </w:r>
    <w:r>
      <w:instrText xml:space="preserve"> TITLE   \* MERGEFORMAT </w:instrText>
    </w:r>
    <w:r>
      <w:fldChar w:fldCharType="separate"/>
    </w:r>
    <w:r>
      <w:t>MEM23131A Evaluate rapid prototyping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5252FD" w:rsidP="00EA5E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421E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0C54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7839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E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5E50"/>
    <w:pPr>
      <w:spacing w:before="360" w:after="60"/>
      <w:outlineLvl w:val="0"/>
    </w:pPr>
    <w:rPr>
      <w:sz w:val="32"/>
    </w:rPr>
  </w:style>
  <w:style w:type="paragraph" w:styleId="Heading2">
    <w:name w:val="heading 2"/>
    <w:basedOn w:val="HeadingBase"/>
    <w:next w:val="BodyText"/>
    <w:link w:val="Heading2Char"/>
    <w:qFormat/>
    <w:rsid w:val="00EA5E50"/>
    <w:pPr>
      <w:keepLines/>
      <w:spacing w:before="240" w:after="120"/>
      <w:outlineLvl w:val="1"/>
    </w:pPr>
    <w:rPr>
      <w:sz w:val="28"/>
      <w:szCs w:val="40"/>
    </w:rPr>
  </w:style>
  <w:style w:type="paragraph" w:styleId="Heading3">
    <w:name w:val="heading 3"/>
    <w:basedOn w:val="HeadingBase"/>
    <w:next w:val="BodyText"/>
    <w:link w:val="Heading3Char"/>
    <w:qFormat/>
    <w:rsid w:val="00EA5E50"/>
    <w:pPr>
      <w:spacing w:before="180" w:after="120"/>
      <w:outlineLvl w:val="2"/>
    </w:pPr>
    <w:rPr>
      <w:spacing w:val="-10"/>
      <w:kern w:val="32"/>
    </w:rPr>
  </w:style>
  <w:style w:type="paragraph" w:styleId="Heading4">
    <w:name w:val="heading 4"/>
    <w:basedOn w:val="HeadingBase"/>
    <w:next w:val="BodyText"/>
    <w:link w:val="Heading4Char"/>
    <w:qFormat/>
    <w:rsid w:val="00EA5E50"/>
    <w:pPr>
      <w:spacing w:before="160" w:after="120"/>
      <w:outlineLvl w:val="3"/>
    </w:pPr>
    <w:rPr>
      <w:sz w:val="22"/>
    </w:rPr>
  </w:style>
  <w:style w:type="paragraph" w:styleId="Heading5">
    <w:name w:val="heading 5"/>
    <w:basedOn w:val="HeadingBase"/>
    <w:next w:val="Normal"/>
    <w:link w:val="Heading5Char"/>
    <w:qFormat/>
    <w:rsid w:val="00EA5E50"/>
    <w:pPr>
      <w:spacing w:before="80"/>
      <w:outlineLvl w:val="4"/>
    </w:pPr>
    <w:rPr>
      <w:color w:val="918585"/>
      <w:sz w:val="20"/>
    </w:rPr>
  </w:style>
  <w:style w:type="paragraph" w:styleId="Heading6">
    <w:name w:val="heading 6"/>
    <w:basedOn w:val="HeadingBase"/>
    <w:next w:val="Normal"/>
    <w:link w:val="Heading6Char"/>
    <w:qFormat/>
    <w:rsid w:val="00EA5E50"/>
    <w:pPr>
      <w:spacing w:before="60"/>
      <w:outlineLvl w:val="5"/>
    </w:pPr>
    <w:rPr>
      <w:color w:val="918585"/>
      <w:sz w:val="20"/>
    </w:rPr>
  </w:style>
  <w:style w:type="paragraph" w:styleId="Heading7">
    <w:name w:val="heading 7"/>
    <w:basedOn w:val="Normal"/>
    <w:next w:val="Normal"/>
    <w:link w:val="Heading7Char"/>
    <w:qFormat/>
    <w:rsid w:val="00EA5E50"/>
    <w:pPr>
      <w:ind w:left="720"/>
      <w:outlineLvl w:val="6"/>
    </w:pPr>
    <w:rPr>
      <w:i/>
    </w:rPr>
  </w:style>
  <w:style w:type="paragraph" w:styleId="Heading8">
    <w:name w:val="heading 8"/>
    <w:basedOn w:val="Normal"/>
    <w:next w:val="Normal"/>
    <w:link w:val="Heading8Char"/>
    <w:qFormat/>
    <w:rsid w:val="00EA5E50"/>
    <w:pPr>
      <w:ind w:left="720"/>
      <w:outlineLvl w:val="7"/>
    </w:pPr>
    <w:rPr>
      <w:i/>
    </w:rPr>
  </w:style>
  <w:style w:type="paragraph" w:styleId="Heading9">
    <w:name w:val="heading 9"/>
    <w:basedOn w:val="Normal"/>
    <w:next w:val="Normal"/>
    <w:link w:val="Heading9Char"/>
    <w:qFormat/>
    <w:rsid w:val="00EA5E50"/>
    <w:pPr>
      <w:ind w:left="720"/>
      <w:outlineLvl w:val="8"/>
    </w:pPr>
    <w:rPr>
      <w:i/>
    </w:rPr>
  </w:style>
  <w:style w:type="character" w:default="1" w:styleId="DefaultParagraphFont">
    <w:name w:val="Default Paragraph Font"/>
    <w:uiPriority w:val="1"/>
    <w:unhideWhenUsed/>
    <w:rsid w:val="00EA5E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5E50"/>
  </w:style>
  <w:style w:type="character" w:customStyle="1" w:styleId="Heading1Char">
    <w:name w:val="Heading 1 Char"/>
    <w:basedOn w:val="DefaultParagraphFont"/>
    <w:link w:val="Heading1"/>
    <w:rsid w:val="00EA5E50"/>
    <w:rPr>
      <w:rFonts w:ascii="Times New Roman" w:eastAsia="Times New Roman" w:hAnsi="Times New Roman" w:cs="Times New Roman"/>
      <w:b/>
      <w:sz w:val="32"/>
      <w:szCs w:val="20"/>
      <w:lang w:eastAsia="en-US"/>
    </w:rPr>
  </w:style>
  <w:style w:type="paragraph" w:styleId="BodyText">
    <w:name w:val="Body Text"/>
    <w:basedOn w:val="Normal"/>
    <w:link w:val="BodyTextChar"/>
    <w:rsid w:val="00EA5E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5E50"/>
    <w:rPr>
      <w:rFonts w:ascii="Times New Roman" w:eastAsia="Times New Roman" w:hAnsi="Times New Roman" w:cs="Times New Roman"/>
      <w:sz w:val="24"/>
      <w:lang w:eastAsia="en-US"/>
    </w:rPr>
  </w:style>
  <w:style w:type="paragraph" w:styleId="ListBullet">
    <w:name w:val="List Bullet"/>
    <w:basedOn w:val="List"/>
    <w:rsid w:val="00EA5E50"/>
    <w:pPr>
      <w:numPr>
        <w:numId w:val="13"/>
      </w:numPr>
      <w:tabs>
        <w:tab w:val="clear" w:pos="340"/>
      </w:tabs>
      <w:spacing w:before="40" w:after="40"/>
    </w:pPr>
  </w:style>
  <w:style w:type="character" w:customStyle="1" w:styleId="SpecialBold">
    <w:name w:val="Special Bold"/>
    <w:basedOn w:val="DefaultParagraphFont"/>
    <w:rsid w:val="00EA5E50"/>
    <w:rPr>
      <w:b/>
      <w:spacing w:val="0"/>
    </w:rPr>
  </w:style>
  <w:style w:type="paragraph" w:styleId="ListBullet2">
    <w:name w:val="List Bullet 2"/>
    <w:basedOn w:val="List2"/>
    <w:rsid w:val="00EA5E50"/>
    <w:pPr>
      <w:numPr>
        <w:numId w:val="14"/>
      </w:numPr>
      <w:tabs>
        <w:tab w:val="clear" w:pos="680"/>
      </w:tabs>
    </w:pPr>
  </w:style>
  <w:style w:type="paragraph" w:customStyle="1" w:styleId="SuperHeading">
    <w:name w:val="SuperHeading"/>
    <w:basedOn w:val="Normal"/>
    <w:rsid w:val="00EA5E50"/>
    <w:pPr>
      <w:spacing w:before="240" w:after="120"/>
      <w:outlineLvl w:val="0"/>
    </w:pPr>
    <w:rPr>
      <w:rFonts w:ascii="Times New Roman" w:hAnsi="Times New Roman"/>
      <w:b/>
      <w:sz w:val="32"/>
    </w:rPr>
  </w:style>
  <w:style w:type="paragraph" w:customStyle="1" w:styleId="AllowPageBreak">
    <w:name w:val="AllowPageBreak"/>
    <w:rsid w:val="00EA5E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5E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5E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5E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5E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5E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5E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5E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5E50"/>
    <w:rPr>
      <w:rFonts w:ascii="Courier New" w:eastAsia="Times New Roman" w:hAnsi="Courier New" w:cs="Times New Roman"/>
      <w:i/>
      <w:szCs w:val="20"/>
      <w:lang w:eastAsia="en-US"/>
    </w:rPr>
  </w:style>
  <w:style w:type="paragraph" w:customStyle="1" w:styleId="HeadingBase">
    <w:name w:val="Heading Base"/>
    <w:rsid w:val="00EA5E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5E50"/>
    <w:pPr>
      <w:tabs>
        <w:tab w:val="right" w:leader="dot" w:pos="9072"/>
      </w:tabs>
      <w:ind w:left="567"/>
    </w:pPr>
    <w:rPr>
      <w:szCs w:val="22"/>
    </w:rPr>
  </w:style>
  <w:style w:type="paragraph" w:customStyle="1" w:styleId="TOCBase">
    <w:name w:val="TOC Base"/>
    <w:rsid w:val="00EA5E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5E50"/>
    <w:pPr>
      <w:tabs>
        <w:tab w:val="right" w:leader="dot" w:pos="9072"/>
      </w:tabs>
      <w:spacing w:before="40" w:after="40"/>
      <w:ind w:left="284"/>
    </w:pPr>
    <w:rPr>
      <w:rFonts w:ascii="Times New Roman" w:hAnsi="Times New Roman"/>
    </w:rPr>
  </w:style>
  <w:style w:type="paragraph" w:styleId="TOC1">
    <w:name w:val="toc 1"/>
    <w:basedOn w:val="TOCBase"/>
    <w:next w:val="Normal"/>
    <w:rsid w:val="00EA5E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5E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5E50"/>
    <w:rPr>
      <w:rFonts w:ascii="Times New Roman" w:eastAsia="Times New Roman" w:hAnsi="Times New Roman" w:cs="Times New Roman"/>
      <w:sz w:val="16"/>
      <w:lang w:eastAsia="en-US"/>
    </w:rPr>
  </w:style>
  <w:style w:type="paragraph" w:styleId="Title">
    <w:name w:val="Title"/>
    <w:basedOn w:val="HeadingBase"/>
    <w:link w:val="TitleChar"/>
    <w:qFormat/>
    <w:rsid w:val="00EA5E50"/>
    <w:pPr>
      <w:spacing w:before="5040"/>
      <w:jc w:val="center"/>
    </w:pPr>
    <w:rPr>
      <w:sz w:val="48"/>
      <w:szCs w:val="72"/>
      <w:lang w:val="en-US"/>
    </w:rPr>
  </w:style>
  <w:style w:type="character" w:customStyle="1" w:styleId="TitleChar">
    <w:name w:val="Title Char"/>
    <w:basedOn w:val="DefaultParagraphFont"/>
    <w:link w:val="Title"/>
    <w:rsid w:val="00EA5E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5E50"/>
    <w:pPr>
      <w:tabs>
        <w:tab w:val="left" w:pos="3600"/>
        <w:tab w:val="left" w:pos="3958"/>
      </w:tabs>
    </w:pPr>
  </w:style>
  <w:style w:type="paragraph" w:styleId="List">
    <w:name w:val="List"/>
    <w:basedOn w:val="BodyText"/>
    <w:next w:val="BodyText"/>
    <w:rsid w:val="00EA5E50"/>
    <w:pPr>
      <w:tabs>
        <w:tab w:val="left" w:pos="340"/>
      </w:tabs>
      <w:spacing w:before="60" w:after="60"/>
      <w:ind w:left="340" w:hanging="340"/>
    </w:pPr>
  </w:style>
  <w:style w:type="paragraph" w:customStyle="1" w:styleId="Note">
    <w:name w:val="Note"/>
    <w:basedOn w:val="BodyText"/>
    <w:rsid w:val="00EA5E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5E50"/>
    <w:pPr>
      <w:framePr w:wrap="auto" w:hAnchor="text" w:y="6049"/>
    </w:pPr>
    <w:rPr>
      <w:color w:val="000000"/>
      <w:sz w:val="40"/>
    </w:rPr>
  </w:style>
  <w:style w:type="paragraph" w:customStyle="1" w:styleId="TOCTitle">
    <w:name w:val="TOCTitle"/>
    <w:basedOn w:val="Heading1"/>
    <w:rsid w:val="00EA5E50"/>
    <w:pPr>
      <w:spacing w:after="240"/>
      <w:jc w:val="center"/>
      <w:outlineLvl w:val="9"/>
    </w:pPr>
    <w:rPr>
      <w:caps/>
    </w:rPr>
  </w:style>
  <w:style w:type="paragraph" w:customStyle="1" w:styleId="Version">
    <w:name w:val="Version"/>
    <w:rsid w:val="00EA5E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5E50"/>
    <w:pPr>
      <w:keepNext w:val="0"/>
      <w:tabs>
        <w:tab w:val="right" w:pos="4176"/>
      </w:tabs>
      <w:ind w:left="198" w:hanging="198"/>
    </w:pPr>
    <w:rPr>
      <w:rFonts w:ascii="Garamond" w:hAnsi="Garamond"/>
    </w:rPr>
  </w:style>
  <w:style w:type="paragraph" w:styleId="IndexHeading">
    <w:name w:val="index heading"/>
    <w:basedOn w:val="Normal"/>
    <w:next w:val="Index1"/>
    <w:semiHidden/>
    <w:rsid w:val="00EA5E50"/>
    <w:pPr>
      <w:spacing w:before="120" w:after="120"/>
    </w:pPr>
    <w:rPr>
      <w:rFonts w:ascii="Arial" w:hAnsi="Arial"/>
      <w:b/>
      <w:color w:val="918585"/>
      <w:sz w:val="24"/>
    </w:rPr>
  </w:style>
  <w:style w:type="paragraph" w:styleId="Header">
    <w:name w:val="header"/>
    <w:basedOn w:val="Normal"/>
    <w:link w:val="HeaderChar"/>
    <w:rsid w:val="00EA5E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5E50"/>
    <w:rPr>
      <w:rFonts w:ascii="Times New Roman" w:eastAsia="Times New Roman" w:hAnsi="Times New Roman" w:cs="Times New Roman"/>
      <w:sz w:val="16"/>
      <w:szCs w:val="20"/>
      <w:lang w:val="en-GB" w:eastAsia="en-US"/>
    </w:rPr>
  </w:style>
  <w:style w:type="paragraph" w:customStyle="1" w:styleId="Chapter">
    <w:name w:val="Chapter"/>
    <w:basedOn w:val="Normal"/>
    <w:rsid w:val="00EA5E50"/>
    <w:pPr>
      <w:spacing w:before="240"/>
    </w:pPr>
    <w:rPr>
      <w:rFonts w:ascii="Times New Roman" w:hAnsi="Times New Roman"/>
      <w:smallCaps/>
      <w:spacing w:val="80"/>
      <w:sz w:val="28"/>
    </w:rPr>
  </w:style>
  <w:style w:type="paragraph" w:customStyle="1" w:styleId="InChapter">
    <w:name w:val="InChapter"/>
    <w:basedOn w:val="Heading3"/>
    <w:rsid w:val="00EA5E50"/>
    <w:pPr>
      <w:spacing w:after="240"/>
      <w:outlineLvl w:val="9"/>
    </w:pPr>
    <w:rPr>
      <w:noProof/>
    </w:rPr>
  </w:style>
  <w:style w:type="paragraph" w:styleId="Index2">
    <w:name w:val="index 2"/>
    <w:basedOn w:val="Normal"/>
    <w:next w:val="Normal"/>
    <w:semiHidden/>
    <w:rsid w:val="00EA5E50"/>
    <w:pPr>
      <w:tabs>
        <w:tab w:val="right" w:pos="4176"/>
      </w:tabs>
      <w:ind w:left="568" w:hanging="284"/>
    </w:pPr>
    <w:rPr>
      <w:rFonts w:ascii="Garamond" w:hAnsi="Garamond"/>
    </w:rPr>
  </w:style>
  <w:style w:type="paragraph" w:customStyle="1" w:styleId="Byline">
    <w:name w:val="Byline"/>
    <w:rsid w:val="00EA5E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5E50"/>
    <w:pPr>
      <w:tabs>
        <w:tab w:val="clear" w:pos="3600"/>
        <w:tab w:val="clear" w:pos="3958"/>
      </w:tabs>
      <w:jc w:val="right"/>
    </w:pPr>
  </w:style>
  <w:style w:type="character" w:styleId="Emphasis">
    <w:name w:val="Emphasis"/>
    <w:basedOn w:val="DefaultParagraphFont"/>
    <w:qFormat/>
    <w:rsid w:val="00EA5E50"/>
    <w:rPr>
      <w:i/>
    </w:rPr>
  </w:style>
  <w:style w:type="paragraph" w:styleId="Caption">
    <w:name w:val="caption"/>
    <w:basedOn w:val="BodyText"/>
    <w:next w:val="Normal"/>
    <w:qFormat/>
    <w:rsid w:val="00EA5E50"/>
    <w:pPr>
      <w:framePr w:w="2268" w:hSpace="181" w:vSpace="181" w:wrap="around" w:vAnchor="text" w:hAnchor="page" w:x="1135" w:y="285" w:anchorLock="1"/>
    </w:pPr>
    <w:rPr>
      <w:i/>
    </w:rPr>
  </w:style>
  <w:style w:type="paragraph" w:customStyle="1" w:styleId="MiniTOCTitle">
    <w:name w:val="MiniTOCTitle"/>
    <w:basedOn w:val="Heading4"/>
    <w:rsid w:val="00EA5E50"/>
    <w:pPr>
      <w:spacing w:before="240"/>
      <w:outlineLvl w:val="9"/>
    </w:pPr>
    <w:rPr>
      <w:noProof/>
      <w:sz w:val="24"/>
    </w:rPr>
  </w:style>
  <w:style w:type="paragraph" w:customStyle="1" w:styleId="MiniTOCItem">
    <w:name w:val="MiniTOCItem"/>
    <w:basedOn w:val="ListBullet"/>
    <w:rsid w:val="00EA5E50"/>
    <w:pPr>
      <w:numPr>
        <w:numId w:val="0"/>
      </w:numPr>
      <w:tabs>
        <w:tab w:val="right" w:leader="dot" w:pos="6521"/>
      </w:tabs>
      <w:spacing w:before="0" w:after="0"/>
    </w:pPr>
  </w:style>
  <w:style w:type="paragraph" w:customStyle="1" w:styleId="TOFTitle">
    <w:name w:val="TOFTitle"/>
    <w:basedOn w:val="TOCTitle"/>
    <w:rsid w:val="00EA5E50"/>
  </w:style>
  <w:style w:type="paragraph" w:styleId="TableofFigures">
    <w:name w:val="table of figures"/>
    <w:basedOn w:val="Normal"/>
    <w:next w:val="Normal"/>
    <w:semiHidden/>
    <w:rsid w:val="00EA5E50"/>
    <w:pPr>
      <w:tabs>
        <w:tab w:val="right" w:leader="dot" w:pos="9072"/>
      </w:tabs>
      <w:ind w:left="970" w:hanging="403"/>
    </w:pPr>
    <w:rPr>
      <w:rFonts w:ascii="Times New Roman" w:hAnsi="Times New Roman"/>
      <w:b/>
    </w:rPr>
  </w:style>
  <w:style w:type="paragraph" w:styleId="ListNumber">
    <w:name w:val="List Number"/>
    <w:basedOn w:val="List"/>
    <w:rsid w:val="00EA5E50"/>
    <w:pPr>
      <w:numPr>
        <w:numId w:val="11"/>
      </w:numPr>
    </w:pPr>
  </w:style>
  <w:style w:type="character" w:customStyle="1" w:styleId="WingdingSymbols">
    <w:name w:val="Wingding Symbols"/>
    <w:rsid w:val="00EA5E50"/>
    <w:rPr>
      <w:rFonts w:ascii="Wingdings" w:hAnsi="Wingdings"/>
    </w:rPr>
  </w:style>
  <w:style w:type="paragraph" w:customStyle="1" w:styleId="TableHeading">
    <w:name w:val="Table Heading"/>
    <w:basedOn w:val="HeadingBase"/>
    <w:rsid w:val="00EA5E50"/>
    <w:pPr>
      <w:keepLines/>
      <w:pBdr>
        <w:bottom w:val="single" w:sz="6" w:space="1" w:color="918585"/>
      </w:pBdr>
      <w:spacing w:before="240"/>
    </w:pPr>
  </w:style>
  <w:style w:type="character" w:customStyle="1" w:styleId="HotSpot">
    <w:name w:val="HotSpot"/>
    <w:rsid w:val="00EA5E50"/>
    <w:rPr>
      <w:color w:val="0033CC"/>
      <w:u w:val="none"/>
    </w:rPr>
  </w:style>
  <w:style w:type="paragraph" w:customStyle="1" w:styleId="BodyTextRight">
    <w:name w:val="Body Text Right"/>
    <w:basedOn w:val="BodyText"/>
    <w:rsid w:val="00EA5E50"/>
    <w:pPr>
      <w:spacing w:before="0" w:after="0"/>
      <w:jc w:val="right"/>
    </w:pPr>
  </w:style>
  <w:style w:type="paragraph" w:styleId="Index3">
    <w:name w:val="index 3"/>
    <w:basedOn w:val="ListNumber2"/>
    <w:next w:val="Normal"/>
    <w:semiHidden/>
    <w:rsid w:val="00EA5E50"/>
    <w:pPr>
      <w:numPr>
        <w:numId w:val="0"/>
      </w:numPr>
      <w:tabs>
        <w:tab w:val="right" w:leader="dot" w:pos="4176"/>
      </w:tabs>
    </w:pPr>
  </w:style>
  <w:style w:type="paragraph" w:styleId="ListNumber2">
    <w:name w:val="List Number 2"/>
    <w:basedOn w:val="List2"/>
    <w:rsid w:val="00EA5E50"/>
    <w:pPr>
      <w:numPr>
        <w:numId w:val="10"/>
      </w:numPr>
      <w:tabs>
        <w:tab w:val="clear" w:pos="1060"/>
      </w:tabs>
    </w:pPr>
  </w:style>
  <w:style w:type="paragraph" w:customStyle="1" w:styleId="MarginNote">
    <w:name w:val="Margin Note"/>
    <w:basedOn w:val="BodyText"/>
    <w:rsid w:val="00EA5E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5E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5E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5E50"/>
    <w:rPr>
      <w:sz w:val="32"/>
    </w:rPr>
  </w:style>
  <w:style w:type="paragraph" w:customStyle="1" w:styleId="HeadingProcedure">
    <w:name w:val="Heading Procedure"/>
    <w:basedOn w:val="HeadingBase"/>
    <w:next w:val="Normal"/>
    <w:rsid w:val="00EA5E50"/>
    <w:pPr>
      <w:tabs>
        <w:tab w:val="left" w:pos="0"/>
      </w:tabs>
      <w:spacing w:before="120" w:after="60"/>
    </w:pPr>
    <w:rPr>
      <w:i/>
      <w:color w:val="918585"/>
      <w:sz w:val="22"/>
    </w:rPr>
  </w:style>
  <w:style w:type="paragraph" w:customStyle="1" w:styleId="TableBodyText">
    <w:name w:val="Table Body Text"/>
    <w:basedOn w:val="BodyText"/>
    <w:rsid w:val="00EA5E50"/>
    <w:pPr>
      <w:spacing w:before="60" w:after="60"/>
    </w:pPr>
  </w:style>
  <w:style w:type="paragraph" w:styleId="ListContinue">
    <w:name w:val="List Continue"/>
    <w:basedOn w:val="List"/>
    <w:rsid w:val="00EA5E50"/>
    <w:pPr>
      <w:ind w:firstLine="0"/>
    </w:pPr>
  </w:style>
  <w:style w:type="paragraph" w:customStyle="1" w:styleId="ListNote">
    <w:name w:val="List Note"/>
    <w:basedOn w:val="List"/>
    <w:rsid w:val="00EA5E50"/>
    <w:pPr>
      <w:pBdr>
        <w:top w:val="single" w:sz="6" w:space="2" w:color="918585"/>
        <w:bottom w:val="single" w:sz="6" w:space="2" w:color="918585"/>
      </w:pBdr>
      <w:tabs>
        <w:tab w:val="left" w:pos="1021"/>
      </w:tabs>
      <w:ind w:firstLine="0"/>
    </w:pPr>
  </w:style>
  <w:style w:type="paragraph" w:customStyle="1" w:styleId="Warning">
    <w:name w:val="Warning"/>
    <w:basedOn w:val="BodyText"/>
    <w:rsid w:val="00EA5E50"/>
    <w:pPr>
      <w:shd w:val="clear" w:color="auto" w:fill="D9D9D9"/>
      <w:tabs>
        <w:tab w:val="left" w:pos="992"/>
      </w:tabs>
      <w:ind w:left="119" w:right="119"/>
    </w:pPr>
    <w:rPr>
      <w:sz w:val="20"/>
    </w:rPr>
  </w:style>
  <w:style w:type="paragraph" w:customStyle="1" w:styleId="MarginIcons">
    <w:name w:val="Margin Icons"/>
    <w:basedOn w:val="BodyText"/>
    <w:rsid w:val="00EA5E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5E50"/>
    <w:rPr>
      <w:rFonts w:ascii="Courier New" w:hAnsi="Courier New"/>
    </w:rPr>
  </w:style>
  <w:style w:type="paragraph" w:customStyle="1" w:styleId="NoteBullet">
    <w:name w:val="Note Bullet"/>
    <w:basedOn w:val="Note"/>
    <w:rsid w:val="00EA5E50"/>
    <w:pPr>
      <w:tabs>
        <w:tab w:val="clear" w:pos="680"/>
      </w:tabs>
      <w:spacing w:before="60" w:after="60"/>
    </w:pPr>
  </w:style>
  <w:style w:type="paragraph" w:customStyle="1" w:styleId="SubHeading2">
    <w:name w:val="SubHeading2"/>
    <w:basedOn w:val="HeadingBase"/>
    <w:rsid w:val="00EA5E50"/>
    <w:pPr>
      <w:spacing w:before="240" w:after="60"/>
    </w:pPr>
    <w:rPr>
      <w:sz w:val="20"/>
    </w:rPr>
  </w:style>
  <w:style w:type="paragraph" w:customStyle="1" w:styleId="SubHeading1">
    <w:name w:val="SubHeading1"/>
    <w:basedOn w:val="HeadingBase"/>
    <w:rsid w:val="00EA5E50"/>
    <w:pPr>
      <w:spacing w:before="240" w:after="60"/>
    </w:pPr>
    <w:rPr>
      <w:color w:val="918585"/>
      <w:sz w:val="22"/>
    </w:rPr>
  </w:style>
  <w:style w:type="paragraph" w:customStyle="1" w:styleId="SideHeading">
    <w:name w:val="Side Heading"/>
    <w:basedOn w:val="HeadingBase"/>
    <w:rsid w:val="00EA5E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5E50"/>
    <w:pPr>
      <w:numPr>
        <w:numId w:val="12"/>
      </w:numPr>
    </w:pPr>
  </w:style>
  <w:style w:type="paragraph" w:styleId="PlainText">
    <w:name w:val="Plain Text"/>
    <w:basedOn w:val="Normal"/>
    <w:link w:val="PlainTextChar"/>
    <w:rsid w:val="00EA5E50"/>
    <w:rPr>
      <w:sz w:val="20"/>
    </w:rPr>
  </w:style>
  <w:style w:type="character" w:customStyle="1" w:styleId="PlainTextChar">
    <w:name w:val="Plain Text Char"/>
    <w:basedOn w:val="DefaultParagraphFont"/>
    <w:link w:val="PlainText"/>
    <w:rsid w:val="00EA5E50"/>
    <w:rPr>
      <w:rFonts w:ascii="Courier New" w:eastAsia="Times New Roman" w:hAnsi="Courier New" w:cs="Times New Roman"/>
      <w:sz w:val="20"/>
      <w:szCs w:val="20"/>
      <w:lang w:eastAsia="en-US"/>
    </w:rPr>
  </w:style>
  <w:style w:type="character" w:customStyle="1" w:styleId="MenuOption">
    <w:name w:val="Menu Option"/>
    <w:basedOn w:val="DefaultParagraphFont"/>
    <w:rsid w:val="00EA5E50"/>
    <w:rPr>
      <w:b/>
      <w:smallCaps/>
    </w:rPr>
  </w:style>
  <w:style w:type="paragraph" w:customStyle="1" w:styleId="TableListNumber">
    <w:name w:val="Table List Number"/>
    <w:basedOn w:val="ListNumber"/>
    <w:rsid w:val="00EA5E50"/>
    <w:pPr>
      <w:numPr>
        <w:numId w:val="0"/>
      </w:numPr>
    </w:pPr>
  </w:style>
  <w:style w:type="paragraph" w:styleId="TOC4">
    <w:name w:val="toc 4"/>
    <w:basedOn w:val="TOCBase"/>
    <w:next w:val="Normal"/>
    <w:semiHidden/>
    <w:rsid w:val="00EA5E50"/>
    <w:pPr>
      <w:tabs>
        <w:tab w:val="right" w:leader="dot" w:pos="9071"/>
      </w:tabs>
      <w:ind w:left="1701"/>
    </w:pPr>
  </w:style>
  <w:style w:type="paragraph" w:customStyle="1" w:styleId="ListAlpha">
    <w:name w:val="List Alpha"/>
    <w:basedOn w:val="List"/>
    <w:rsid w:val="00EA5E50"/>
    <w:pPr>
      <w:numPr>
        <w:numId w:val="9"/>
      </w:numPr>
    </w:pPr>
  </w:style>
  <w:style w:type="paragraph" w:customStyle="1" w:styleId="ListAlpha2">
    <w:name w:val="List Alpha 2"/>
    <w:basedOn w:val="List2"/>
    <w:rsid w:val="00EA5E50"/>
    <w:pPr>
      <w:numPr>
        <w:numId w:val="8"/>
      </w:numPr>
    </w:pPr>
  </w:style>
  <w:style w:type="paragraph" w:styleId="List2">
    <w:name w:val="List 2"/>
    <w:basedOn w:val="BodyText"/>
    <w:rsid w:val="00EA5E50"/>
    <w:pPr>
      <w:tabs>
        <w:tab w:val="left" w:pos="680"/>
      </w:tabs>
      <w:spacing w:before="60" w:after="60"/>
      <w:ind w:left="680" w:hanging="340"/>
    </w:pPr>
  </w:style>
  <w:style w:type="paragraph" w:styleId="List3">
    <w:name w:val="List 3"/>
    <w:basedOn w:val="BodyText"/>
    <w:rsid w:val="00EA5E50"/>
    <w:pPr>
      <w:tabs>
        <w:tab w:val="left" w:pos="1021"/>
      </w:tabs>
      <w:spacing w:before="60" w:after="60"/>
      <w:ind w:left="1020" w:hanging="340"/>
    </w:pPr>
  </w:style>
  <w:style w:type="paragraph" w:styleId="List4">
    <w:name w:val="List 4"/>
    <w:basedOn w:val="BodyText"/>
    <w:rsid w:val="00EA5E50"/>
    <w:pPr>
      <w:tabs>
        <w:tab w:val="left" w:pos="1361"/>
      </w:tabs>
      <w:spacing w:before="60" w:after="60"/>
      <w:ind w:left="1361" w:hanging="340"/>
    </w:pPr>
  </w:style>
  <w:style w:type="paragraph" w:styleId="List5">
    <w:name w:val="List 5"/>
    <w:basedOn w:val="BodyText"/>
    <w:rsid w:val="00EA5E50"/>
    <w:pPr>
      <w:tabs>
        <w:tab w:val="left" w:pos="1701"/>
      </w:tabs>
      <w:spacing w:before="60" w:after="60"/>
      <w:ind w:left="1701" w:hanging="340"/>
    </w:pPr>
  </w:style>
  <w:style w:type="paragraph" w:styleId="ListBullet3">
    <w:name w:val="List Bullet 3"/>
    <w:basedOn w:val="List3"/>
    <w:rsid w:val="00EA5E50"/>
    <w:pPr>
      <w:numPr>
        <w:numId w:val="15"/>
      </w:numPr>
      <w:tabs>
        <w:tab w:val="clear" w:pos="1021"/>
      </w:tabs>
      <w:ind w:left="1037" w:hanging="357"/>
    </w:pPr>
  </w:style>
  <w:style w:type="paragraph" w:styleId="ListBullet4">
    <w:name w:val="List Bullet 4"/>
    <w:basedOn w:val="List4"/>
    <w:rsid w:val="00EA5E50"/>
    <w:pPr>
      <w:numPr>
        <w:numId w:val="3"/>
      </w:numPr>
    </w:pPr>
  </w:style>
  <w:style w:type="paragraph" w:styleId="ListBullet5">
    <w:name w:val="List Bullet 5"/>
    <w:basedOn w:val="List5"/>
    <w:rsid w:val="00EA5E50"/>
    <w:pPr>
      <w:numPr>
        <w:numId w:val="4"/>
      </w:numPr>
    </w:pPr>
  </w:style>
  <w:style w:type="paragraph" w:styleId="ListContinue2">
    <w:name w:val="List Continue 2"/>
    <w:basedOn w:val="List2"/>
    <w:rsid w:val="00EA5E50"/>
    <w:pPr>
      <w:ind w:firstLine="0"/>
    </w:pPr>
  </w:style>
  <w:style w:type="paragraph" w:styleId="ListContinue3">
    <w:name w:val="List Continue 3"/>
    <w:basedOn w:val="List3"/>
    <w:rsid w:val="00EA5E50"/>
    <w:pPr>
      <w:ind w:left="1021" w:firstLine="0"/>
    </w:pPr>
  </w:style>
  <w:style w:type="paragraph" w:styleId="ListContinue4">
    <w:name w:val="List Continue 4"/>
    <w:basedOn w:val="List4"/>
    <w:rsid w:val="00EA5E50"/>
    <w:pPr>
      <w:ind w:firstLine="0"/>
    </w:pPr>
  </w:style>
  <w:style w:type="paragraph" w:styleId="ListContinue5">
    <w:name w:val="List Continue 5"/>
    <w:basedOn w:val="List5"/>
    <w:rsid w:val="00EA5E50"/>
    <w:pPr>
      <w:ind w:firstLine="0"/>
    </w:pPr>
  </w:style>
  <w:style w:type="paragraph" w:styleId="ListNumber3">
    <w:name w:val="List Number 3"/>
    <w:basedOn w:val="List3"/>
    <w:rsid w:val="00EA5E50"/>
    <w:pPr>
      <w:numPr>
        <w:numId w:val="5"/>
      </w:numPr>
    </w:pPr>
  </w:style>
  <w:style w:type="paragraph" w:styleId="ListNumber4">
    <w:name w:val="List Number 4"/>
    <w:basedOn w:val="List4"/>
    <w:rsid w:val="00EA5E50"/>
    <w:pPr>
      <w:numPr>
        <w:numId w:val="6"/>
      </w:numPr>
    </w:pPr>
  </w:style>
  <w:style w:type="paragraph" w:styleId="ListNumber5">
    <w:name w:val="List Number 5"/>
    <w:basedOn w:val="List5"/>
    <w:rsid w:val="00EA5E50"/>
    <w:pPr>
      <w:numPr>
        <w:numId w:val="7"/>
      </w:numPr>
    </w:pPr>
  </w:style>
  <w:style w:type="paragraph" w:styleId="BlockText">
    <w:name w:val="Block Text"/>
    <w:basedOn w:val="Normal"/>
    <w:rsid w:val="00EA5E50"/>
    <w:pPr>
      <w:spacing w:after="120"/>
      <w:ind w:left="1440" w:right="1440"/>
    </w:pPr>
  </w:style>
  <w:style w:type="character" w:customStyle="1" w:styleId="Subscript">
    <w:name w:val="Subscript"/>
    <w:basedOn w:val="DefaultParagraphFont"/>
    <w:rsid w:val="00EA5E50"/>
    <w:rPr>
      <w:sz w:val="16"/>
      <w:vertAlign w:val="subscript"/>
    </w:rPr>
  </w:style>
  <w:style w:type="character" w:customStyle="1" w:styleId="Superscript">
    <w:name w:val="Superscript"/>
    <w:basedOn w:val="DefaultParagraphFont"/>
    <w:rsid w:val="00EA5E50"/>
    <w:rPr>
      <w:sz w:val="16"/>
      <w:vertAlign w:val="superscript"/>
    </w:rPr>
  </w:style>
  <w:style w:type="character" w:customStyle="1" w:styleId="Symbols">
    <w:name w:val="Symbols"/>
    <w:basedOn w:val="DefaultParagraphFont"/>
    <w:rsid w:val="00EA5E50"/>
    <w:rPr>
      <w:rFonts w:ascii="Symbol" w:hAnsi="Symbol"/>
    </w:rPr>
  </w:style>
  <w:style w:type="character" w:customStyle="1" w:styleId="MenuOptions">
    <w:name w:val="Menu Options"/>
    <w:basedOn w:val="DefaultParagraphFont"/>
    <w:rsid w:val="00EA5E50"/>
    <w:rPr>
      <w:rFonts w:ascii="Arial Narrow" w:hAnsi="Arial Narrow"/>
      <w:smallCaps/>
    </w:rPr>
  </w:style>
  <w:style w:type="character" w:customStyle="1" w:styleId="Buttons">
    <w:name w:val="Buttons"/>
    <w:basedOn w:val="DefaultParagraphFont"/>
    <w:rsid w:val="00EA5E50"/>
    <w:rPr>
      <w:b/>
    </w:rPr>
  </w:style>
  <w:style w:type="character" w:customStyle="1" w:styleId="Underlined">
    <w:name w:val="Underlined"/>
    <w:basedOn w:val="DefaultParagraphFont"/>
    <w:rsid w:val="00EA5E50"/>
    <w:rPr>
      <w:u w:val="single"/>
    </w:rPr>
  </w:style>
  <w:style w:type="paragraph" w:customStyle="1" w:styleId="TableBodyTextRight">
    <w:name w:val="Table Body Text Right"/>
    <w:basedOn w:val="TableBodyText"/>
    <w:rsid w:val="00EA5E50"/>
    <w:pPr>
      <w:widowControl w:val="0"/>
      <w:autoSpaceDE w:val="0"/>
      <w:autoSpaceDN w:val="0"/>
      <w:adjustRightInd w:val="0"/>
      <w:jc w:val="right"/>
    </w:pPr>
    <w:rPr>
      <w:rFonts w:cs="Arial"/>
      <w:szCs w:val="18"/>
    </w:rPr>
  </w:style>
  <w:style w:type="paragraph" w:customStyle="1" w:styleId="CopyrightText">
    <w:name w:val="Copyright Text"/>
    <w:basedOn w:val="BodyText"/>
    <w:rsid w:val="00EA5E50"/>
    <w:rPr>
      <w:sz w:val="18"/>
    </w:rPr>
  </w:style>
  <w:style w:type="paragraph" w:customStyle="1" w:styleId="BodySmallRight">
    <w:name w:val="Body Small Right"/>
    <w:basedOn w:val="BodyTextRight"/>
    <w:rsid w:val="00EA5E50"/>
    <w:rPr>
      <w:sz w:val="18"/>
      <w:szCs w:val="18"/>
    </w:rPr>
  </w:style>
  <w:style w:type="paragraph" w:customStyle="1" w:styleId="MarginEdition">
    <w:name w:val="Margin Edition"/>
    <w:basedOn w:val="MarginNote"/>
    <w:rsid w:val="00EA5E50"/>
    <w:pPr>
      <w:spacing w:before="0" w:after="0"/>
    </w:pPr>
    <w:rPr>
      <w:rFonts w:ascii="Times New Roman" w:hAnsi="Times New Roman"/>
      <w:color w:val="999999"/>
    </w:rPr>
  </w:style>
  <w:style w:type="paragraph" w:customStyle="1" w:styleId="Spacer">
    <w:name w:val="Spacer"/>
    <w:basedOn w:val="Normal"/>
    <w:rsid w:val="00EA5E50"/>
    <w:rPr>
      <w:sz w:val="2"/>
      <w:szCs w:val="2"/>
    </w:rPr>
  </w:style>
  <w:style w:type="character" w:customStyle="1" w:styleId="Small">
    <w:name w:val="Small"/>
    <w:basedOn w:val="DefaultParagraphFont"/>
    <w:rsid w:val="00EA5E50"/>
    <w:rPr>
      <w:sz w:val="16"/>
    </w:rPr>
  </w:style>
  <w:style w:type="paragraph" w:customStyle="1" w:styleId="WideTable">
    <w:name w:val="Wide Table"/>
    <w:basedOn w:val="Normal"/>
    <w:rsid w:val="00EA5E50"/>
    <w:pPr>
      <w:ind w:left="-1418"/>
    </w:pPr>
    <w:rPr>
      <w:sz w:val="2"/>
      <w:szCs w:val="2"/>
    </w:rPr>
  </w:style>
  <w:style w:type="character" w:styleId="PageNumber">
    <w:name w:val="page number"/>
    <w:basedOn w:val="DefaultParagraphFont"/>
    <w:rsid w:val="00EA5E50"/>
  </w:style>
  <w:style w:type="paragraph" w:styleId="Quote">
    <w:name w:val="Quote"/>
    <w:basedOn w:val="Heading1"/>
    <w:link w:val="QuoteChar"/>
    <w:qFormat/>
    <w:rsid w:val="00EA5E50"/>
    <w:rPr>
      <w:b w:val="0"/>
      <w:sz w:val="72"/>
      <w:szCs w:val="72"/>
      <w:lang w:val="en-NZ"/>
    </w:rPr>
  </w:style>
  <w:style w:type="character" w:customStyle="1" w:styleId="QuoteChar">
    <w:name w:val="Quote Char"/>
    <w:basedOn w:val="DefaultParagraphFont"/>
    <w:link w:val="Quote"/>
    <w:rsid w:val="00EA5E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5E50"/>
    <w:pPr>
      <w:pageBreakBefore/>
    </w:pPr>
  </w:style>
  <w:style w:type="paragraph" w:customStyle="1" w:styleId="Border">
    <w:name w:val="Border"/>
    <w:basedOn w:val="Normal"/>
    <w:qFormat/>
    <w:rsid w:val="00EA5E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5E50"/>
    <w:rPr>
      <w:b/>
      <w:bCs/>
      <w:i/>
      <w:iCs/>
      <w:color w:val="auto"/>
    </w:rPr>
  </w:style>
  <w:style w:type="paragraph" w:styleId="IntenseQuote">
    <w:name w:val="Intense Quote"/>
    <w:basedOn w:val="Normal"/>
    <w:next w:val="Normal"/>
    <w:link w:val="IntenseQuoteChar"/>
    <w:uiPriority w:val="30"/>
    <w:qFormat/>
    <w:rsid w:val="00EA5E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5E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5E50"/>
    <w:rPr>
      <w:smallCaps/>
      <w:color w:val="auto"/>
      <w:u w:val="single"/>
    </w:rPr>
  </w:style>
  <w:style w:type="character" w:styleId="IntenseReference">
    <w:name w:val="Intense Reference"/>
    <w:basedOn w:val="DefaultParagraphFont"/>
    <w:uiPriority w:val="32"/>
    <w:qFormat/>
    <w:rsid w:val="00EA5E50"/>
    <w:rPr>
      <w:b/>
      <w:bCs/>
      <w:smallCaps/>
      <w:color w:val="auto"/>
      <w:spacing w:val="5"/>
      <w:u w:val="single"/>
    </w:rPr>
  </w:style>
  <w:style w:type="paragraph" w:customStyle="1" w:styleId="2ColumnHeading">
    <w:name w:val="2Column Heading"/>
    <w:basedOn w:val="BodyText"/>
    <w:qFormat/>
    <w:rsid w:val="00EA5E50"/>
    <w:pPr>
      <w:spacing w:after="60"/>
      <w:ind w:left="-2268"/>
    </w:pPr>
    <w:rPr>
      <w:b/>
    </w:rPr>
  </w:style>
  <w:style w:type="paragraph" w:customStyle="1" w:styleId="Heading1TOC">
    <w:name w:val="Heading1 TOC"/>
    <w:basedOn w:val="Normal"/>
    <w:qFormat/>
    <w:rsid w:val="00EA5E50"/>
    <w:pPr>
      <w:spacing w:before="240" w:after="120"/>
    </w:pPr>
    <w:rPr>
      <w:rFonts w:ascii="Times New Roman" w:hAnsi="Times New Roman"/>
      <w:b/>
      <w:sz w:val="32"/>
    </w:rPr>
  </w:style>
  <w:style w:type="paragraph" w:customStyle="1" w:styleId="Heading2TOC">
    <w:name w:val="Heading2 TOC"/>
    <w:basedOn w:val="Normal"/>
    <w:qFormat/>
    <w:rsid w:val="00EA5E50"/>
    <w:pPr>
      <w:spacing w:before="240" w:after="60"/>
    </w:pPr>
    <w:rPr>
      <w:rFonts w:ascii="Times New Roman" w:hAnsi="Times New Roman"/>
      <w:b/>
      <w:sz w:val="28"/>
    </w:rPr>
  </w:style>
  <w:style w:type="character" w:customStyle="1" w:styleId="Underline">
    <w:name w:val="Underline"/>
    <w:basedOn w:val="DefaultParagraphFont"/>
    <w:qFormat/>
    <w:rsid w:val="00EA5E50"/>
    <w:rPr>
      <w:u w:val="single"/>
    </w:rPr>
  </w:style>
  <w:style w:type="character" w:customStyle="1" w:styleId="BoldandItalics">
    <w:name w:val="Bold and Italics"/>
    <w:qFormat/>
    <w:rsid w:val="00EA5E50"/>
    <w:rPr>
      <w:b/>
      <w:i/>
      <w:u w:val="none"/>
    </w:rPr>
  </w:style>
  <w:style w:type="paragraph" w:styleId="BalloonText">
    <w:name w:val="Balloon Text"/>
    <w:basedOn w:val="Normal"/>
    <w:link w:val="BalloonTextChar"/>
    <w:rsid w:val="00EA5E50"/>
    <w:rPr>
      <w:rFonts w:ascii="Tahoma" w:hAnsi="Tahoma" w:cs="Tahoma"/>
      <w:sz w:val="16"/>
      <w:szCs w:val="16"/>
    </w:rPr>
  </w:style>
  <w:style w:type="character" w:customStyle="1" w:styleId="BalloonTextChar">
    <w:name w:val="Balloon Text Char"/>
    <w:basedOn w:val="DefaultParagraphFont"/>
    <w:link w:val="BalloonText"/>
    <w:rsid w:val="00EA5E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5E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5E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5E50"/>
    <w:rPr>
      <w:b/>
      <w:color w:val="660033"/>
      <w:spacing w:val="0"/>
    </w:rPr>
  </w:style>
  <w:style w:type="paragraph" w:customStyle="1" w:styleId="Nameditemlist">
    <w:name w:val="Named item list"/>
    <w:basedOn w:val="BodyText"/>
    <w:qFormat/>
    <w:rsid w:val="00EA5E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1737</Words>
  <Characters>11745</Characters>
  <Application>Microsoft Office Word</Application>
  <DocSecurity>0</DocSecurity>
  <Lines>400</Lines>
  <Paragraphs>210</Paragraphs>
  <ScaleCrop>false</ScaleCrop>
  <Company>Author-it Software Corporation Ltd.</Company>
  <LinksUpToDate>false</LinksUpToDate>
  <CharactersWithSpaces>13397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MEM23131A Evaluate rapid prototyping applications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2012-12-20T07:27:00Z</dcterms:created>
  <dcterms:modified xsi:type="dcterms:W3CDTF">2012-12-20T07:27:00Z</dcterms:modified>
</cp:coreProperties>
</file>