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9326B" w:rsidP="0009326B">
      <w:pPr>
        <w:pStyle w:val="Title"/>
      </w:pPr>
      <w:bookmarkStart w:id="0" w:name="_GoBack"/>
      <w:bookmarkEnd w:id="0"/>
      <w:r>
        <w:fldChar w:fldCharType="begin"/>
      </w:r>
      <w:r>
        <w:instrText xml:space="preserve"> TITLE   \* MERGEFORMAT </w:instrText>
      </w:r>
      <w:r>
        <w:fldChar w:fldCharType="separate"/>
      </w:r>
      <w:r>
        <w:t>MEM23126A Evaluate industrial robotic applications</w:t>
      </w:r>
      <w:r>
        <w:fldChar w:fldCharType="end"/>
      </w:r>
    </w:p>
    <w:p w:rsidR="0009326B" w:rsidP="0009326B">
      <w:pPr>
        <w:pStyle w:val="Version"/>
        <w:sectPr w:rsidSect="00F4774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4774F" w:rsidP="00F4774F">
      <w:pPr>
        <w:pStyle w:val="SuperHeading"/>
      </w:pPr>
      <w:r w:rsidRPr="00F4774F">
        <w:t>MEM23126A Evaluate industrial robotic applications</w:t>
      </w:r>
    </w:p>
    <w:p w:rsidR="00000000" w:rsidRPr="00F4774F" w:rsidP="00F4774F">
      <w:pPr>
        <w:pStyle w:val="Heading1"/>
      </w:pPr>
      <w:bookmarkStart w:id="1" w:name="O_520038"/>
      <w:bookmarkEnd w:id="1"/>
      <w:r w:rsidRPr="00F4774F">
        <w:t>Modification History</w:t>
      </w:r>
    </w:p>
    <w:p w:rsidR="0009326B" w:rsidP="00F4774F">
      <w:pPr>
        <w:pStyle w:val="BodyText"/>
      </w:pPr>
      <w:r w:rsidRPr="00F4774F">
        <w:t>Release 1 (MEM05v9).</w:t>
      </w:r>
    </w:p>
    <w:p w:rsidR="0009326B" w:rsidP="00F4774F">
      <w:pPr>
        <w:pStyle w:val="BodyText"/>
      </w:pPr>
    </w:p>
    <w:p w:rsidR="00000000" w:rsidRPr="00F4774F" w:rsidP="00F4774F">
      <w:pPr>
        <w:pStyle w:val="Heading1"/>
      </w:pPr>
      <w:bookmarkStart w:id="2" w:name="O_520050"/>
      <w:bookmarkEnd w:id="2"/>
      <w:r w:rsidRPr="00F4774F">
        <w:t>Unit Descriptor</w:t>
      </w:r>
    </w:p>
    <w:p w:rsidR="0009326B" w:rsidP="00F4774F">
      <w:pPr>
        <w:pStyle w:val="BodyText"/>
      </w:pPr>
      <w:r w:rsidRPr="00F4774F">
        <w:t>This unit of competency covers the evaluation of industrial and mobile robotic applications, including loading and positioning capability, accuracy, repeatability, communic</w:t>
      </w:r>
      <w:r w:rsidRPr="00F4774F">
        <w:t>ations requirements, networks and protocols, and effectiveness of integration into automation systems. It includes evaluation of standard industrial robot types as well as mobile robots and other automated elements.</w:t>
      </w:r>
    </w:p>
    <w:p w:rsidR="0009326B" w:rsidP="00F4774F">
      <w:pPr>
        <w:pStyle w:val="BodyText"/>
      </w:pPr>
    </w:p>
    <w:p w:rsidR="00000000" w:rsidRPr="00F4774F" w:rsidP="00F4774F">
      <w:pPr>
        <w:pStyle w:val="Heading1"/>
      </w:pPr>
      <w:bookmarkStart w:id="3" w:name="O_520049"/>
      <w:bookmarkEnd w:id="3"/>
      <w:r w:rsidRPr="00F4774F">
        <w:t>Application of the Uni</w:t>
      </w:r>
      <w:r w:rsidRPr="00F4774F">
        <w:t>t</w:t>
      </w:r>
    </w:p>
    <w:p w:rsidR="00000000" w:rsidRPr="00F4774F" w:rsidP="00F4774F">
      <w:pPr>
        <w:pStyle w:val="BodyText"/>
      </w:pPr>
      <w:r w:rsidRPr="00F4774F">
        <w:t>This unit applies to the use of industrial and mobile robotic devices or systems for commercial, industrial, machine and process automation in engineering and related applications.</w:t>
      </w:r>
    </w:p>
    <w:p w:rsidR="0009326B" w:rsidP="00F4774F">
      <w:pPr>
        <w:pStyle w:val="BodyText"/>
      </w:pPr>
      <w:r w:rsidRPr="00F4774F">
        <w:t>It is suitable for people working as automation or robotics technicians o</w:t>
      </w:r>
      <w:r w:rsidRPr="00F4774F">
        <w:t>r paraprofessionals and draftspersons, and those pursuing related technical qualifications and careers.</w:t>
      </w:r>
    </w:p>
    <w:p w:rsidR="0009326B" w:rsidP="00F4774F">
      <w:pPr>
        <w:pStyle w:val="BodyText"/>
      </w:pPr>
    </w:p>
    <w:p w:rsidR="00000000" w:rsidRPr="00F4774F" w:rsidP="00F4774F">
      <w:pPr>
        <w:pStyle w:val="Heading1"/>
      </w:pPr>
      <w:bookmarkStart w:id="4" w:name="O_520048"/>
      <w:bookmarkEnd w:id="4"/>
      <w:r w:rsidRPr="00F4774F">
        <w:t>Licensing/Regulatory Information</w:t>
      </w:r>
    </w:p>
    <w:p w:rsidR="00000000" w:rsidRPr="00F4774F" w:rsidP="00F4774F">
      <w:pPr>
        <w:pStyle w:val="BodyText"/>
      </w:pPr>
      <w:r w:rsidRPr="00F4774F">
        <w:t>Not applicable.</w:t>
      </w:r>
    </w:p>
    <w:p w:rsidR="00000000" w:rsidRPr="00F4774F" w:rsidP="00F4774F">
      <w:pPr>
        <w:pStyle w:val="AllowPageBreak"/>
      </w:pPr>
    </w:p>
    <w:p w:rsidR="00000000" w:rsidRPr="00F4774F" w:rsidP="00F4774F">
      <w:pPr>
        <w:pStyle w:val="Heading1"/>
      </w:pPr>
      <w:bookmarkStart w:id="5" w:name="O_520047"/>
      <w:bookmarkEnd w:id="5"/>
      <w:r w:rsidRPr="00F4774F">
        <w:t>Pre-Requisites</w:t>
      </w:r>
    </w:p>
    <w:tbl>
      <w:tblPr>
        <w:tblW w:w="9354" w:type="dxa"/>
        <w:tblLayout w:type="fixed"/>
        <w:tblCellMar>
          <w:left w:w="62" w:type="dxa"/>
          <w:right w:w="62" w:type="dxa"/>
        </w:tblCellMar>
        <w:tblLook w:val="0000"/>
      </w:tblPr>
      <w:tblGrid>
        <w:gridCol w:w="2592"/>
        <w:gridCol w:w="6762"/>
      </w:tblGrid>
      <w:tr w:rsidTr="00F4774F">
        <w:tblPrEx>
          <w:tblW w:w="9354" w:type="dxa"/>
          <w:tblLayout w:type="fixed"/>
          <w:tblCellMar>
            <w:left w:w="62" w:type="dxa"/>
            <w:right w:w="62" w:type="dxa"/>
          </w:tblCellMar>
          <w:tblLook w:val="0000"/>
        </w:tblPrEx>
        <w:tc>
          <w:tcPr>
            <w:tcW w:w="2592" w:type="dxa"/>
            <w:tcBorders>
              <w:top w:val="nil"/>
              <w:left w:val="nil"/>
              <w:bottom w:val="nil"/>
              <w:right w:val="nil"/>
            </w:tcBorders>
            <w:tcMar>
              <w:top w:w="0" w:type="dxa"/>
              <w:left w:w="62" w:type="dxa"/>
              <w:bottom w:w="0" w:type="dxa"/>
              <w:right w:w="62" w:type="dxa"/>
            </w:tcMar>
          </w:tcPr>
          <w:p w:rsidR="00000000" w:rsidP="00F4774F">
            <w:pPr>
              <w:pStyle w:val="BodyText"/>
              <w:rPr>
                <w:lang w:val="en-NZ"/>
              </w:rPr>
            </w:pPr>
            <w:r w:rsidRPr="00F4774F">
              <w:t>MEM23004A</w:t>
            </w:r>
          </w:p>
        </w:tc>
        <w:tc>
          <w:tcPr>
            <w:tcW w:w="6762" w:type="dxa"/>
            <w:tcBorders>
              <w:top w:val="nil"/>
              <w:left w:val="nil"/>
              <w:bottom w:val="nil"/>
              <w:right w:val="nil"/>
            </w:tcBorders>
            <w:tcMar>
              <w:top w:w="0" w:type="dxa"/>
              <w:left w:w="62" w:type="dxa"/>
              <w:bottom w:w="0" w:type="dxa"/>
              <w:right w:w="62" w:type="dxa"/>
            </w:tcMar>
          </w:tcPr>
          <w:p w:rsidR="00000000" w:rsidP="00F4774F">
            <w:pPr>
              <w:pStyle w:val="BodyText"/>
              <w:rPr>
                <w:lang w:val="en-NZ"/>
              </w:rPr>
            </w:pPr>
            <w:r w:rsidRPr="00F4774F">
              <w:t>Apply technical mathematics</w:t>
            </w:r>
          </w:p>
        </w:tc>
      </w:tr>
      <w:tr w:rsidTr="00F4774F">
        <w:tblPrEx>
          <w:tblW w:w="9354" w:type="dxa"/>
          <w:tblLayout w:type="fixed"/>
          <w:tblCellMar>
            <w:left w:w="62" w:type="dxa"/>
            <w:right w:w="62" w:type="dxa"/>
          </w:tblCellMar>
          <w:tblLook w:val="0000"/>
        </w:tblPrEx>
        <w:tc>
          <w:tcPr>
            <w:tcW w:w="2592" w:type="dxa"/>
            <w:tcBorders>
              <w:top w:val="nil"/>
              <w:left w:val="nil"/>
              <w:bottom w:val="nil"/>
              <w:right w:val="nil"/>
            </w:tcBorders>
            <w:tcMar>
              <w:top w:w="0" w:type="dxa"/>
              <w:left w:w="62" w:type="dxa"/>
              <w:bottom w:w="0" w:type="dxa"/>
              <w:right w:w="62" w:type="dxa"/>
            </w:tcMar>
          </w:tcPr>
          <w:p w:rsidR="00000000" w:rsidP="00F4774F">
            <w:pPr>
              <w:pStyle w:val="BodyText"/>
              <w:rPr>
                <w:lang w:val="en-NZ"/>
              </w:rPr>
            </w:pPr>
            <w:r w:rsidRPr="00F4774F">
              <w:t>MEM23111A</w:t>
            </w:r>
          </w:p>
        </w:tc>
        <w:tc>
          <w:tcPr>
            <w:tcW w:w="6762" w:type="dxa"/>
            <w:tcBorders>
              <w:top w:val="nil"/>
              <w:left w:val="nil"/>
              <w:bottom w:val="nil"/>
              <w:right w:val="nil"/>
            </w:tcBorders>
            <w:tcMar>
              <w:top w:w="0" w:type="dxa"/>
              <w:left w:w="62" w:type="dxa"/>
              <w:bottom w:w="0" w:type="dxa"/>
              <w:right w:w="62" w:type="dxa"/>
            </w:tcMar>
          </w:tcPr>
          <w:p w:rsidR="00000000" w:rsidP="00F4774F">
            <w:pPr>
              <w:pStyle w:val="BodyText"/>
              <w:rPr>
                <w:lang w:val="en-NZ"/>
              </w:rPr>
            </w:pPr>
            <w:r w:rsidRPr="00F4774F">
              <w:t>Select electrical equipment and components for engineering applications</w:t>
            </w:r>
          </w:p>
        </w:tc>
      </w:tr>
      <w:tr w:rsidTr="00F4774F">
        <w:tblPrEx>
          <w:tblW w:w="9354" w:type="dxa"/>
          <w:tblLayout w:type="fixed"/>
          <w:tblCellMar>
            <w:left w:w="62" w:type="dxa"/>
            <w:right w:w="62" w:type="dxa"/>
          </w:tblCellMar>
          <w:tblLook w:val="0000"/>
        </w:tblPrEx>
        <w:tc>
          <w:tcPr>
            <w:tcW w:w="2592" w:type="dxa"/>
            <w:tcBorders>
              <w:top w:val="nil"/>
              <w:left w:val="nil"/>
              <w:bottom w:val="nil"/>
              <w:right w:val="nil"/>
            </w:tcBorders>
            <w:tcMar>
              <w:top w:w="0" w:type="dxa"/>
              <w:left w:w="62" w:type="dxa"/>
              <w:bottom w:w="0" w:type="dxa"/>
              <w:right w:w="62" w:type="dxa"/>
            </w:tcMar>
          </w:tcPr>
          <w:p w:rsidR="00000000" w:rsidP="00F4774F">
            <w:pPr>
              <w:pStyle w:val="BodyText"/>
              <w:rPr>
                <w:lang w:val="en-NZ"/>
              </w:rPr>
            </w:pPr>
            <w:r w:rsidRPr="00F4774F">
              <w:t>MEM23112A</w:t>
            </w:r>
          </w:p>
        </w:tc>
        <w:tc>
          <w:tcPr>
            <w:tcW w:w="6762" w:type="dxa"/>
            <w:tcBorders>
              <w:top w:val="nil"/>
              <w:left w:val="nil"/>
              <w:bottom w:val="nil"/>
              <w:right w:val="nil"/>
            </w:tcBorders>
            <w:tcMar>
              <w:top w:w="0" w:type="dxa"/>
              <w:left w:w="62" w:type="dxa"/>
              <w:bottom w:w="0" w:type="dxa"/>
              <w:right w:w="62" w:type="dxa"/>
            </w:tcMar>
          </w:tcPr>
          <w:p w:rsidR="00000000" w:rsidP="00F4774F">
            <w:pPr>
              <w:pStyle w:val="BodyText"/>
              <w:rPr>
                <w:lang w:val="en-NZ"/>
              </w:rPr>
            </w:pPr>
            <w:r w:rsidRPr="00F4774F">
              <w:t>Investigate electrical and electronic controllers in engineering applications</w:t>
            </w:r>
          </w:p>
        </w:tc>
      </w:tr>
      <w:tr w:rsidTr="00F4774F">
        <w:tblPrEx>
          <w:tblW w:w="9354" w:type="dxa"/>
          <w:tblLayout w:type="fixed"/>
          <w:tblCellMar>
            <w:left w:w="62" w:type="dxa"/>
            <w:right w:w="62" w:type="dxa"/>
          </w:tblCellMar>
          <w:tblLook w:val="0000"/>
        </w:tblPrEx>
        <w:tc>
          <w:tcPr>
            <w:tcW w:w="2592" w:type="dxa"/>
            <w:tcBorders>
              <w:top w:val="nil"/>
              <w:left w:val="nil"/>
              <w:bottom w:val="nil"/>
              <w:right w:val="nil"/>
            </w:tcBorders>
            <w:tcMar>
              <w:top w:w="0" w:type="dxa"/>
              <w:left w:w="62" w:type="dxa"/>
              <w:bottom w:w="0" w:type="dxa"/>
              <w:right w:w="62" w:type="dxa"/>
            </w:tcMar>
          </w:tcPr>
          <w:p w:rsidR="00000000" w:rsidP="00F4774F">
            <w:pPr>
              <w:pStyle w:val="BodyText"/>
              <w:rPr>
                <w:lang w:val="en-NZ"/>
              </w:rPr>
            </w:pPr>
            <w:r w:rsidRPr="00F4774F">
              <w:t>MEM23116A</w:t>
            </w:r>
          </w:p>
        </w:tc>
        <w:tc>
          <w:tcPr>
            <w:tcW w:w="6762" w:type="dxa"/>
            <w:tcBorders>
              <w:top w:val="nil"/>
              <w:left w:val="nil"/>
              <w:bottom w:val="nil"/>
              <w:right w:val="nil"/>
            </w:tcBorders>
            <w:tcMar>
              <w:top w:w="0" w:type="dxa"/>
              <w:left w:w="62" w:type="dxa"/>
              <w:bottom w:w="0" w:type="dxa"/>
              <w:right w:w="62" w:type="dxa"/>
            </w:tcMar>
          </w:tcPr>
          <w:p w:rsidR="00000000" w:rsidP="00F4774F">
            <w:pPr>
              <w:pStyle w:val="BodyText"/>
              <w:rPr>
                <w:lang w:val="en-NZ"/>
              </w:rPr>
            </w:pPr>
            <w:r w:rsidRPr="00F4774F">
              <w:t>Evaluate programmable logic controller and related control system component applicat</w:t>
            </w:r>
            <w:r w:rsidRPr="00F4774F">
              <w:t>ions</w:t>
            </w:r>
          </w:p>
        </w:tc>
      </w:tr>
      <w:tr w:rsidTr="00F4774F">
        <w:tblPrEx>
          <w:tblW w:w="9354" w:type="dxa"/>
          <w:tblLayout w:type="fixed"/>
          <w:tblCellMar>
            <w:left w:w="62" w:type="dxa"/>
            <w:right w:w="62" w:type="dxa"/>
          </w:tblCellMar>
          <w:tblLook w:val="0000"/>
        </w:tblPrEx>
        <w:tc>
          <w:tcPr>
            <w:tcW w:w="2592" w:type="dxa"/>
            <w:tcBorders>
              <w:top w:val="nil"/>
              <w:left w:val="nil"/>
              <w:bottom w:val="nil"/>
              <w:right w:val="nil"/>
            </w:tcBorders>
            <w:tcMar>
              <w:top w:w="0" w:type="dxa"/>
              <w:left w:w="62" w:type="dxa"/>
              <w:bottom w:w="0" w:type="dxa"/>
              <w:right w:w="62" w:type="dxa"/>
            </w:tcMar>
          </w:tcPr>
          <w:p w:rsidR="00000000" w:rsidP="00F4774F">
            <w:pPr>
              <w:pStyle w:val="BodyText"/>
              <w:rPr>
                <w:lang w:val="en-NZ"/>
              </w:rPr>
            </w:pPr>
            <w:r w:rsidRPr="00F4774F">
              <w:t>MEM23117A</w:t>
            </w:r>
          </w:p>
        </w:tc>
        <w:tc>
          <w:tcPr>
            <w:tcW w:w="6762" w:type="dxa"/>
            <w:tcBorders>
              <w:top w:val="nil"/>
              <w:left w:val="nil"/>
              <w:bottom w:val="nil"/>
              <w:right w:val="nil"/>
            </w:tcBorders>
            <w:tcMar>
              <w:top w:w="0" w:type="dxa"/>
              <w:left w:w="62" w:type="dxa"/>
              <w:bottom w:w="0" w:type="dxa"/>
              <w:right w:w="62" w:type="dxa"/>
            </w:tcMar>
          </w:tcPr>
          <w:p w:rsidR="00000000" w:rsidRPr="00F4774F" w:rsidP="00F4774F">
            <w:pPr>
              <w:pStyle w:val="BodyText"/>
            </w:pPr>
            <w:r w:rsidRPr="00F4774F">
              <w:t>Evaluate microcontroller applications</w:t>
            </w:r>
          </w:p>
        </w:tc>
      </w:tr>
    </w:tbl>
    <w:p w:rsidR="00000000" w:rsidRPr="00F4774F" w:rsidP="00F4774F">
      <w:pPr>
        <w:pStyle w:val="BodyText"/>
      </w:pPr>
    </w:p>
    <w:p w:rsidR="00000000" w:rsidRPr="00F4774F" w:rsidP="00F4774F">
      <w:pPr>
        <w:pStyle w:val="AllowPageBreak"/>
      </w:pPr>
    </w:p>
    <w:p w:rsidR="00000000" w:rsidRPr="00F4774F" w:rsidP="00F4774F">
      <w:pPr>
        <w:pStyle w:val="Heading1"/>
      </w:pPr>
      <w:bookmarkStart w:id="6" w:name="O_520046"/>
      <w:bookmarkEnd w:id="6"/>
      <w:r w:rsidRPr="00F4774F">
        <w:t>Employability Skills Information</w:t>
      </w:r>
    </w:p>
    <w:p w:rsidR="0009326B" w:rsidP="00F4774F">
      <w:pPr>
        <w:pStyle w:val="BodyText"/>
      </w:pPr>
      <w:r w:rsidRPr="00F4774F">
        <w:t>This unit contains employability skills.</w:t>
      </w:r>
    </w:p>
    <w:p w:rsidR="0009326B" w:rsidP="00F4774F">
      <w:pPr>
        <w:pStyle w:val="BodyText"/>
      </w:pPr>
    </w:p>
    <w:p w:rsidR="00000000" w:rsidRPr="00F4774F" w:rsidP="00F4774F">
      <w:pPr>
        <w:pStyle w:val="Heading1"/>
      </w:pPr>
      <w:bookmarkStart w:id="7" w:name="O_520045"/>
      <w:bookmarkEnd w:id="7"/>
      <w:r w:rsidRPr="00F4774F">
        <w:t>Elements and Performance Criteria Pre-Content</w:t>
      </w:r>
    </w:p>
    <w:tbl>
      <w:tblPr>
        <w:tblW w:w="0" w:type="auto"/>
        <w:tblCellMar>
          <w:left w:w="62" w:type="dxa"/>
          <w:right w:w="62" w:type="dxa"/>
        </w:tblCellMar>
        <w:tblLook w:val="0000"/>
      </w:tblPr>
      <w:tblGrid>
        <w:gridCol w:w="2576"/>
        <w:gridCol w:w="6620"/>
      </w:tblGrid>
      <w:tr w:rsidTr="0009326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4774F">
            <w:pPr>
              <w:pStyle w:val="BodyText"/>
              <w:rPr>
                <w:lang w:val="en-NZ"/>
              </w:rPr>
            </w:pPr>
            <w:r w:rsidRPr="00F4774F">
              <w:t>Elements describe the essential outcomes of a</w:t>
            </w:r>
            <w:r w:rsidRPr="00F4774F">
              <w:t xml:space="preserve"> unit of competency.</w:t>
            </w:r>
          </w:p>
        </w:tc>
        <w:tc>
          <w:tcPr>
            <w:tcW w:w="0" w:type="auto"/>
            <w:tcBorders>
              <w:top w:val="nil"/>
              <w:left w:val="nil"/>
              <w:bottom w:val="nil"/>
              <w:right w:val="nil"/>
            </w:tcBorders>
            <w:tcMar>
              <w:top w:w="0" w:type="dxa"/>
              <w:left w:w="62" w:type="dxa"/>
              <w:bottom w:w="0" w:type="dxa"/>
              <w:right w:w="62" w:type="dxa"/>
            </w:tcMar>
          </w:tcPr>
          <w:p w:rsidR="00000000" w:rsidRPr="00F4774F" w:rsidP="00F4774F">
            <w:pPr>
              <w:pStyle w:val="BodyText"/>
            </w:pPr>
            <w:r w:rsidRPr="00F4774F">
              <w:t xml:space="preserve">Performance criteria describe the performance needed to demonstrate achievement of the element. </w:t>
            </w:r>
          </w:p>
        </w:tc>
      </w:tr>
    </w:tbl>
    <w:p w:rsidR="0009326B" w:rsidP="00F4774F">
      <w:pPr>
        <w:pStyle w:val="BodyText"/>
      </w:pPr>
    </w:p>
    <w:p w:rsidR="0009326B" w:rsidP="00F4774F">
      <w:pPr>
        <w:pStyle w:val="BodyText"/>
      </w:pPr>
    </w:p>
    <w:p w:rsidR="00000000" w:rsidRPr="00F4774F" w:rsidP="00F4774F">
      <w:pPr>
        <w:pStyle w:val="Heading1"/>
      </w:pPr>
      <w:bookmarkStart w:id="8" w:name="O_520044"/>
      <w:bookmarkEnd w:id="8"/>
      <w:r w:rsidRPr="00F4774F">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F4774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F4774F">
            <w:pPr>
              <w:pStyle w:val="BodyText"/>
              <w:rPr>
                <w:lang w:val="en-NZ"/>
              </w:rPr>
            </w:pPr>
            <w:r w:rsidRPr="00F4774F">
              <w:t>1</w:t>
            </w:r>
          </w:p>
        </w:tc>
        <w:tc>
          <w:tcPr>
            <w:tcW w:w="1962" w:type="dxa"/>
            <w:vMerge w:val="restart"/>
            <w:tcBorders>
              <w:top w:val="nil"/>
              <w:left w:val="nil"/>
              <w:bottom w:val="nil"/>
              <w:right w:val="nil"/>
            </w:tcBorders>
            <w:tcMar>
              <w:top w:w="0" w:type="dxa"/>
              <w:left w:w="62" w:type="dxa"/>
              <w:bottom w:w="0" w:type="dxa"/>
              <w:right w:w="62" w:type="dxa"/>
            </w:tcMar>
          </w:tcPr>
          <w:p w:rsidR="00000000" w:rsidP="00F4774F">
            <w:pPr>
              <w:pStyle w:val="BodyText"/>
              <w:rPr>
                <w:lang w:val="en-NZ"/>
              </w:rPr>
            </w:pPr>
            <w:r w:rsidRPr="00F4774F">
              <w:t>Establish scope of robotics evaluation</w:t>
            </w:r>
          </w:p>
        </w:tc>
        <w:tc>
          <w:tcPr>
            <w:tcW w:w="770" w:type="dxa"/>
            <w:tcBorders>
              <w:top w:val="nil"/>
              <w:left w:val="nil"/>
              <w:bottom w:val="nil"/>
              <w:right w:val="nil"/>
            </w:tcBorders>
            <w:tcMar>
              <w:top w:w="0" w:type="dxa"/>
              <w:left w:w="62" w:type="dxa"/>
              <w:bottom w:w="0" w:type="dxa"/>
              <w:right w:w="62" w:type="dxa"/>
            </w:tcMar>
          </w:tcPr>
          <w:p w:rsidR="00000000" w:rsidP="00F4774F">
            <w:pPr>
              <w:pStyle w:val="BodyText"/>
              <w:rPr>
                <w:lang w:val="en-NZ"/>
              </w:rPr>
            </w:pPr>
            <w:r w:rsidRPr="00F4774F">
              <w:t>1.1</w:t>
            </w:r>
          </w:p>
        </w:tc>
        <w:tc>
          <w:tcPr>
            <w:tcW w:w="5610" w:type="dxa"/>
            <w:tcBorders>
              <w:top w:val="nil"/>
              <w:left w:val="nil"/>
              <w:bottom w:val="nil"/>
              <w:right w:val="nil"/>
            </w:tcBorders>
            <w:tcMar>
              <w:top w:w="0" w:type="dxa"/>
              <w:left w:w="62" w:type="dxa"/>
              <w:bottom w:w="0" w:type="dxa"/>
              <w:right w:w="62" w:type="dxa"/>
            </w:tcMar>
          </w:tcPr>
          <w:p w:rsidR="00000000" w:rsidP="00F4774F">
            <w:pPr>
              <w:pStyle w:val="BodyText"/>
              <w:rPr>
                <w:lang w:val="en-NZ"/>
              </w:rPr>
            </w:pPr>
            <w:r w:rsidRPr="00F4774F">
              <w:t>Determine parameters and context of robotics applications to be evaluated</w:t>
            </w:r>
          </w:p>
        </w:tc>
      </w:tr>
      <w:tr w:rsidTr="00F4774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4774F">
            <w:pPr>
              <w:pStyle w:val="BodyText"/>
              <w:rPr>
                <w:lang w:val="en-NZ"/>
              </w:rPr>
            </w:pPr>
            <w:r w:rsidRPr="00F4774F">
              <w:t>1.2</w:t>
            </w:r>
          </w:p>
        </w:tc>
        <w:tc>
          <w:tcPr>
            <w:tcW w:w="5610" w:type="dxa"/>
            <w:tcBorders>
              <w:top w:val="nil"/>
              <w:left w:val="nil"/>
              <w:bottom w:val="nil"/>
              <w:right w:val="nil"/>
            </w:tcBorders>
            <w:tcMar>
              <w:top w:w="0" w:type="dxa"/>
              <w:left w:w="62" w:type="dxa"/>
              <w:bottom w:w="0" w:type="dxa"/>
              <w:right w:w="62" w:type="dxa"/>
            </w:tcMar>
          </w:tcPr>
          <w:p w:rsidR="00000000" w:rsidP="00F4774F">
            <w:pPr>
              <w:pStyle w:val="BodyText"/>
              <w:rPr>
                <w:lang w:val="en-NZ"/>
              </w:rPr>
            </w:pPr>
            <w:r w:rsidRPr="00F4774F">
              <w:t>Identify stakeholders to be consulted on evaluation</w:t>
            </w:r>
          </w:p>
        </w:tc>
      </w:tr>
      <w:tr w:rsidTr="00F4774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4774F">
            <w:pPr>
              <w:pStyle w:val="BodyText"/>
              <w:rPr>
                <w:lang w:val="en-NZ"/>
              </w:rPr>
            </w:pPr>
            <w:r w:rsidRPr="00F4774F">
              <w:t>1.3</w:t>
            </w:r>
          </w:p>
        </w:tc>
        <w:tc>
          <w:tcPr>
            <w:tcW w:w="5610" w:type="dxa"/>
            <w:tcBorders>
              <w:top w:val="nil"/>
              <w:left w:val="nil"/>
              <w:bottom w:val="nil"/>
              <w:right w:val="nil"/>
            </w:tcBorders>
            <w:tcMar>
              <w:top w:w="0" w:type="dxa"/>
              <w:left w:w="62" w:type="dxa"/>
              <w:bottom w:w="0" w:type="dxa"/>
              <w:right w:w="62" w:type="dxa"/>
            </w:tcMar>
          </w:tcPr>
          <w:p w:rsidR="00000000" w:rsidP="00F4774F">
            <w:pPr>
              <w:pStyle w:val="BodyText"/>
              <w:rPr>
                <w:lang w:val="en-NZ"/>
              </w:rPr>
            </w:pPr>
            <w:r w:rsidRPr="00F4774F">
              <w:t xml:space="preserve">Identify software requirements used in the robotic applications </w:t>
            </w:r>
          </w:p>
        </w:tc>
      </w:tr>
      <w:tr w:rsidTr="00F4774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4774F">
            <w:pPr>
              <w:pStyle w:val="BodyText"/>
              <w:rPr>
                <w:lang w:val="en-NZ"/>
              </w:rPr>
            </w:pPr>
            <w:r w:rsidRPr="00F4774F">
              <w:t>1.4</w:t>
            </w:r>
          </w:p>
        </w:tc>
        <w:tc>
          <w:tcPr>
            <w:tcW w:w="5610" w:type="dxa"/>
            <w:tcBorders>
              <w:top w:val="nil"/>
              <w:left w:val="nil"/>
              <w:bottom w:val="nil"/>
              <w:right w:val="nil"/>
            </w:tcBorders>
            <w:tcMar>
              <w:top w:w="0" w:type="dxa"/>
              <w:left w:w="62" w:type="dxa"/>
              <w:bottom w:w="0" w:type="dxa"/>
              <w:right w:w="62" w:type="dxa"/>
            </w:tcMar>
          </w:tcPr>
          <w:p w:rsidR="00000000" w:rsidP="00F4774F">
            <w:pPr>
              <w:pStyle w:val="BodyText"/>
              <w:rPr>
                <w:lang w:val="en-NZ"/>
              </w:rPr>
            </w:pPr>
            <w:r w:rsidRPr="00F4774F">
              <w:t>Identify relevant compliance requirements of work health and safety (WHS) and regulatory requirements, codes of practice, standards and risk assessment requirements for robotic applications with particular emphasis on automation safety</w:t>
            </w:r>
          </w:p>
        </w:tc>
      </w:tr>
      <w:tr w:rsidTr="00F4774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4774F">
            <w:pPr>
              <w:pStyle w:val="BodyText"/>
              <w:rPr>
                <w:lang w:val="en-NZ"/>
              </w:rPr>
            </w:pPr>
            <w:r w:rsidRPr="00F4774F">
              <w:t>1.5</w:t>
            </w:r>
          </w:p>
        </w:tc>
        <w:tc>
          <w:tcPr>
            <w:tcW w:w="5610" w:type="dxa"/>
            <w:tcBorders>
              <w:top w:val="nil"/>
              <w:left w:val="nil"/>
              <w:bottom w:val="nil"/>
              <w:right w:val="nil"/>
            </w:tcBorders>
            <w:tcMar>
              <w:top w:w="0" w:type="dxa"/>
              <w:left w:w="62" w:type="dxa"/>
              <w:bottom w:w="0" w:type="dxa"/>
              <w:right w:w="62" w:type="dxa"/>
            </w:tcMar>
          </w:tcPr>
          <w:p w:rsidR="00000000" w:rsidP="00F4774F">
            <w:pPr>
              <w:pStyle w:val="BodyText"/>
              <w:rPr>
                <w:lang w:val="en-NZ"/>
              </w:rPr>
            </w:pPr>
            <w:r w:rsidRPr="00F4774F">
              <w:t>Ensure approp</w:t>
            </w:r>
            <w:r w:rsidRPr="00F4774F">
              <w:t>riate support, including licensed electrical, technical and professional assistance, is available</w:t>
            </w:r>
          </w:p>
        </w:tc>
      </w:tr>
      <w:tr w:rsidTr="00F4774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4774F">
            <w:pPr>
              <w:pStyle w:val="BodyText"/>
              <w:rPr>
                <w:lang w:val="en-NZ"/>
              </w:rPr>
            </w:pPr>
            <w:r w:rsidRPr="00F4774F">
              <w:t>1.6</w:t>
            </w:r>
          </w:p>
        </w:tc>
        <w:tc>
          <w:tcPr>
            <w:tcW w:w="5610" w:type="dxa"/>
            <w:tcBorders>
              <w:top w:val="nil"/>
              <w:left w:val="nil"/>
              <w:bottom w:val="nil"/>
              <w:right w:val="nil"/>
            </w:tcBorders>
            <w:tcMar>
              <w:top w:w="0" w:type="dxa"/>
              <w:left w:w="62" w:type="dxa"/>
              <w:bottom w:w="0" w:type="dxa"/>
              <w:right w:w="62" w:type="dxa"/>
            </w:tcMar>
          </w:tcPr>
          <w:p w:rsidR="00000000" w:rsidRPr="00F4774F" w:rsidP="00F4774F">
            <w:pPr>
              <w:pStyle w:val="BodyText"/>
            </w:pPr>
            <w:r w:rsidRPr="00F4774F">
              <w:t>Investigate sustainability implications of robotic applications</w:t>
            </w:r>
          </w:p>
        </w:tc>
      </w:tr>
    </w:tbl>
    <w:p w:rsidR="00000000" w:rsidRPr="00F4774F" w:rsidP="00F4774F">
      <w:pPr>
        <w:pStyle w:val="BodyText"/>
      </w:pPr>
    </w:p>
    <w:tbl>
      <w:tblPr>
        <w:tblW w:w="0" w:type="auto"/>
        <w:tblLayout w:type="fixed"/>
        <w:tblCellMar>
          <w:left w:w="62" w:type="dxa"/>
          <w:right w:w="62" w:type="dxa"/>
        </w:tblCellMar>
        <w:tblLook w:val="0000"/>
      </w:tblPr>
      <w:tblGrid>
        <w:gridCol w:w="678"/>
        <w:gridCol w:w="1962"/>
        <w:gridCol w:w="770"/>
        <w:gridCol w:w="5610"/>
      </w:tblGrid>
      <w:tr w:rsidTr="00F4774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F4774F">
            <w:pPr>
              <w:pStyle w:val="BodyText"/>
              <w:rPr>
                <w:lang w:val="en-NZ"/>
              </w:rPr>
            </w:pPr>
            <w:r w:rsidRPr="00F4774F">
              <w:t>2</w:t>
            </w:r>
          </w:p>
        </w:tc>
        <w:tc>
          <w:tcPr>
            <w:tcW w:w="1962" w:type="dxa"/>
            <w:vMerge w:val="restart"/>
            <w:tcBorders>
              <w:top w:val="nil"/>
              <w:left w:val="nil"/>
              <w:bottom w:val="nil"/>
              <w:right w:val="nil"/>
            </w:tcBorders>
            <w:tcMar>
              <w:top w:w="0" w:type="dxa"/>
              <w:left w:w="62" w:type="dxa"/>
              <w:bottom w:w="0" w:type="dxa"/>
              <w:right w:w="62" w:type="dxa"/>
            </w:tcMar>
          </w:tcPr>
          <w:p w:rsidR="00000000" w:rsidP="00F4774F">
            <w:pPr>
              <w:pStyle w:val="BodyText"/>
              <w:rPr>
                <w:lang w:val="en-NZ"/>
              </w:rPr>
            </w:pPr>
            <w:r w:rsidRPr="00F4774F">
              <w:t>Confirm existing features of robotics applications</w:t>
            </w:r>
          </w:p>
        </w:tc>
        <w:tc>
          <w:tcPr>
            <w:tcW w:w="770" w:type="dxa"/>
            <w:tcBorders>
              <w:top w:val="nil"/>
              <w:left w:val="nil"/>
              <w:bottom w:val="nil"/>
              <w:right w:val="nil"/>
            </w:tcBorders>
            <w:tcMar>
              <w:top w:w="0" w:type="dxa"/>
              <w:left w:w="62" w:type="dxa"/>
              <w:bottom w:w="0" w:type="dxa"/>
              <w:right w:w="62" w:type="dxa"/>
            </w:tcMar>
          </w:tcPr>
          <w:p w:rsidR="00000000" w:rsidP="00F4774F">
            <w:pPr>
              <w:pStyle w:val="BodyText"/>
              <w:rPr>
                <w:lang w:val="en-NZ"/>
              </w:rPr>
            </w:pPr>
            <w:r w:rsidRPr="00F4774F">
              <w:t>2.1</w:t>
            </w:r>
          </w:p>
        </w:tc>
        <w:tc>
          <w:tcPr>
            <w:tcW w:w="5610" w:type="dxa"/>
            <w:tcBorders>
              <w:top w:val="nil"/>
              <w:left w:val="nil"/>
              <w:bottom w:val="nil"/>
              <w:right w:val="nil"/>
            </w:tcBorders>
            <w:tcMar>
              <w:top w:w="0" w:type="dxa"/>
              <w:left w:w="62" w:type="dxa"/>
              <w:bottom w:w="0" w:type="dxa"/>
              <w:right w:w="62" w:type="dxa"/>
            </w:tcMar>
          </w:tcPr>
          <w:p w:rsidR="00000000" w:rsidP="00F4774F">
            <w:pPr>
              <w:pStyle w:val="BodyText"/>
              <w:rPr>
                <w:lang w:val="en-NZ"/>
              </w:rPr>
            </w:pPr>
            <w:r w:rsidRPr="00F4774F">
              <w:t>Review features and functions of robotic applications and classify industrial robotic devices</w:t>
            </w:r>
          </w:p>
        </w:tc>
      </w:tr>
      <w:tr w:rsidTr="00F4774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4774F">
            <w:pPr>
              <w:pStyle w:val="BodyText"/>
              <w:rPr>
                <w:lang w:val="en-NZ"/>
              </w:rPr>
            </w:pPr>
            <w:r w:rsidRPr="00F4774F">
              <w:t>2.2</w:t>
            </w:r>
          </w:p>
        </w:tc>
        <w:tc>
          <w:tcPr>
            <w:tcW w:w="5610" w:type="dxa"/>
            <w:tcBorders>
              <w:top w:val="nil"/>
              <w:left w:val="nil"/>
              <w:bottom w:val="nil"/>
              <w:right w:val="nil"/>
            </w:tcBorders>
            <w:tcMar>
              <w:top w:w="0" w:type="dxa"/>
              <w:left w:w="62" w:type="dxa"/>
              <w:bottom w:w="0" w:type="dxa"/>
              <w:right w:w="62" w:type="dxa"/>
            </w:tcMar>
          </w:tcPr>
          <w:p w:rsidR="00000000" w:rsidP="00F4774F">
            <w:pPr>
              <w:pStyle w:val="BodyText"/>
              <w:rPr>
                <w:lang w:val="en-NZ"/>
              </w:rPr>
            </w:pPr>
            <w:r w:rsidRPr="00F4774F">
              <w:t xml:space="preserve">Review robots and robotic elements </w:t>
            </w:r>
          </w:p>
        </w:tc>
      </w:tr>
      <w:tr w:rsidTr="00F4774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4774F">
            <w:pPr>
              <w:pStyle w:val="BodyText"/>
              <w:rPr>
                <w:lang w:val="en-NZ"/>
              </w:rPr>
            </w:pPr>
            <w:r w:rsidRPr="00F4774F">
              <w:t>2.3</w:t>
            </w:r>
          </w:p>
        </w:tc>
        <w:tc>
          <w:tcPr>
            <w:tcW w:w="5610" w:type="dxa"/>
            <w:tcBorders>
              <w:top w:val="nil"/>
              <w:left w:val="nil"/>
              <w:bottom w:val="nil"/>
              <w:right w:val="nil"/>
            </w:tcBorders>
            <w:tcMar>
              <w:top w:w="0" w:type="dxa"/>
              <w:left w:w="62" w:type="dxa"/>
              <w:bottom w:w="0" w:type="dxa"/>
              <w:right w:w="62" w:type="dxa"/>
            </w:tcMar>
          </w:tcPr>
          <w:p w:rsidR="00000000" w:rsidP="00F4774F">
            <w:pPr>
              <w:pStyle w:val="BodyText"/>
              <w:rPr>
                <w:lang w:val="en-NZ"/>
              </w:rPr>
            </w:pPr>
            <w:r w:rsidRPr="00F4774F">
              <w:t>Identify robotic principles and techniques required to evaluate and optimise the processes</w:t>
            </w:r>
          </w:p>
        </w:tc>
      </w:tr>
      <w:tr w:rsidTr="00F4774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4774F">
            <w:pPr>
              <w:pStyle w:val="BodyText"/>
              <w:rPr>
                <w:lang w:val="en-NZ"/>
              </w:rPr>
            </w:pPr>
            <w:r w:rsidRPr="00F4774F">
              <w:t>2.4</w:t>
            </w:r>
          </w:p>
        </w:tc>
        <w:tc>
          <w:tcPr>
            <w:tcW w:w="5610" w:type="dxa"/>
            <w:tcBorders>
              <w:top w:val="nil"/>
              <w:left w:val="nil"/>
              <w:bottom w:val="nil"/>
              <w:right w:val="nil"/>
            </w:tcBorders>
            <w:tcMar>
              <w:top w:w="0" w:type="dxa"/>
              <w:left w:w="62" w:type="dxa"/>
              <w:bottom w:w="0" w:type="dxa"/>
              <w:right w:w="62" w:type="dxa"/>
            </w:tcMar>
          </w:tcPr>
          <w:p w:rsidR="00000000" w:rsidRPr="00F4774F" w:rsidP="00F4774F">
            <w:pPr>
              <w:pStyle w:val="BodyText"/>
            </w:pPr>
            <w:r w:rsidRPr="00F4774F">
              <w:t>Identify appropriate analysis techniques, software and software validation techniques</w:t>
            </w:r>
          </w:p>
        </w:tc>
      </w:tr>
    </w:tbl>
    <w:p w:rsidR="00000000" w:rsidRPr="00F4774F" w:rsidP="00F4774F">
      <w:pPr>
        <w:pStyle w:val="BodyText"/>
      </w:pPr>
    </w:p>
    <w:tbl>
      <w:tblPr>
        <w:tblW w:w="0" w:type="auto"/>
        <w:tblLayout w:type="fixed"/>
        <w:tblCellMar>
          <w:left w:w="62" w:type="dxa"/>
          <w:right w:w="62" w:type="dxa"/>
        </w:tblCellMar>
        <w:tblLook w:val="0000"/>
      </w:tblPr>
      <w:tblGrid>
        <w:gridCol w:w="678"/>
        <w:gridCol w:w="1962"/>
        <w:gridCol w:w="770"/>
        <w:gridCol w:w="5610"/>
      </w:tblGrid>
      <w:tr w:rsidTr="00F4774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F4774F">
            <w:pPr>
              <w:pStyle w:val="BodyText"/>
              <w:rPr>
                <w:lang w:val="en-NZ"/>
              </w:rPr>
            </w:pPr>
            <w:r w:rsidRPr="00F4774F">
              <w:t>3</w:t>
            </w:r>
          </w:p>
        </w:tc>
        <w:tc>
          <w:tcPr>
            <w:tcW w:w="1962" w:type="dxa"/>
            <w:vMerge w:val="restart"/>
            <w:tcBorders>
              <w:top w:val="nil"/>
              <w:left w:val="nil"/>
              <w:bottom w:val="nil"/>
              <w:right w:val="nil"/>
            </w:tcBorders>
            <w:tcMar>
              <w:top w:w="0" w:type="dxa"/>
              <w:left w:w="62" w:type="dxa"/>
              <w:bottom w:w="0" w:type="dxa"/>
              <w:right w:w="62" w:type="dxa"/>
            </w:tcMar>
          </w:tcPr>
          <w:p w:rsidR="00000000" w:rsidP="00F4774F">
            <w:pPr>
              <w:pStyle w:val="BodyText"/>
              <w:rPr>
                <w:lang w:val="en-NZ"/>
              </w:rPr>
            </w:pPr>
            <w:r w:rsidRPr="00F4774F">
              <w:t>Evaluate robotic applications</w:t>
            </w:r>
          </w:p>
        </w:tc>
        <w:tc>
          <w:tcPr>
            <w:tcW w:w="770" w:type="dxa"/>
            <w:tcBorders>
              <w:top w:val="nil"/>
              <w:left w:val="nil"/>
              <w:bottom w:val="nil"/>
              <w:right w:val="nil"/>
            </w:tcBorders>
            <w:tcMar>
              <w:top w:w="0" w:type="dxa"/>
              <w:left w:w="62" w:type="dxa"/>
              <w:bottom w:w="0" w:type="dxa"/>
              <w:right w:w="62" w:type="dxa"/>
            </w:tcMar>
          </w:tcPr>
          <w:p w:rsidR="00000000" w:rsidP="00F4774F">
            <w:pPr>
              <w:pStyle w:val="BodyText"/>
              <w:rPr>
                <w:lang w:val="en-NZ"/>
              </w:rPr>
            </w:pPr>
            <w:r w:rsidRPr="00F4774F">
              <w:t>3.1</w:t>
            </w:r>
          </w:p>
        </w:tc>
        <w:tc>
          <w:tcPr>
            <w:tcW w:w="5610" w:type="dxa"/>
            <w:tcBorders>
              <w:top w:val="nil"/>
              <w:left w:val="nil"/>
              <w:bottom w:val="nil"/>
              <w:right w:val="nil"/>
            </w:tcBorders>
            <w:tcMar>
              <w:top w:w="0" w:type="dxa"/>
              <w:left w:w="62" w:type="dxa"/>
              <w:bottom w:w="0" w:type="dxa"/>
              <w:right w:w="62" w:type="dxa"/>
            </w:tcMar>
          </w:tcPr>
          <w:p w:rsidR="00000000" w:rsidP="00F4774F">
            <w:pPr>
              <w:pStyle w:val="BodyText"/>
              <w:rPr>
                <w:lang w:val="en-NZ"/>
              </w:rPr>
            </w:pPr>
            <w:r w:rsidRPr="00F4774F">
              <w:t>Assess robotic hardware, sensors/transducers, signal conditioning, controllers, power interfaces, actuators and interface with the e</w:t>
            </w:r>
            <w:r w:rsidRPr="00F4774F">
              <w:t>nd effectors</w:t>
            </w:r>
          </w:p>
        </w:tc>
      </w:tr>
      <w:tr w:rsidTr="00F4774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4774F">
            <w:pPr>
              <w:pStyle w:val="BodyText"/>
              <w:rPr>
                <w:lang w:val="en-NZ"/>
              </w:rPr>
            </w:pPr>
            <w:r w:rsidRPr="00F4774F">
              <w:t>3.2</w:t>
            </w:r>
          </w:p>
        </w:tc>
        <w:tc>
          <w:tcPr>
            <w:tcW w:w="5610" w:type="dxa"/>
            <w:tcBorders>
              <w:top w:val="nil"/>
              <w:left w:val="nil"/>
              <w:bottom w:val="nil"/>
              <w:right w:val="nil"/>
            </w:tcBorders>
            <w:tcMar>
              <w:top w:w="0" w:type="dxa"/>
              <w:left w:w="62" w:type="dxa"/>
              <w:bottom w:w="0" w:type="dxa"/>
              <w:right w:w="62" w:type="dxa"/>
            </w:tcMar>
          </w:tcPr>
          <w:p w:rsidR="00000000" w:rsidP="00F4774F">
            <w:pPr>
              <w:pStyle w:val="BodyText"/>
              <w:rPr>
                <w:lang w:val="en-NZ"/>
              </w:rPr>
            </w:pPr>
            <w:r w:rsidRPr="00F4774F">
              <w:t>Assess motion analysis, load capability, accuracy, precision and repeatability</w:t>
            </w:r>
          </w:p>
        </w:tc>
      </w:tr>
      <w:tr w:rsidTr="00F4774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4774F">
            <w:pPr>
              <w:pStyle w:val="BodyText"/>
              <w:rPr>
                <w:lang w:val="en-NZ"/>
              </w:rPr>
            </w:pPr>
            <w:r w:rsidRPr="00F4774F">
              <w:t>3.3</w:t>
            </w:r>
          </w:p>
        </w:tc>
        <w:tc>
          <w:tcPr>
            <w:tcW w:w="5610" w:type="dxa"/>
            <w:tcBorders>
              <w:top w:val="nil"/>
              <w:left w:val="nil"/>
              <w:bottom w:val="nil"/>
              <w:right w:val="nil"/>
            </w:tcBorders>
            <w:tcMar>
              <w:top w:w="0" w:type="dxa"/>
              <w:left w:w="62" w:type="dxa"/>
              <w:bottom w:w="0" w:type="dxa"/>
              <w:right w:w="62" w:type="dxa"/>
            </w:tcMar>
          </w:tcPr>
          <w:p w:rsidR="00000000" w:rsidP="00F4774F">
            <w:pPr>
              <w:pStyle w:val="BodyText"/>
              <w:rPr>
                <w:lang w:val="en-NZ"/>
              </w:rPr>
            </w:pPr>
            <w:r w:rsidRPr="00F4774F">
              <w:t>Assess system integration, networks, data sharing, control and human machine interfaces</w:t>
            </w:r>
          </w:p>
        </w:tc>
      </w:tr>
      <w:tr w:rsidTr="00F4774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4774F">
            <w:pPr>
              <w:pStyle w:val="BodyText"/>
              <w:rPr>
                <w:lang w:val="en-NZ"/>
              </w:rPr>
            </w:pPr>
            <w:r w:rsidRPr="00F4774F">
              <w:t>3.4</w:t>
            </w:r>
          </w:p>
        </w:tc>
        <w:tc>
          <w:tcPr>
            <w:tcW w:w="5610" w:type="dxa"/>
            <w:tcBorders>
              <w:top w:val="nil"/>
              <w:left w:val="nil"/>
              <w:bottom w:val="nil"/>
              <w:right w:val="nil"/>
            </w:tcBorders>
            <w:tcMar>
              <w:top w:w="0" w:type="dxa"/>
              <w:left w:w="62" w:type="dxa"/>
              <w:bottom w:w="0" w:type="dxa"/>
              <w:right w:w="62" w:type="dxa"/>
            </w:tcMar>
          </w:tcPr>
          <w:p w:rsidR="00000000" w:rsidP="00F4774F">
            <w:pPr>
              <w:pStyle w:val="BodyText"/>
              <w:rPr>
                <w:lang w:val="en-NZ"/>
              </w:rPr>
            </w:pPr>
            <w:r w:rsidRPr="00F4774F">
              <w:t>Assess software and programming techniques for controllers, distributed control system (DCS), system control and data acquisition (SCADA) and system simulation</w:t>
            </w:r>
          </w:p>
        </w:tc>
      </w:tr>
      <w:tr w:rsidTr="00F4774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4774F">
            <w:pPr>
              <w:pStyle w:val="BodyText"/>
              <w:rPr>
                <w:lang w:val="en-NZ"/>
              </w:rPr>
            </w:pPr>
            <w:r w:rsidRPr="00F4774F">
              <w:t>3.5</w:t>
            </w:r>
          </w:p>
        </w:tc>
        <w:tc>
          <w:tcPr>
            <w:tcW w:w="5610" w:type="dxa"/>
            <w:tcBorders>
              <w:top w:val="nil"/>
              <w:left w:val="nil"/>
              <w:bottom w:val="nil"/>
              <w:right w:val="nil"/>
            </w:tcBorders>
            <w:tcMar>
              <w:top w:w="0" w:type="dxa"/>
              <w:left w:w="62" w:type="dxa"/>
              <w:bottom w:w="0" w:type="dxa"/>
              <w:right w:w="62" w:type="dxa"/>
            </w:tcMar>
          </w:tcPr>
          <w:p w:rsidR="00000000" w:rsidP="00F4774F">
            <w:pPr>
              <w:pStyle w:val="BodyText"/>
              <w:rPr>
                <w:lang w:val="en-NZ"/>
              </w:rPr>
            </w:pPr>
            <w:r w:rsidRPr="00F4774F">
              <w:t>Assess compliance of robot and system with WHS and regulatory requirements, codes of prac</w:t>
            </w:r>
            <w:r w:rsidRPr="00F4774F">
              <w:t xml:space="preserve">tice, standards and risk management requirements </w:t>
            </w:r>
          </w:p>
        </w:tc>
      </w:tr>
      <w:tr w:rsidTr="00F4774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4774F">
            <w:pPr>
              <w:pStyle w:val="BodyText"/>
              <w:rPr>
                <w:lang w:val="en-NZ"/>
              </w:rPr>
            </w:pPr>
            <w:r w:rsidRPr="00F4774F">
              <w:t>3.6</w:t>
            </w:r>
          </w:p>
        </w:tc>
        <w:tc>
          <w:tcPr>
            <w:tcW w:w="5610" w:type="dxa"/>
            <w:tcBorders>
              <w:top w:val="nil"/>
              <w:left w:val="nil"/>
              <w:bottom w:val="nil"/>
              <w:right w:val="nil"/>
            </w:tcBorders>
            <w:tcMar>
              <w:top w:w="0" w:type="dxa"/>
              <w:left w:w="62" w:type="dxa"/>
              <w:bottom w:w="0" w:type="dxa"/>
              <w:right w:w="62" w:type="dxa"/>
            </w:tcMar>
          </w:tcPr>
          <w:p w:rsidR="00000000" w:rsidP="00F4774F">
            <w:pPr>
              <w:pStyle w:val="BodyText"/>
              <w:rPr>
                <w:lang w:val="en-NZ"/>
              </w:rPr>
            </w:pPr>
            <w:r w:rsidRPr="00F4774F">
              <w:t>Apply mock-up and prototyping techniques for robot and subsystem testing</w:t>
            </w:r>
          </w:p>
        </w:tc>
      </w:tr>
      <w:tr w:rsidTr="00F4774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4774F">
            <w:pPr>
              <w:pStyle w:val="BodyText"/>
              <w:rPr>
                <w:lang w:val="en-NZ"/>
              </w:rPr>
            </w:pPr>
            <w:r w:rsidRPr="00F4774F">
              <w:t>3.7</w:t>
            </w:r>
          </w:p>
        </w:tc>
        <w:tc>
          <w:tcPr>
            <w:tcW w:w="5610" w:type="dxa"/>
            <w:tcBorders>
              <w:top w:val="nil"/>
              <w:left w:val="nil"/>
              <w:bottom w:val="nil"/>
              <w:right w:val="nil"/>
            </w:tcBorders>
            <w:tcMar>
              <w:top w:w="0" w:type="dxa"/>
              <w:left w:w="62" w:type="dxa"/>
              <w:bottom w:w="0" w:type="dxa"/>
              <w:right w:w="62" w:type="dxa"/>
            </w:tcMar>
          </w:tcPr>
          <w:p w:rsidR="00000000" w:rsidRPr="00F4774F" w:rsidP="00F4774F">
            <w:pPr>
              <w:pStyle w:val="BodyText"/>
            </w:pPr>
            <w:r w:rsidRPr="00F4774F">
              <w:t>Assess sustainability implications of robotic application</w:t>
            </w:r>
          </w:p>
        </w:tc>
      </w:tr>
    </w:tbl>
    <w:p w:rsidR="00000000" w:rsidRPr="00F4774F" w:rsidP="00F4774F">
      <w:pPr>
        <w:pStyle w:val="BodyText"/>
      </w:pPr>
    </w:p>
    <w:tbl>
      <w:tblPr>
        <w:tblW w:w="0" w:type="auto"/>
        <w:tblLayout w:type="fixed"/>
        <w:tblCellMar>
          <w:left w:w="62" w:type="dxa"/>
          <w:right w:w="62" w:type="dxa"/>
        </w:tblCellMar>
        <w:tblLook w:val="0000"/>
      </w:tblPr>
      <w:tblGrid>
        <w:gridCol w:w="678"/>
        <w:gridCol w:w="1962"/>
        <w:gridCol w:w="770"/>
        <w:gridCol w:w="5610"/>
      </w:tblGrid>
      <w:tr w:rsidTr="00F4774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F4774F">
            <w:pPr>
              <w:pStyle w:val="BodyText"/>
              <w:rPr>
                <w:lang w:val="en-NZ"/>
              </w:rPr>
            </w:pPr>
            <w:r w:rsidRPr="00F4774F">
              <w:t>4</w:t>
            </w:r>
          </w:p>
        </w:tc>
        <w:tc>
          <w:tcPr>
            <w:tcW w:w="1962" w:type="dxa"/>
            <w:vMerge w:val="restart"/>
            <w:tcBorders>
              <w:top w:val="nil"/>
              <w:left w:val="nil"/>
              <w:bottom w:val="nil"/>
              <w:right w:val="nil"/>
            </w:tcBorders>
            <w:tcMar>
              <w:top w:w="0" w:type="dxa"/>
              <w:left w:w="62" w:type="dxa"/>
              <w:bottom w:w="0" w:type="dxa"/>
              <w:right w:w="62" w:type="dxa"/>
            </w:tcMar>
          </w:tcPr>
          <w:p w:rsidR="00000000" w:rsidP="00F4774F">
            <w:pPr>
              <w:pStyle w:val="BodyText"/>
              <w:rPr>
                <w:lang w:val="en-NZ"/>
              </w:rPr>
            </w:pPr>
            <w:r w:rsidRPr="00F4774F">
              <w:t>Report results</w:t>
            </w:r>
          </w:p>
        </w:tc>
        <w:tc>
          <w:tcPr>
            <w:tcW w:w="770" w:type="dxa"/>
            <w:tcBorders>
              <w:top w:val="nil"/>
              <w:left w:val="nil"/>
              <w:bottom w:val="nil"/>
              <w:right w:val="nil"/>
            </w:tcBorders>
            <w:tcMar>
              <w:top w:w="0" w:type="dxa"/>
              <w:left w:w="62" w:type="dxa"/>
              <w:bottom w:w="0" w:type="dxa"/>
              <w:right w:w="62" w:type="dxa"/>
            </w:tcMar>
          </w:tcPr>
          <w:p w:rsidR="00000000" w:rsidP="00F4774F">
            <w:pPr>
              <w:pStyle w:val="BodyText"/>
              <w:rPr>
                <w:lang w:val="en-NZ"/>
              </w:rPr>
            </w:pPr>
            <w:r w:rsidRPr="00F4774F">
              <w:t>4.1</w:t>
            </w:r>
          </w:p>
        </w:tc>
        <w:tc>
          <w:tcPr>
            <w:tcW w:w="5610" w:type="dxa"/>
            <w:tcBorders>
              <w:top w:val="nil"/>
              <w:left w:val="nil"/>
              <w:bottom w:val="nil"/>
              <w:right w:val="nil"/>
            </w:tcBorders>
            <w:tcMar>
              <w:top w:w="0" w:type="dxa"/>
              <w:left w:w="62" w:type="dxa"/>
              <w:bottom w:w="0" w:type="dxa"/>
              <w:right w:w="62" w:type="dxa"/>
            </w:tcMar>
          </w:tcPr>
          <w:p w:rsidR="00000000" w:rsidP="00F4774F">
            <w:pPr>
              <w:pStyle w:val="BodyText"/>
              <w:rPr>
                <w:lang w:val="en-NZ"/>
              </w:rPr>
            </w:pPr>
            <w:r w:rsidRPr="00F4774F">
              <w:t xml:space="preserve">Record results of evaluation </w:t>
            </w:r>
          </w:p>
        </w:tc>
      </w:tr>
      <w:tr w:rsidTr="00F4774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4774F">
            <w:pPr>
              <w:pStyle w:val="BodyText"/>
              <w:rPr>
                <w:lang w:val="en-NZ"/>
              </w:rPr>
            </w:pPr>
            <w:r w:rsidRPr="00F4774F">
              <w:t>4.2</w:t>
            </w:r>
          </w:p>
        </w:tc>
        <w:tc>
          <w:tcPr>
            <w:tcW w:w="5610" w:type="dxa"/>
            <w:tcBorders>
              <w:top w:val="nil"/>
              <w:left w:val="nil"/>
              <w:bottom w:val="nil"/>
              <w:right w:val="nil"/>
            </w:tcBorders>
            <w:tcMar>
              <w:top w:w="0" w:type="dxa"/>
              <w:left w:w="62" w:type="dxa"/>
              <w:bottom w:w="0" w:type="dxa"/>
              <w:right w:w="62" w:type="dxa"/>
            </w:tcMar>
          </w:tcPr>
          <w:p w:rsidR="00000000" w:rsidRPr="00F4774F" w:rsidP="00F4774F">
            <w:pPr>
              <w:pStyle w:val="BodyText"/>
            </w:pPr>
            <w:r w:rsidRPr="00F4774F">
              <w:t xml:space="preserve">Provide documentation, such as calculations, specifications, diagrams, computer programs and files, and mock-ups or prototypes </w:t>
            </w:r>
          </w:p>
        </w:tc>
      </w:tr>
    </w:tbl>
    <w:p w:rsidR="0009326B" w:rsidP="00F4774F">
      <w:pPr>
        <w:pStyle w:val="BodyText"/>
      </w:pPr>
    </w:p>
    <w:p w:rsidR="0009326B" w:rsidP="00F4774F">
      <w:pPr>
        <w:pStyle w:val="BodyText"/>
      </w:pPr>
    </w:p>
    <w:p w:rsidR="00000000" w:rsidRPr="00F4774F" w:rsidP="00F4774F">
      <w:pPr>
        <w:pStyle w:val="Heading1"/>
      </w:pPr>
      <w:bookmarkStart w:id="9" w:name="O_520043"/>
      <w:bookmarkEnd w:id="9"/>
      <w:r w:rsidRPr="00F4774F">
        <w:t>Required Skills and Knowledge</w:t>
      </w:r>
    </w:p>
    <w:tbl>
      <w:tblPr>
        <w:tblW w:w="9462" w:type="dxa"/>
        <w:tblLayout w:type="fixed"/>
        <w:tblCellMar>
          <w:left w:w="62" w:type="dxa"/>
          <w:right w:w="62" w:type="dxa"/>
        </w:tblCellMar>
        <w:tblLook w:val="0000"/>
      </w:tblPr>
      <w:tblGrid>
        <w:gridCol w:w="9462"/>
      </w:tblGrid>
      <w:tr w:rsidTr="00F4774F">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F4774F">
            <w:pPr>
              <w:pStyle w:val="BodyText"/>
              <w:rPr>
                <w:lang w:val="en-NZ"/>
              </w:rPr>
            </w:pPr>
            <w:r w:rsidRPr="00F4774F">
              <w:t>This section describes the skills and knowledge required for this unit.</w:t>
            </w:r>
          </w:p>
        </w:tc>
      </w:tr>
      <w:tr w:rsidTr="00F4774F">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F4774F">
            <w:pPr>
              <w:pStyle w:val="BodyText"/>
              <w:rPr>
                <w:lang w:val="en-NZ"/>
              </w:rPr>
            </w:pPr>
            <w:r w:rsidRPr="00F4774F">
              <w:rPr>
                <w:rStyle w:val="SpecialBold"/>
              </w:rPr>
              <w:t>Required skills</w:t>
            </w:r>
          </w:p>
        </w:tc>
      </w:tr>
      <w:tr w:rsidTr="00F4774F">
        <w:tblPrEx>
          <w:tblW w:w="9462" w:type="dxa"/>
          <w:tblLayout w:type="fixed"/>
          <w:tblCellMar>
            <w:left w:w="62" w:type="dxa"/>
            <w:right w:w="62" w:type="dxa"/>
          </w:tblCellMar>
          <w:tblLook w:val="0000"/>
        </w:tblPrEx>
        <w:trPr>
          <w:trHeight w:val="416"/>
        </w:trPr>
        <w:tc>
          <w:tcPr>
            <w:tcW w:w="9462" w:type="dxa"/>
            <w:tcBorders>
              <w:top w:val="nil"/>
              <w:left w:val="nil"/>
              <w:bottom w:val="nil"/>
              <w:right w:val="nil"/>
            </w:tcBorders>
            <w:tcMar>
              <w:top w:w="0" w:type="dxa"/>
              <w:left w:w="62" w:type="dxa"/>
              <w:bottom w:w="0" w:type="dxa"/>
              <w:right w:w="62" w:type="dxa"/>
            </w:tcMar>
          </w:tcPr>
          <w:p w:rsidR="00000000" w:rsidRPr="00F4774F" w:rsidP="00F4774F">
            <w:pPr>
              <w:pStyle w:val="BodyText"/>
            </w:pPr>
            <w:r w:rsidRPr="00F4774F">
              <w:t>Required skills include:</w:t>
            </w:r>
          </w:p>
          <w:p w:rsidR="00000000" w:rsidRPr="00F4774F" w:rsidP="00F4774F">
            <w:pPr>
              <w:pStyle w:val="ListBullet"/>
            </w:pPr>
            <w:r w:rsidRPr="00F4774F">
              <w:t>identifying, reviewing and classifying features and functions of robotic applications and robotic devices, including relevant robotic principles and techniques, analysis techniques and software</w:t>
            </w:r>
          </w:p>
          <w:p w:rsidR="00000000" w:rsidRPr="00F4774F" w:rsidP="00F4774F">
            <w:pPr>
              <w:pStyle w:val="ListBullet"/>
            </w:pPr>
            <w:r w:rsidRPr="00F4774F">
              <w:t>ensuring safe electrical working practice, including use of licensed personnel, where required</w:t>
            </w:r>
          </w:p>
          <w:p w:rsidR="00000000" w:rsidRPr="00F4774F" w:rsidP="00F4774F">
            <w:pPr>
              <w:pStyle w:val="ListBullet"/>
            </w:pPr>
            <w:r w:rsidRPr="00F4774F">
              <w:t>identifying WHS and regulatory requirements, and risk management compliance with particular emphasis on automation safety</w:t>
            </w:r>
          </w:p>
          <w:p w:rsidR="00000000" w:rsidRPr="00F4774F" w:rsidP="00F4774F">
            <w:pPr>
              <w:pStyle w:val="ListBullet"/>
            </w:pPr>
            <w:r w:rsidRPr="00F4774F">
              <w:t>investigating sustainability implicatio</w:t>
            </w:r>
            <w:r w:rsidRPr="00F4774F">
              <w:t>ns of robotic applications</w:t>
            </w:r>
          </w:p>
          <w:p w:rsidR="00000000" w:rsidRPr="00F4774F" w:rsidP="00F4774F">
            <w:pPr>
              <w:pStyle w:val="ListBullet"/>
            </w:pPr>
            <w:r w:rsidRPr="00F4774F">
              <w:t>determining safety, condition, efficiency and functionality of robotics and associated applications, including:</w:t>
            </w:r>
          </w:p>
          <w:p w:rsidR="00000000" w:rsidRPr="00F4774F" w:rsidP="00F4774F">
            <w:pPr>
              <w:pStyle w:val="ListBullet2"/>
            </w:pPr>
            <w:r w:rsidRPr="00F4774F">
              <w:t xml:space="preserve">controller functions and programming </w:t>
            </w:r>
          </w:p>
          <w:p w:rsidR="00000000" w:rsidRPr="00F4774F" w:rsidP="00F4774F">
            <w:pPr>
              <w:pStyle w:val="ListBullet2"/>
            </w:pPr>
            <w:r w:rsidRPr="00F4774F">
              <w:t xml:space="preserve">network and system interfacing </w:t>
            </w:r>
          </w:p>
          <w:p w:rsidR="00000000" w:rsidRPr="00F4774F" w:rsidP="00F4774F">
            <w:pPr>
              <w:pStyle w:val="ListBullet2"/>
            </w:pPr>
            <w:r w:rsidRPr="00F4774F">
              <w:t>compliance with WHS and regulatory requirement</w:t>
            </w:r>
            <w:r w:rsidRPr="00F4774F">
              <w:t>s</w:t>
            </w:r>
          </w:p>
          <w:p w:rsidR="00000000" w:rsidRPr="00F4774F" w:rsidP="00F4774F">
            <w:pPr>
              <w:pStyle w:val="ListBullet2"/>
            </w:pPr>
            <w:r w:rsidRPr="00F4774F">
              <w:t>automation safety</w:t>
            </w:r>
          </w:p>
          <w:p w:rsidR="00000000" w:rsidRPr="00F4774F" w:rsidP="00F4774F">
            <w:pPr>
              <w:pStyle w:val="ListBullet2"/>
            </w:pPr>
            <w:r w:rsidRPr="00F4774F">
              <w:t>robotic hardware</w:t>
            </w:r>
          </w:p>
          <w:p w:rsidR="00000000" w:rsidRPr="00F4774F" w:rsidP="00F4774F">
            <w:pPr>
              <w:pStyle w:val="ListBullet2"/>
            </w:pPr>
            <w:r w:rsidRPr="00F4774F">
              <w:t>sensors/transducers</w:t>
            </w:r>
          </w:p>
          <w:p w:rsidR="00000000" w:rsidRPr="00F4774F" w:rsidP="00F4774F">
            <w:pPr>
              <w:pStyle w:val="ListBullet2"/>
            </w:pPr>
            <w:r w:rsidRPr="00F4774F">
              <w:t>signal conditioning</w:t>
            </w:r>
          </w:p>
          <w:p w:rsidR="00000000" w:rsidRPr="00F4774F" w:rsidP="00F4774F">
            <w:pPr>
              <w:pStyle w:val="ListBullet2"/>
            </w:pPr>
            <w:r w:rsidRPr="00F4774F">
              <w:t>controllers</w:t>
            </w:r>
          </w:p>
          <w:p w:rsidR="00000000" w:rsidRPr="00F4774F" w:rsidP="00F4774F">
            <w:pPr>
              <w:pStyle w:val="ListBullet2"/>
            </w:pPr>
            <w:r w:rsidRPr="00F4774F">
              <w:t>power interfaces</w:t>
            </w:r>
          </w:p>
          <w:p w:rsidR="00000000" w:rsidRPr="00F4774F" w:rsidP="00F4774F">
            <w:pPr>
              <w:pStyle w:val="ListBullet2"/>
            </w:pPr>
            <w:r w:rsidRPr="00F4774F">
              <w:t>actuators and end effectors</w:t>
            </w:r>
          </w:p>
          <w:p w:rsidR="00000000" w:rsidRPr="00F4774F" w:rsidP="00F4774F">
            <w:pPr>
              <w:pStyle w:val="ListBullet"/>
            </w:pPr>
            <w:r w:rsidRPr="00F4774F">
              <w:t>evaluating robotic motion, including:</w:t>
            </w:r>
          </w:p>
          <w:p w:rsidR="00000000" w:rsidRPr="00F4774F" w:rsidP="00F4774F">
            <w:pPr>
              <w:pStyle w:val="ListBullet2"/>
            </w:pPr>
            <w:r w:rsidRPr="00F4774F">
              <w:t>load capability</w:t>
            </w:r>
          </w:p>
          <w:p w:rsidR="00000000" w:rsidRPr="00F4774F" w:rsidP="00F4774F">
            <w:pPr>
              <w:pStyle w:val="ListBullet2"/>
            </w:pPr>
            <w:r w:rsidRPr="00F4774F">
              <w:t>accuracy</w:t>
            </w:r>
          </w:p>
          <w:p w:rsidR="00000000" w:rsidRPr="00F4774F" w:rsidP="00F4774F">
            <w:pPr>
              <w:pStyle w:val="ListBullet2"/>
            </w:pPr>
            <w:r w:rsidRPr="00F4774F">
              <w:t>repeatability</w:t>
            </w:r>
          </w:p>
          <w:p w:rsidR="00000000" w:rsidRPr="00F4774F" w:rsidP="00F4774F">
            <w:pPr>
              <w:pStyle w:val="ListBullet2"/>
            </w:pPr>
            <w:r w:rsidRPr="00F4774F">
              <w:t>efficiency</w:t>
            </w:r>
          </w:p>
          <w:p w:rsidR="00000000" w:rsidRPr="00F4774F" w:rsidP="00F4774F">
            <w:pPr>
              <w:pStyle w:val="ListBullet"/>
            </w:pPr>
            <w:r w:rsidRPr="00F4774F">
              <w:t>determining efficiency and effectiveness of robotic interfacing, including:</w:t>
            </w:r>
          </w:p>
          <w:p w:rsidR="00000000" w:rsidRPr="00F4774F" w:rsidP="00F4774F">
            <w:pPr>
              <w:pStyle w:val="ListBullet2"/>
            </w:pPr>
            <w:r w:rsidRPr="00F4774F">
              <w:t>system integration and networks</w:t>
            </w:r>
          </w:p>
          <w:p w:rsidR="00000000" w:rsidRPr="00F4774F" w:rsidP="00F4774F">
            <w:pPr>
              <w:pStyle w:val="ListBullet2"/>
            </w:pPr>
            <w:r w:rsidRPr="00F4774F">
              <w:t xml:space="preserve">data sharing </w:t>
            </w:r>
          </w:p>
          <w:p w:rsidR="00000000" w:rsidRPr="00F4774F" w:rsidP="00F4774F">
            <w:pPr>
              <w:pStyle w:val="ListBullet2"/>
            </w:pPr>
            <w:r w:rsidRPr="00F4774F">
              <w:t>control and human machine interfaces</w:t>
            </w:r>
          </w:p>
          <w:p w:rsidR="00000000" w:rsidRPr="00F4774F" w:rsidP="00F4774F">
            <w:pPr>
              <w:pStyle w:val="ListBullet2"/>
            </w:pPr>
            <w:r w:rsidRPr="00F4774F">
              <w:t>software and programming</w:t>
            </w:r>
          </w:p>
          <w:p w:rsidR="00000000" w:rsidRPr="00F4774F" w:rsidP="00F4774F">
            <w:pPr>
              <w:pStyle w:val="ListBullet2"/>
            </w:pPr>
            <w:r w:rsidRPr="00F4774F">
              <w:t>SCADA or DCS and system simulation</w:t>
            </w:r>
          </w:p>
          <w:p w:rsidR="00000000" w:rsidRPr="00F4774F" w:rsidP="00F4774F">
            <w:pPr>
              <w:pStyle w:val="ListBullet"/>
            </w:pPr>
            <w:r w:rsidRPr="00F4774F">
              <w:t>applying mock-up, prototyping and v</w:t>
            </w:r>
            <w:r w:rsidRPr="00F4774F">
              <w:t>irtual techniques for robot and subsystem testing</w:t>
            </w:r>
          </w:p>
          <w:p w:rsidR="00000000" w:rsidP="00F4774F">
            <w:pPr>
              <w:pStyle w:val="ListBullet"/>
              <w:rPr>
                <w:lang w:val="en-NZ"/>
              </w:rPr>
            </w:pPr>
            <w:r w:rsidRPr="00F4774F">
              <w:t>reporting and documenting results of evaluation, including calculations, specifications, diagrams, computer programs and files, and mock-ups or prototypes</w:t>
            </w:r>
          </w:p>
        </w:tc>
      </w:tr>
      <w:tr w:rsidTr="00F4774F">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F4774F" w:rsidP="00F4774F">
            <w:pPr>
              <w:pStyle w:val="BodyText"/>
            </w:pPr>
          </w:p>
          <w:p w:rsidR="00000000" w:rsidP="00F4774F">
            <w:pPr>
              <w:pStyle w:val="BodyText"/>
              <w:rPr>
                <w:lang w:val="en-NZ"/>
              </w:rPr>
            </w:pPr>
            <w:r w:rsidRPr="00F4774F">
              <w:rPr>
                <w:rStyle w:val="SpecialBold"/>
              </w:rPr>
              <w:t>Required knowledge</w:t>
            </w:r>
          </w:p>
        </w:tc>
      </w:tr>
      <w:tr w:rsidTr="00F4774F">
        <w:tblPrEx>
          <w:tblW w:w="9462" w:type="dxa"/>
          <w:tblLayout w:type="fixed"/>
          <w:tblCellMar>
            <w:left w:w="62" w:type="dxa"/>
            <w:right w:w="62" w:type="dxa"/>
          </w:tblCellMar>
          <w:tblLook w:val="0000"/>
        </w:tblPrEx>
        <w:trPr>
          <w:trHeight w:val="392"/>
        </w:trPr>
        <w:tc>
          <w:tcPr>
            <w:tcW w:w="9462" w:type="dxa"/>
            <w:tcBorders>
              <w:top w:val="nil"/>
              <w:left w:val="nil"/>
              <w:bottom w:val="nil"/>
              <w:right w:val="nil"/>
            </w:tcBorders>
            <w:tcMar>
              <w:top w:w="0" w:type="dxa"/>
              <w:left w:w="62" w:type="dxa"/>
              <w:bottom w:w="0" w:type="dxa"/>
              <w:right w:w="62" w:type="dxa"/>
            </w:tcMar>
          </w:tcPr>
          <w:p w:rsidR="00000000" w:rsidRPr="00F4774F" w:rsidP="00F4774F">
            <w:pPr>
              <w:pStyle w:val="BodyText"/>
            </w:pPr>
            <w:r w:rsidRPr="00F4774F">
              <w:t>Required knowledge includes:</w:t>
            </w:r>
          </w:p>
          <w:p w:rsidR="00000000" w:rsidRPr="00F4774F" w:rsidP="00F4774F">
            <w:pPr>
              <w:pStyle w:val="ListBullet"/>
            </w:pPr>
            <w:r w:rsidRPr="00F4774F">
              <w:t>compliance requirements of WHS and regulatory requirements, codes of practice, standards and risk management requirements for robotic applications</w:t>
            </w:r>
          </w:p>
          <w:p w:rsidR="00000000" w:rsidRPr="00F4774F" w:rsidP="00F4774F">
            <w:pPr>
              <w:pStyle w:val="ListBullet"/>
            </w:pPr>
            <w:r w:rsidRPr="00F4774F">
              <w:t>classifications and applications of industrial robotic devices or systems</w:t>
            </w:r>
          </w:p>
          <w:p w:rsidR="00000000" w:rsidRPr="00F4774F" w:rsidP="00F4774F">
            <w:pPr>
              <w:pStyle w:val="ListBullet"/>
            </w:pPr>
            <w:r w:rsidRPr="00F4774F">
              <w:t>features, mechanisms and component</w:t>
            </w:r>
            <w:r w:rsidRPr="00F4774F">
              <w:t>s of robots</w:t>
            </w:r>
          </w:p>
          <w:p w:rsidR="00000000" w:rsidRPr="00F4774F" w:rsidP="00F4774F">
            <w:pPr>
              <w:pStyle w:val="ListBullet"/>
            </w:pPr>
            <w:r w:rsidRPr="00F4774F">
              <w:t>advantages and disadvantages of different types of actuators for engineering applications</w:t>
            </w:r>
          </w:p>
          <w:p w:rsidR="00000000" w:rsidRPr="00F4774F" w:rsidP="00F4774F">
            <w:pPr>
              <w:pStyle w:val="ListBullet"/>
            </w:pPr>
            <w:r w:rsidRPr="00F4774F">
              <w:t xml:space="preserve">types of actuator power interfaces </w:t>
            </w:r>
          </w:p>
          <w:p w:rsidR="00000000" w:rsidRPr="00F4774F" w:rsidP="00F4774F">
            <w:pPr>
              <w:pStyle w:val="ListBullet"/>
            </w:pPr>
            <w:r w:rsidRPr="00F4774F">
              <w:t>end effectors and their applications</w:t>
            </w:r>
          </w:p>
          <w:p w:rsidR="00000000" w:rsidRPr="00F4774F" w:rsidP="00F4774F">
            <w:pPr>
              <w:pStyle w:val="ListBullet"/>
            </w:pPr>
            <w:r w:rsidRPr="00F4774F">
              <w:t>robot sensors, such as:</w:t>
            </w:r>
          </w:p>
          <w:p w:rsidR="00000000" w:rsidRPr="00F4774F" w:rsidP="00F4774F">
            <w:pPr>
              <w:pStyle w:val="ListBullet2"/>
            </w:pPr>
            <w:r w:rsidRPr="00F4774F">
              <w:t>contact, proximity and interrupted beam</w:t>
            </w:r>
          </w:p>
          <w:p w:rsidR="00000000" w:rsidRPr="00F4774F" w:rsidP="00F4774F">
            <w:pPr>
              <w:pStyle w:val="ListBullet2"/>
            </w:pPr>
            <w:r w:rsidRPr="00F4774F">
              <w:t>distance sensing</w:t>
            </w:r>
          </w:p>
          <w:p w:rsidR="00000000" w:rsidRPr="00F4774F" w:rsidP="00F4774F">
            <w:pPr>
              <w:pStyle w:val="ListBullet2"/>
            </w:pPr>
            <w:r w:rsidRPr="00F4774F">
              <w:t>pressure and temperature</w:t>
            </w:r>
          </w:p>
          <w:p w:rsidR="00000000" w:rsidRPr="00F4774F" w:rsidP="00F4774F">
            <w:pPr>
              <w:pStyle w:val="ListBullet2"/>
            </w:pPr>
            <w:r w:rsidRPr="00F4774F">
              <w:t>relative and absolute encoders</w:t>
            </w:r>
          </w:p>
          <w:p w:rsidR="00000000" w:rsidRPr="00F4774F" w:rsidP="00F4774F">
            <w:pPr>
              <w:pStyle w:val="ListBullet2"/>
            </w:pPr>
            <w:r w:rsidRPr="00F4774F">
              <w:t>vision and smart cameras</w:t>
            </w:r>
          </w:p>
          <w:p w:rsidR="00000000" w:rsidRPr="00F4774F" w:rsidP="00F4774F">
            <w:pPr>
              <w:pStyle w:val="ListBullet"/>
            </w:pPr>
            <w:r w:rsidRPr="00F4774F">
              <w:t xml:space="preserve">sensor interface/transducer signal conditioning techniques and analog to digital converter (ADC) </w:t>
            </w:r>
          </w:p>
          <w:p w:rsidR="00000000" w:rsidRPr="00F4774F" w:rsidP="00F4774F">
            <w:pPr>
              <w:pStyle w:val="ListBullet"/>
            </w:pPr>
            <w:r w:rsidRPr="00F4774F">
              <w:t>online and offline programming methods</w:t>
            </w:r>
          </w:p>
          <w:p w:rsidR="00000000" w:rsidRPr="00F4774F" w:rsidP="00F4774F">
            <w:pPr>
              <w:pStyle w:val="ListBullet"/>
            </w:pPr>
            <w:r w:rsidRPr="00F4774F">
              <w:t>mechanical, fluid power, electrical,</w:t>
            </w:r>
            <w:r w:rsidRPr="00F4774F">
              <w:t xml:space="preserve"> electronic, programming, communications and networking principles and techniques related to robotics</w:t>
            </w:r>
          </w:p>
          <w:p w:rsidR="00000000" w:rsidRPr="00F4774F" w:rsidP="00F4774F">
            <w:pPr>
              <w:pStyle w:val="ListBullet"/>
            </w:pPr>
            <w:r w:rsidRPr="00F4774F">
              <w:t>the role of kinematic and kinetic analysis of robot mechanisms</w:t>
            </w:r>
          </w:p>
          <w:p w:rsidR="00000000" w:rsidRPr="00F4774F" w:rsidP="00F4774F">
            <w:pPr>
              <w:pStyle w:val="ListBullet"/>
            </w:pPr>
            <w:r w:rsidRPr="00F4774F">
              <w:t>analysis of motions, loads, accuracy, precision and repeatability</w:t>
            </w:r>
          </w:p>
          <w:p w:rsidR="00000000" w:rsidRPr="00F4774F" w:rsidP="00F4774F">
            <w:pPr>
              <w:pStyle w:val="ListBullet"/>
            </w:pPr>
            <w:r w:rsidRPr="00F4774F">
              <w:t>situations requiring licensed trade, technical or professional assistance (e.g. actuator power interfacing)</w:t>
            </w:r>
          </w:p>
          <w:p w:rsidR="00000000" w:rsidRPr="00F4774F" w:rsidP="00F4774F">
            <w:pPr>
              <w:pStyle w:val="ListBullet"/>
            </w:pPr>
            <w:r w:rsidRPr="00F4774F">
              <w:t>interfaces for sensors and actuators, such as the use of signal conditioning techniques and ADC, power interfacing and digital to analog converter (</w:t>
            </w:r>
            <w:r w:rsidRPr="00F4774F">
              <w:t>DAC), and pulse-width modulation (PWM)</w:t>
            </w:r>
          </w:p>
          <w:p w:rsidR="00000000" w:rsidRPr="00F4774F" w:rsidP="00F4774F">
            <w:pPr>
              <w:pStyle w:val="ListBullet"/>
            </w:pPr>
            <w:r w:rsidRPr="00F4774F">
              <w:t>programming techniques for motion control and load handling with specialist input, such as vision systems, proximity and distance measurement inputs, and variable velocity control which may be implemented using packag</w:t>
            </w:r>
            <w:r w:rsidRPr="00F4774F">
              <w:t>ed routines</w:t>
            </w:r>
          </w:p>
          <w:p w:rsidR="00000000" w:rsidRPr="00F4774F" w:rsidP="00F4774F">
            <w:pPr>
              <w:pStyle w:val="ListBullet"/>
            </w:pPr>
            <w:r w:rsidRPr="00F4774F">
              <w:t>automation safety in systems and programs, including appropriate use of emergency stop, failsafe design, redundancy, interlocks, guarding and data integrity</w:t>
            </w:r>
          </w:p>
          <w:p w:rsidR="00000000" w:rsidRPr="00F4774F" w:rsidP="00F4774F">
            <w:pPr>
              <w:pStyle w:val="ListBullet"/>
            </w:pPr>
            <w:r w:rsidRPr="00F4774F">
              <w:t>system integration of sensing, control, end effectors and actuators, data requirements,</w:t>
            </w:r>
            <w:r w:rsidRPr="00F4774F">
              <w:t xml:space="preserve"> network topology and communication protocols required</w:t>
            </w:r>
          </w:p>
          <w:p w:rsidR="00000000" w:rsidRPr="00F4774F" w:rsidP="00F4774F">
            <w:pPr>
              <w:pStyle w:val="ListBullet"/>
            </w:pPr>
            <w:r w:rsidRPr="00F4774F">
              <w:t>software for simulation, motion analysis, control, DAC and SCADA</w:t>
            </w:r>
          </w:p>
          <w:p w:rsidR="00000000" w:rsidRPr="00F4774F" w:rsidP="00F4774F">
            <w:pPr>
              <w:pStyle w:val="ListBullet"/>
            </w:pPr>
            <w:r w:rsidRPr="00F4774F">
              <w:t>sustainability implications of industrial robotics</w:t>
            </w:r>
          </w:p>
        </w:tc>
      </w:tr>
    </w:tbl>
    <w:p w:rsidR="00000000" w:rsidRPr="00F4774F" w:rsidP="00F4774F">
      <w:pPr>
        <w:pStyle w:val="BodyText"/>
      </w:pPr>
    </w:p>
    <w:p w:rsidR="00000000" w:rsidRPr="00F4774F" w:rsidP="00F4774F">
      <w:pPr>
        <w:pStyle w:val="AllowPageBreak"/>
      </w:pPr>
    </w:p>
    <w:p w:rsidR="00000000" w:rsidRPr="00F4774F" w:rsidP="00F4774F">
      <w:pPr>
        <w:pStyle w:val="Heading1"/>
      </w:pPr>
      <w:bookmarkStart w:id="10" w:name="O_520042"/>
      <w:bookmarkEnd w:id="10"/>
      <w:r w:rsidRPr="00F4774F">
        <w:t>Evidence Guide</w:t>
      </w:r>
    </w:p>
    <w:tbl>
      <w:tblPr>
        <w:tblW w:w="9322" w:type="dxa"/>
        <w:tblLayout w:type="fixed"/>
        <w:tblCellMar>
          <w:left w:w="62" w:type="dxa"/>
          <w:right w:w="62" w:type="dxa"/>
        </w:tblCellMar>
        <w:tblLook w:val="0000"/>
      </w:tblPr>
      <w:tblGrid>
        <w:gridCol w:w="3845"/>
        <w:gridCol w:w="5477"/>
      </w:tblGrid>
      <w:tr w:rsidTr="00F4774F">
        <w:tblPrEx>
          <w:tblW w:w="9322" w:type="dxa"/>
          <w:tblLayout w:type="fixed"/>
          <w:tblCellMar>
            <w:left w:w="62" w:type="dxa"/>
            <w:right w:w="62" w:type="dxa"/>
          </w:tblCellMar>
          <w:tblLook w:val="0000"/>
        </w:tblPrEx>
        <w:tc>
          <w:tcPr>
            <w:tcW w:w="932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F4774F">
            <w:pPr>
              <w:pStyle w:val="BodyText"/>
              <w:rPr>
                <w:lang w:val="en-NZ"/>
              </w:rPr>
            </w:pPr>
            <w:r w:rsidRPr="00F4774F">
              <w:t>The evidence guide provides advice on assessment an</w:t>
            </w:r>
            <w:r w:rsidRPr="00F4774F">
              <w:t>d must be read in conjunction with the performance criteria, required skills and knowledge, range statement and the Assessment Guidelines for the Training Package.</w:t>
            </w:r>
          </w:p>
        </w:tc>
      </w:tr>
      <w:tr w:rsidTr="00F4774F">
        <w:tblPrEx>
          <w:tblW w:w="9322" w:type="dxa"/>
          <w:tblLayout w:type="fixed"/>
          <w:tblCellMar>
            <w:left w:w="62" w:type="dxa"/>
            <w:right w:w="62" w:type="dxa"/>
          </w:tblCellMar>
          <w:tblLook w:val="0000"/>
        </w:tblPrEx>
        <w:tc>
          <w:tcPr>
            <w:tcW w:w="38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774F">
            <w:pPr>
              <w:pStyle w:val="BodyText"/>
              <w:rPr>
                <w:lang w:val="en-NZ"/>
              </w:rPr>
            </w:pPr>
            <w:r w:rsidRPr="00F4774F">
              <w:rPr>
                <w:rStyle w:val="SpecialBold"/>
              </w:rPr>
              <w:t>Overview of assessment</w:t>
            </w:r>
          </w:p>
        </w:tc>
        <w:tc>
          <w:tcPr>
            <w:tcW w:w="54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774F">
            <w:pPr>
              <w:pStyle w:val="BodyText"/>
              <w:rPr>
                <w:lang w:val="en-NZ"/>
              </w:rPr>
            </w:pPr>
            <w:r w:rsidRPr="00F4774F">
              <w:t>A person who demonstrates competency in this unit must be able to evaluate industrial robotic applications and integration into automation systems. This includes working individually and as part of a team in accordance with organisational procedures.</w:t>
            </w:r>
          </w:p>
        </w:tc>
      </w:tr>
      <w:tr w:rsidTr="00F4774F">
        <w:tblPrEx>
          <w:tblW w:w="9322" w:type="dxa"/>
          <w:tblLayout w:type="fixed"/>
          <w:tblCellMar>
            <w:left w:w="62" w:type="dxa"/>
            <w:right w:w="62" w:type="dxa"/>
          </w:tblCellMar>
          <w:tblLook w:val="0000"/>
        </w:tblPrEx>
        <w:tc>
          <w:tcPr>
            <w:tcW w:w="38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774F">
            <w:pPr>
              <w:pStyle w:val="BodyText"/>
              <w:rPr>
                <w:lang w:val="en-NZ"/>
              </w:rPr>
            </w:pPr>
            <w:r w:rsidRPr="00F4774F">
              <w:rPr>
                <w:rStyle w:val="SpecialBold"/>
              </w:rPr>
              <w:t>Crit</w:t>
            </w:r>
            <w:r w:rsidRPr="00F4774F">
              <w:rPr>
                <w:rStyle w:val="SpecialBold"/>
              </w:rPr>
              <w:t>ical aspects for assessment and evidence required to demonstrate competency in this unit</w:t>
            </w:r>
          </w:p>
        </w:tc>
        <w:tc>
          <w:tcPr>
            <w:tcW w:w="54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774F" w:rsidP="00F4774F">
            <w:pPr>
              <w:pStyle w:val="BodyText"/>
            </w:pPr>
            <w:r w:rsidRPr="00F4774F">
              <w:t>Assessors must be satisfied that the candidate can competently and consistently:</w:t>
            </w:r>
          </w:p>
          <w:p w:rsidR="00000000" w:rsidRPr="00F4774F" w:rsidP="00F4774F">
            <w:pPr>
              <w:pStyle w:val="ListBullet"/>
            </w:pPr>
            <w:r w:rsidRPr="00F4774F">
              <w:t>identify WHS, regulatory and risk management requirements, and compliance with partic</w:t>
            </w:r>
            <w:r w:rsidRPr="00F4774F">
              <w:t>ular emphasis on automation safety</w:t>
            </w:r>
          </w:p>
          <w:p w:rsidR="00000000" w:rsidRPr="00F4774F" w:rsidP="00F4774F">
            <w:pPr>
              <w:pStyle w:val="ListBullet"/>
            </w:pPr>
            <w:r w:rsidRPr="00F4774F">
              <w:t>investigate sustainability implications of robotic applications</w:t>
            </w:r>
          </w:p>
          <w:p w:rsidR="00000000" w:rsidRPr="00F4774F" w:rsidP="00F4774F">
            <w:pPr>
              <w:pStyle w:val="ListBullet"/>
            </w:pPr>
            <w:r w:rsidRPr="00F4774F">
              <w:t xml:space="preserve">identify, review and classify features and functions of robotic applications and robotic devices, robotic principles and techniques, analysis techniques and </w:t>
            </w:r>
            <w:r w:rsidRPr="00F4774F">
              <w:t>software</w:t>
            </w:r>
          </w:p>
          <w:p w:rsidR="00000000" w:rsidRPr="00F4774F" w:rsidP="00F4774F">
            <w:pPr>
              <w:pStyle w:val="ListBullet"/>
            </w:pPr>
            <w:r w:rsidRPr="00F4774F">
              <w:t>evaluate robotic hardware</w:t>
            </w:r>
          </w:p>
          <w:p w:rsidR="00000000" w:rsidRPr="00F4774F" w:rsidP="00F4774F">
            <w:pPr>
              <w:pStyle w:val="ListBullet"/>
            </w:pPr>
            <w:r w:rsidRPr="00F4774F">
              <w:t>evaluate robotic motion, load capability, accuracy, precision and repeatability</w:t>
            </w:r>
          </w:p>
          <w:p w:rsidR="00000000" w:rsidRPr="00F4774F" w:rsidP="00F4774F">
            <w:pPr>
              <w:pStyle w:val="ListBullet"/>
            </w:pPr>
            <w:r w:rsidRPr="00F4774F">
              <w:t>evaluate system integration, networking, data sharing, control and human machine interfaces, software and programming</w:t>
            </w:r>
          </w:p>
          <w:p w:rsidR="00000000" w:rsidRPr="00F4774F" w:rsidP="00F4774F">
            <w:pPr>
              <w:pStyle w:val="ListBullet"/>
            </w:pPr>
            <w:r w:rsidRPr="00F4774F">
              <w:t>apply</w:t>
            </w:r>
            <w:r w:rsidRPr="00F4774F">
              <w:t xml:space="preserve"> mock-up, prototyping and virtual techniques for robot and subsystem testing</w:t>
            </w:r>
          </w:p>
          <w:p w:rsidR="00000000" w:rsidP="00F4774F">
            <w:pPr>
              <w:pStyle w:val="ListBullet"/>
              <w:rPr>
                <w:lang w:val="en-NZ"/>
              </w:rPr>
            </w:pPr>
            <w:r w:rsidRPr="00F4774F">
              <w:t>report and document results.</w:t>
            </w:r>
          </w:p>
        </w:tc>
      </w:tr>
      <w:tr w:rsidTr="00F4774F">
        <w:tblPrEx>
          <w:tblW w:w="9322" w:type="dxa"/>
          <w:tblLayout w:type="fixed"/>
          <w:tblCellMar>
            <w:left w:w="62" w:type="dxa"/>
            <w:right w:w="62" w:type="dxa"/>
          </w:tblCellMar>
          <w:tblLook w:val="0000"/>
        </w:tblPrEx>
        <w:tc>
          <w:tcPr>
            <w:tcW w:w="38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774F">
            <w:pPr>
              <w:pStyle w:val="BodyText"/>
              <w:rPr>
                <w:lang w:val="en-NZ"/>
              </w:rPr>
            </w:pPr>
            <w:r w:rsidRPr="00F4774F">
              <w:rPr>
                <w:rStyle w:val="SpecialBold"/>
              </w:rPr>
              <w:t>Context of and specific resources for assessment</w:t>
            </w:r>
          </w:p>
        </w:tc>
        <w:tc>
          <w:tcPr>
            <w:tcW w:w="54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774F" w:rsidP="00F4774F">
            <w:pPr>
              <w:pStyle w:val="ListBullet"/>
            </w:pPr>
            <w:r w:rsidRPr="00F4774F">
              <w:t>This unit may be assessed on the job, off the job or a combination of both on and off the job. Wher</w:t>
            </w:r>
            <w:r w:rsidRPr="00F4774F">
              <w:t xml:space="preserve">e assessment occurs off the job, then a simulated working environment must be used where the range of conditions reflects realistic workplace situations. </w:t>
            </w:r>
          </w:p>
          <w:p w:rsidR="00000000" w:rsidRPr="00F4774F" w:rsidP="00F4774F">
            <w:pPr>
              <w:pStyle w:val="ListBullet"/>
            </w:pPr>
            <w:r w:rsidRPr="00F4774F">
              <w:t>The competencies covered by this unit would be demonstrated by an individual working alone or as part</w:t>
            </w:r>
            <w:r w:rsidRPr="00F4774F">
              <w:t xml:space="preserve"> of a team. </w:t>
            </w:r>
          </w:p>
          <w:p w:rsidR="00000000" w:rsidRPr="00F4774F" w:rsidP="00F4774F">
            <w:pPr>
              <w:pStyle w:val="ListBullet"/>
            </w:pPr>
            <w:r w:rsidRPr="00F4774F">
              <w:t>Where applicable, reasonable adjustment must be made to work environments and training situations to accommodate ethnicity, age, gender, demographics and disability.</w:t>
            </w:r>
          </w:p>
          <w:p w:rsidR="00000000" w:rsidP="00F4774F">
            <w:pPr>
              <w:pStyle w:val="ListBullet"/>
              <w:rPr>
                <w:lang w:val="en-NZ"/>
              </w:rPr>
            </w:pPr>
            <w:r w:rsidRPr="00F4774F">
              <w:t>Access must be provided to appropriate learning and/or assessment support whe</w:t>
            </w:r>
            <w:r w:rsidRPr="00F4774F">
              <w:t>n required. Where applicable, physical resources should include equipment modified for people with disabilities.</w:t>
            </w:r>
          </w:p>
        </w:tc>
      </w:tr>
      <w:tr w:rsidTr="00F4774F">
        <w:tblPrEx>
          <w:tblW w:w="9322" w:type="dxa"/>
          <w:tblLayout w:type="fixed"/>
          <w:tblCellMar>
            <w:left w:w="62" w:type="dxa"/>
            <w:right w:w="62" w:type="dxa"/>
          </w:tblCellMar>
          <w:tblLook w:val="0000"/>
        </w:tblPrEx>
        <w:tc>
          <w:tcPr>
            <w:tcW w:w="38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774F">
            <w:pPr>
              <w:pStyle w:val="BodyText"/>
              <w:rPr>
                <w:lang w:val="en-NZ"/>
              </w:rPr>
            </w:pPr>
            <w:r w:rsidRPr="00F4774F">
              <w:rPr>
                <w:rStyle w:val="SpecialBold"/>
              </w:rPr>
              <w:t>Method of assessment</w:t>
            </w:r>
          </w:p>
        </w:tc>
        <w:tc>
          <w:tcPr>
            <w:tcW w:w="54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774F" w:rsidP="00F4774F">
            <w:pPr>
              <w:pStyle w:val="ListBullet"/>
            </w:pPr>
            <w:r w:rsidRPr="00F4774F">
              <w:t>Assessment must satisfy the endorsed Assessment Guidelines of the MEM05 Metal and Engineering Training Package.</w:t>
            </w:r>
          </w:p>
          <w:p w:rsidR="00000000" w:rsidRPr="00F4774F" w:rsidP="00F4774F">
            <w:pPr>
              <w:pStyle w:val="ListBullet"/>
            </w:pPr>
            <w:r w:rsidRPr="00F4774F">
              <w:t>Assessme</w:t>
            </w:r>
            <w:r w:rsidRPr="00F4774F">
              <w:t>nt methods must confirm consistency and accuracy of performance (over time and in a range of workplace relevant contexts) together with application of underpinning knowledge.</w:t>
            </w:r>
          </w:p>
          <w:p w:rsidR="00000000" w:rsidRPr="00F4774F" w:rsidP="00F4774F">
            <w:pPr>
              <w:pStyle w:val="ListBullet"/>
            </w:pPr>
            <w:r w:rsidRPr="00F4774F">
              <w:t>Assessment methods must be by direct observation of tasks and include questioning on underpinning knowledge to ensure correct interpretation and application.</w:t>
            </w:r>
          </w:p>
          <w:p w:rsidR="00000000" w:rsidRPr="00F4774F" w:rsidP="00F4774F">
            <w:pPr>
              <w:pStyle w:val="ListBullet"/>
            </w:pPr>
            <w:r w:rsidRPr="00F4774F">
              <w:t>Assessment may be applied under project-related conditions (real or simulated) and require evidenc</w:t>
            </w:r>
            <w:r w:rsidRPr="00F4774F">
              <w:t>e of process.</w:t>
            </w:r>
          </w:p>
          <w:p w:rsidR="00000000" w:rsidRPr="00F4774F" w:rsidP="00F4774F">
            <w:pPr>
              <w:pStyle w:val="ListBullet"/>
            </w:pPr>
            <w:r w:rsidRPr="00F4774F">
              <w:t>Assessment must confirm a reasonable inference that competency is not only able to be satisfied under the particular circumstance, but is able to be transferred to other circumstances.</w:t>
            </w:r>
          </w:p>
          <w:p w:rsidR="00000000" w:rsidP="00F4774F">
            <w:pPr>
              <w:pStyle w:val="ListBullet"/>
              <w:rPr>
                <w:lang w:val="en-NZ"/>
              </w:rPr>
            </w:pPr>
            <w:r w:rsidRPr="00F4774F">
              <w:t>Assessment may be in conjunction with assessment of other</w:t>
            </w:r>
            <w:r w:rsidRPr="00F4774F">
              <w:t xml:space="preserve"> units of competency where required.</w:t>
            </w:r>
          </w:p>
        </w:tc>
      </w:tr>
      <w:tr w:rsidTr="00F4774F">
        <w:tblPrEx>
          <w:tblW w:w="9322" w:type="dxa"/>
          <w:tblLayout w:type="fixed"/>
          <w:tblCellMar>
            <w:left w:w="62" w:type="dxa"/>
            <w:right w:w="62" w:type="dxa"/>
          </w:tblCellMar>
          <w:tblLook w:val="0000"/>
        </w:tblPrEx>
        <w:tc>
          <w:tcPr>
            <w:tcW w:w="38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774F">
            <w:pPr>
              <w:pStyle w:val="BodyText"/>
              <w:rPr>
                <w:lang w:val="en-NZ"/>
              </w:rPr>
            </w:pPr>
            <w:r w:rsidRPr="00F4774F">
              <w:rPr>
                <w:rStyle w:val="SpecialBold"/>
              </w:rPr>
              <w:t>Guidance information for assessment</w:t>
            </w:r>
          </w:p>
        </w:tc>
        <w:tc>
          <w:tcPr>
            <w:tcW w:w="54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774F" w:rsidP="00F4774F">
            <w:pPr>
              <w:pStyle w:val="BodyText"/>
            </w:pPr>
            <w:r w:rsidRPr="00F4774F">
              <w:t>Assessment processes and techniques must be culturally appropriate and appropriate to the language and literacy capacity of the candidate and the work being performed.</w:t>
            </w:r>
          </w:p>
        </w:tc>
      </w:tr>
    </w:tbl>
    <w:p w:rsidR="0009326B" w:rsidP="00F4774F">
      <w:pPr>
        <w:pStyle w:val="BodyText"/>
      </w:pPr>
    </w:p>
    <w:p w:rsidR="0009326B" w:rsidP="00F4774F">
      <w:pPr>
        <w:pStyle w:val="BodyText"/>
      </w:pPr>
    </w:p>
    <w:p w:rsidR="00000000" w:rsidRPr="00F4774F" w:rsidP="00F4774F">
      <w:pPr>
        <w:pStyle w:val="Heading1"/>
      </w:pPr>
      <w:bookmarkStart w:id="11" w:name="O_520041"/>
      <w:bookmarkEnd w:id="11"/>
      <w:r w:rsidRPr="00F4774F">
        <w:t>Range Statement</w:t>
      </w:r>
    </w:p>
    <w:tbl>
      <w:tblPr>
        <w:tblW w:w="9322" w:type="dxa"/>
        <w:tblLayout w:type="fixed"/>
        <w:tblCellMar>
          <w:left w:w="62" w:type="dxa"/>
          <w:right w:w="62" w:type="dxa"/>
        </w:tblCellMar>
        <w:tblLook w:val="0000"/>
      </w:tblPr>
      <w:tblGrid>
        <w:gridCol w:w="2868"/>
        <w:gridCol w:w="6454"/>
      </w:tblGrid>
      <w:tr w:rsidTr="00F4774F">
        <w:tblPrEx>
          <w:tblW w:w="9322" w:type="dxa"/>
          <w:tblLayout w:type="fixed"/>
          <w:tblCellMar>
            <w:left w:w="62" w:type="dxa"/>
            <w:right w:w="62" w:type="dxa"/>
          </w:tblCellMar>
          <w:tblLook w:val="0000"/>
        </w:tblPrEx>
        <w:tc>
          <w:tcPr>
            <w:tcW w:w="932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F4774F">
            <w:pPr>
              <w:pStyle w:val="BodyText"/>
              <w:rPr>
                <w:lang w:val="en-NZ"/>
              </w:rPr>
            </w:pPr>
            <w:r w:rsidRPr="00F4774F">
              <w:t>The range statement relates to the unit of competency as a whole. It allows for different work environments and situations that may affect performance. Bold italicised wording, if used in the performance criteria, is detailed below. E</w:t>
            </w:r>
            <w:r w:rsidRPr="00F4774F">
              <w:t>ssential operating conditions that may be present with training and assessment (depending on the work situation, needs of the candidate, accessibility of the item, and local industry and regional contexts) may also be included.</w:t>
            </w:r>
          </w:p>
        </w:tc>
      </w:tr>
      <w:tr w:rsidTr="00F4774F">
        <w:tblPrEx>
          <w:tblW w:w="9322" w:type="dxa"/>
          <w:tblLayout w:type="fixed"/>
          <w:tblCellMar>
            <w:left w:w="62" w:type="dxa"/>
            <w:right w:w="62" w:type="dxa"/>
          </w:tblCellMar>
          <w:tblLook w:val="0000"/>
        </w:tblPrEx>
        <w:tc>
          <w:tcPr>
            <w:tcW w:w="28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774F">
            <w:pPr>
              <w:pStyle w:val="BodyText"/>
              <w:rPr>
                <w:lang w:val="en-NZ"/>
              </w:rPr>
            </w:pPr>
            <w:r w:rsidRPr="00F4774F">
              <w:rPr>
                <w:rStyle w:val="SpecialBold"/>
              </w:rPr>
              <w:t>Robotic device or system</w:t>
            </w:r>
          </w:p>
        </w:tc>
        <w:tc>
          <w:tcPr>
            <w:tcW w:w="64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774F">
            <w:pPr>
              <w:pStyle w:val="BodyText"/>
              <w:rPr>
                <w:lang w:val="en-NZ"/>
              </w:rPr>
            </w:pPr>
            <w:r w:rsidRPr="00F4774F">
              <w:t>Robots are mechanical, programmable self-controlling machines used widely in engineering and related applications where location, work environment, costs, accuracy, quality, repeatability and reliability dictate their use in preference to human or other ma</w:t>
            </w:r>
            <w:r w:rsidRPr="00F4774F">
              <w:t>chines. The robot may be networked so as to serve an automated environment</w:t>
            </w:r>
          </w:p>
        </w:tc>
      </w:tr>
      <w:tr w:rsidTr="00F4774F">
        <w:tblPrEx>
          <w:tblW w:w="9322" w:type="dxa"/>
          <w:tblLayout w:type="fixed"/>
          <w:tblCellMar>
            <w:left w:w="62" w:type="dxa"/>
            <w:right w:w="62" w:type="dxa"/>
          </w:tblCellMar>
          <w:tblLook w:val="0000"/>
        </w:tblPrEx>
        <w:tc>
          <w:tcPr>
            <w:tcW w:w="28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774F">
            <w:pPr>
              <w:pStyle w:val="BodyText"/>
              <w:rPr>
                <w:lang w:val="en-NZ"/>
              </w:rPr>
            </w:pPr>
            <w:r w:rsidRPr="00F4774F">
              <w:rPr>
                <w:rStyle w:val="SpecialBold"/>
              </w:rPr>
              <w:t>Industrial robotic applications</w:t>
            </w:r>
          </w:p>
        </w:tc>
        <w:tc>
          <w:tcPr>
            <w:tcW w:w="64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774F" w:rsidP="00F4774F">
            <w:pPr>
              <w:pStyle w:val="BodyText"/>
            </w:pPr>
            <w:r w:rsidRPr="00F4774F">
              <w:t>Industrial robotic applications vary widely. Examples include:</w:t>
            </w:r>
          </w:p>
          <w:p w:rsidR="00000000" w:rsidRPr="00F4774F" w:rsidP="00F4774F">
            <w:pPr>
              <w:pStyle w:val="ListBullet"/>
            </w:pPr>
            <w:r w:rsidRPr="00F4774F">
              <w:t>palletising and depalletising robots</w:t>
            </w:r>
          </w:p>
          <w:p w:rsidR="00000000" w:rsidRPr="00F4774F" w:rsidP="00F4774F">
            <w:pPr>
              <w:pStyle w:val="ListBullet"/>
            </w:pPr>
            <w:r w:rsidRPr="00F4774F">
              <w:t>welding and cutting robots</w:t>
            </w:r>
          </w:p>
          <w:p w:rsidR="00000000" w:rsidRPr="00F4774F" w:rsidP="00F4774F">
            <w:pPr>
              <w:pStyle w:val="ListBullet"/>
            </w:pPr>
            <w:r w:rsidRPr="00F4774F">
              <w:t>packaging robots</w:t>
            </w:r>
          </w:p>
          <w:p w:rsidR="00000000" w:rsidRPr="00F4774F" w:rsidP="00F4774F">
            <w:pPr>
              <w:pStyle w:val="ListBullet"/>
            </w:pPr>
            <w:r w:rsidRPr="00F4774F">
              <w:t>transfer robots</w:t>
            </w:r>
          </w:p>
          <w:p w:rsidR="00000000" w:rsidRPr="00F4774F" w:rsidP="00F4774F">
            <w:pPr>
              <w:pStyle w:val="ListBullet"/>
            </w:pPr>
            <w:r w:rsidRPr="00F4774F">
              <w:t>interactive remote surgery robots</w:t>
            </w:r>
          </w:p>
          <w:p w:rsidR="00000000" w:rsidP="00F4774F">
            <w:pPr>
              <w:pStyle w:val="ListBullet"/>
              <w:rPr>
                <w:lang w:val="en-NZ"/>
              </w:rPr>
            </w:pPr>
            <w:r w:rsidRPr="00F4774F">
              <w:t>interactive nuclear fuel cell robots</w:t>
            </w:r>
          </w:p>
        </w:tc>
      </w:tr>
      <w:tr w:rsidTr="00F4774F">
        <w:tblPrEx>
          <w:tblW w:w="9322" w:type="dxa"/>
          <w:tblLayout w:type="fixed"/>
          <w:tblCellMar>
            <w:left w:w="62" w:type="dxa"/>
            <w:right w:w="62" w:type="dxa"/>
          </w:tblCellMar>
          <w:tblLook w:val="0000"/>
        </w:tblPrEx>
        <w:tc>
          <w:tcPr>
            <w:tcW w:w="28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774F">
            <w:pPr>
              <w:pStyle w:val="BodyText"/>
              <w:rPr>
                <w:lang w:val="en-NZ"/>
              </w:rPr>
            </w:pPr>
            <w:r w:rsidRPr="00F4774F">
              <w:rPr>
                <w:rStyle w:val="SpecialBold"/>
              </w:rPr>
              <w:t>Mobile robotic applications</w:t>
            </w:r>
          </w:p>
        </w:tc>
        <w:tc>
          <w:tcPr>
            <w:tcW w:w="64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774F" w:rsidP="00F4774F">
            <w:pPr>
              <w:pStyle w:val="BodyText"/>
            </w:pPr>
            <w:r w:rsidRPr="00F4774F">
              <w:t>Mobile robotic applications may include:</w:t>
            </w:r>
          </w:p>
          <w:p w:rsidR="00000000" w:rsidRPr="00F4774F" w:rsidP="00F4774F">
            <w:pPr>
              <w:pStyle w:val="ListBullet"/>
            </w:pPr>
            <w:r w:rsidRPr="00F4774F">
              <w:t>military robots, including land mine detection and improvised explosive demolition</w:t>
            </w:r>
          </w:p>
          <w:p w:rsidR="00000000" w:rsidRPr="00F4774F" w:rsidP="00F4774F">
            <w:pPr>
              <w:pStyle w:val="ListBullet"/>
            </w:pPr>
            <w:r w:rsidRPr="00F4774F">
              <w:t>police bomb det</w:t>
            </w:r>
            <w:r w:rsidRPr="00F4774F">
              <w:t>ection robots</w:t>
            </w:r>
          </w:p>
          <w:p w:rsidR="00000000" w:rsidP="00F4774F">
            <w:pPr>
              <w:pStyle w:val="ListBullet"/>
              <w:rPr>
                <w:lang w:val="en-NZ"/>
              </w:rPr>
            </w:pPr>
            <w:r w:rsidRPr="00F4774F">
              <w:t>automated guidance vehicles</w:t>
            </w:r>
          </w:p>
        </w:tc>
      </w:tr>
      <w:tr w:rsidTr="00F4774F">
        <w:tblPrEx>
          <w:tblW w:w="9322" w:type="dxa"/>
          <w:tblLayout w:type="fixed"/>
          <w:tblCellMar>
            <w:left w:w="62" w:type="dxa"/>
            <w:right w:w="62" w:type="dxa"/>
          </w:tblCellMar>
          <w:tblLook w:val="0000"/>
        </w:tblPrEx>
        <w:tc>
          <w:tcPr>
            <w:tcW w:w="28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774F">
            <w:pPr>
              <w:pStyle w:val="BodyText"/>
              <w:rPr>
                <w:lang w:val="en-NZ"/>
              </w:rPr>
            </w:pPr>
            <w:r w:rsidRPr="00F4774F">
              <w:rPr>
                <w:rStyle w:val="SpecialBold"/>
              </w:rPr>
              <w:t>Review features and functions of robotic applications</w:t>
            </w:r>
          </w:p>
        </w:tc>
        <w:tc>
          <w:tcPr>
            <w:tcW w:w="64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774F">
            <w:pPr>
              <w:pStyle w:val="BodyText"/>
              <w:rPr>
                <w:lang w:val="en-NZ"/>
              </w:rPr>
            </w:pPr>
            <w:r w:rsidRPr="00F4774F">
              <w:t>Features and functions may be assessed by analysis of specifications and drawings, ‘reverse engineering’ of robotic applications and performance analysis using</w:t>
            </w:r>
            <w:r w:rsidRPr="00F4774F">
              <w:t xml:space="preserve"> simulation and dynamic performance software. The review may include motion control but does not require validation of dynamic stability which is included in other units and dependant on solution of differential equations</w:t>
            </w:r>
          </w:p>
        </w:tc>
      </w:tr>
      <w:tr w:rsidTr="00F4774F">
        <w:tblPrEx>
          <w:tblW w:w="9322" w:type="dxa"/>
          <w:tblLayout w:type="fixed"/>
          <w:tblCellMar>
            <w:left w:w="62" w:type="dxa"/>
            <w:right w:w="62" w:type="dxa"/>
          </w:tblCellMar>
          <w:tblLook w:val="0000"/>
        </w:tblPrEx>
        <w:tc>
          <w:tcPr>
            <w:tcW w:w="28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774F">
            <w:pPr>
              <w:pStyle w:val="BodyText"/>
              <w:rPr>
                <w:lang w:val="en-NZ"/>
              </w:rPr>
            </w:pPr>
            <w:r w:rsidRPr="00F4774F">
              <w:rPr>
                <w:rStyle w:val="SpecialBold"/>
              </w:rPr>
              <w:t>Sensor and actuator interfacing techniques</w:t>
            </w:r>
          </w:p>
        </w:tc>
        <w:tc>
          <w:tcPr>
            <w:tcW w:w="64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774F" w:rsidP="00F4774F">
            <w:pPr>
              <w:pStyle w:val="BodyText"/>
            </w:pPr>
            <w:r w:rsidRPr="00F4774F">
              <w:t>Sensor and actuator interfacing techniques include the use of:</w:t>
            </w:r>
          </w:p>
          <w:p w:rsidR="00000000" w:rsidP="00F4774F">
            <w:pPr>
              <w:pStyle w:val="ListBullet"/>
              <w:rPr>
                <w:lang w:val="en-NZ"/>
              </w:rPr>
            </w:pPr>
            <w:r w:rsidRPr="00F4774F">
              <w:t>signal conditioning techniques and ADC, power interfacing and DAC and PWM</w:t>
            </w:r>
          </w:p>
        </w:tc>
      </w:tr>
      <w:tr w:rsidTr="00F4774F">
        <w:tblPrEx>
          <w:tblW w:w="9322" w:type="dxa"/>
          <w:tblLayout w:type="fixed"/>
          <w:tblCellMar>
            <w:left w:w="62" w:type="dxa"/>
            <w:right w:w="62" w:type="dxa"/>
          </w:tblCellMar>
          <w:tblLook w:val="0000"/>
        </w:tblPrEx>
        <w:tc>
          <w:tcPr>
            <w:tcW w:w="28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774F">
            <w:pPr>
              <w:pStyle w:val="BodyText"/>
              <w:rPr>
                <w:lang w:val="en-NZ"/>
              </w:rPr>
            </w:pPr>
            <w:r w:rsidRPr="00F4774F">
              <w:rPr>
                <w:rStyle w:val="SpecialBold"/>
              </w:rPr>
              <w:t>Controller programming techniques for motion control and load handling</w:t>
            </w:r>
          </w:p>
        </w:tc>
        <w:tc>
          <w:tcPr>
            <w:tcW w:w="64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774F" w:rsidP="00F4774F">
            <w:pPr>
              <w:pStyle w:val="BodyText"/>
            </w:pPr>
            <w:r w:rsidRPr="00F4774F">
              <w:t>Controller programming techniques may include the use of various motion pathway methods, including:</w:t>
            </w:r>
          </w:p>
          <w:p w:rsidR="00000000" w:rsidRPr="00F4774F" w:rsidP="00F4774F">
            <w:pPr>
              <w:pStyle w:val="ListBullet"/>
            </w:pPr>
            <w:r w:rsidRPr="00F4774F">
              <w:t>‘teach’ mode or coordinate and path programming</w:t>
            </w:r>
          </w:p>
          <w:p w:rsidR="00000000" w:rsidRPr="00F4774F" w:rsidP="00F4774F">
            <w:pPr>
              <w:pStyle w:val="ListBullet"/>
            </w:pPr>
            <w:r w:rsidRPr="00F4774F">
              <w:t>use of variable velocity algorithms</w:t>
            </w:r>
          </w:p>
          <w:p w:rsidR="00000000" w:rsidP="00F4774F">
            <w:pPr>
              <w:pStyle w:val="ListBullet"/>
              <w:rPr>
                <w:lang w:val="en-NZ"/>
              </w:rPr>
            </w:pPr>
            <w:r w:rsidRPr="00F4774F">
              <w:t>provision for input variables, such as contact, proximity, measured dis</w:t>
            </w:r>
            <w:r w:rsidRPr="00F4774F">
              <w:t>tance or load and vision, pressure and temperature, and open and closed loop actuator control</w:t>
            </w:r>
          </w:p>
        </w:tc>
      </w:tr>
      <w:tr w:rsidTr="00F4774F">
        <w:tblPrEx>
          <w:tblW w:w="9322" w:type="dxa"/>
          <w:tblLayout w:type="fixed"/>
          <w:tblCellMar>
            <w:left w:w="62" w:type="dxa"/>
            <w:right w:w="62" w:type="dxa"/>
          </w:tblCellMar>
          <w:tblLook w:val="0000"/>
        </w:tblPrEx>
        <w:tc>
          <w:tcPr>
            <w:tcW w:w="28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774F">
            <w:pPr>
              <w:pStyle w:val="BodyText"/>
              <w:rPr>
                <w:lang w:val="en-NZ"/>
              </w:rPr>
            </w:pPr>
            <w:r w:rsidRPr="00F4774F">
              <w:rPr>
                <w:rStyle w:val="SpecialBold"/>
              </w:rPr>
              <w:t xml:space="preserve">Sustainability </w:t>
            </w:r>
          </w:p>
        </w:tc>
        <w:tc>
          <w:tcPr>
            <w:tcW w:w="64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774F" w:rsidP="00F4774F">
            <w:pPr>
              <w:pStyle w:val="BodyText"/>
            </w:pPr>
            <w:r w:rsidRPr="00F4774F">
              <w:t>Sustainability is used to mean the entire sustainable performance of the organisation/plant, including:</w:t>
            </w:r>
          </w:p>
          <w:p w:rsidR="00000000" w:rsidRPr="00F4774F" w:rsidP="00F4774F">
            <w:pPr>
              <w:pStyle w:val="ListBullet"/>
            </w:pPr>
            <w:r w:rsidRPr="00F4774F">
              <w:t>meeting all regulatory requirements</w:t>
            </w:r>
          </w:p>
          <w:p w:rsidR="00000000" w:rsidRPr="00F4774F" w:rsidP="00F4774F">
            <w:pPr>
              <w:pStyle w:val="ListBullet"/>
            </w:pPr>
            <w:r w:rsidRPr="00F4774F">
              <w:t>conf</w:t>
            </w:r>
            <w:r w:rsidRPr="00F4774F">
              <w:t>orming to all industry covenants, protocols and best practice guides</w:t>
            </w:r>
          </w:p>
          <w:p w:rsidR="00000000" w:rsidRPr="00F4774F" w:rsidP="00F4774F">
            <w:pPr>
              <w:pStyle w:val="ListBullet"/>
            </w:pPr>
            <w:r w:rsidRPr="00F4774F">
              <w:t>minimising ecological and environmental footprint of process, plant and product</w:t>
            </w:r>
          </w:p>
          <w:p w:rsidR="00000000" w:rsidRPr="00F4774F" w:rsidP="00F4774F">
            <w:pPr>
              <w:pStyle w:val="ListBullet"/>
            </w:pPr>
            <w:r w:rsidRPr="00F4774F">
              <w:t xml:space="preserve">maximising economic benefit of process plant and product to the organisation and the community </w:t>
            </w:r>
          </w:p>
          <w:p w:rsidR="00000000" w:rsidP="00F4774F">
            <w:pPr>
              <w:pStyle w:val="ListBullet"/>
              <w:rPr>
                <w:lang w:val="en-NZ"/>
              </w:rPr>
            </w:pPr>
            <w:r w:rsidRPr="00F4774F">
              <w:t>minimising the negative WHS impact on employees, community and customer</w:t>
            </w:r>
          </w:p>
        </w:tc>
      </w:tr>
      <w:tr w:rsidTr="00F4774F">
        <w:tblPrEx>
          <w:tblW w:w="9322" w:type="dxa"/>
          <w:tblLayout w:type="fixed"/>
          <w:tblCellMar>
            <w:left w:w="62" w:type="dxa"/>
            <w:right w:w="62" w:type="dxa"/>
          </w:tblCellMar>
          <w:tblLook w:val="0000"/>
        </w:tblPrEx>
        <w:trPr>
          <w:trHeight w:val="1185"/>
        </w:trPr>
        <w:tc>
          <w:tcPr>
            <w:tcW w:w="28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774F">
            <w:pPr>
              <w:pStyle w:val="BodyText"/>
              <w:rPr>
                <w:lang w:val="en-NZ"/>
              </w:rPr>
            </w:pPr>
            <w:r w:rsidRPr="00F4774F">
              <w:rPr>
                <w:rStyle w:val="SpecialBold"/>
              </w:rPr>
              <w:t>Analysis</w:t>
            </w:r>
          </w:p>
        </w:tc>
        <w:tc>
          <w:tcPr>
            <w:tcW w:w="64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774F" w:rsidP="00F4774F">
            <w:pPr>
              <w:pStyle w:val="BodyText"/>
            </w:pPr>
            <w:r w:rsidRPr="00F4774F">
              <w:t>Analysis may include:</w:t>
            </w:r>
          </w:p>
          <w:p w:rsidR="00000000" w:rsidRPr="00F4774F" w:rsidP="00F4774F">
            <w:pPr>
              <w:pStyle w:val="ListBullet"/>
            </w:pPr>
            <w:r w:rsidRPr="00F4774F">
              <w:t>static and dynamic analysis of loads</w:t>
            </w:r>
          </w:p>
          <w:p w:rsidR="00000000" w:rsidRPr="00F4774F" w:rsidP="00F4774F">
            <w:pPr>
              <w:pStyle w:val="ListBullet"/>
            </w:pPr>
            <w:r w:rsidRPr="00F4774F">
              <w:t>the stresses and deformations resulting</w:t>
            </w:r>
          </w:p>
          <w:p w:rsidR="00000000" w:rsidP="00F4774F">
            <w:pPr>
              <w:pStyle w:val="ListBullet"/>
              <w:rPr>
                <w:lang w:val="en-NZ"/>
              </w:rPr>
            </w:pPr>
            <w:r w:rsidRPr="00F4774F">
              <w:t>graphical and mathematical methods and software options</w:t>
            </w:r>
          </w:p>
        </w:tc>
      </w:tr>
      <w:tr w:rsidTr="00F4774F">
        <w:tblPrEx>
          <w:tblW w:w="9322" w:type="dxa"/>
          <w:tblLayout w:type="fixed"/>
          <w:tblCellMar>
            <w:left w:w="62" w:type="dxa"/>
            <w:right w:w="62" w:type="dxa"/>
          </w:tblCellMar>
          <w:tblLook w:val="0000"/>
        </w:tblPrEx>
        <w:tc>
          <w:tcPr>
            <w:tcW w:w="28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774F" w:rsidP="00F4774F">
            <w:pPr>
              <w:pStyle w:val="BodyText"/>
            </w:pPr>
            <w:r w:rsidRPr="00F4774F">
              <w:rPr>
                <w:rStyle w:val="SpecialBold"/>
              </w:rPr>
              <w:t>WHS, regulatory r</w:t>
            </w:r>
            <w:r w:rsidRPr="00F4774F">
              <w:rPr>
                <w:rStyle w:val="SpecialBold"/>
              </w:rPr>
              <w:t>equirements and enterprise procedures</w:t>
            </w:r>
          </w:p>
          <w:p w:rsidR="00000000">
            <w:pPr>
              <w:pStyle w:val="BodyText"/>
              <w:keepNext w:val="0"/>
              <w:keepLines w:val="0"/>
              <w:contextualSpacing w:val="0"/>
              <w:rPr>
                <w:rFonts w:ascii="Tahoma" w:hAnsi="Tahoma"/>
                <w:color w:val="000000"/>
                <w:sz w:val="20"/>
                <w:lang w:val="en-NZ"/>
              </w:rPr>
            </w:pPr>
          </w:p>
        </w:tc>
        <w:tc>
          <w:tcPr>
            <w:tcW w:w="64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774F" w:rsidP="00F4774F">
            <w:pPr>
              <w:pStyle w:val="BodyText"/>
            </w:pPr>
            <w:r w:rsidRPr="00F4774F">
              <w:t>WHS, regulatory requirements and enterprise procedures may include:</w:t>
            </w:r>
          </w:p>
          <w:p w:rsidR="00000000" w:rsidRPr="00F4774F" w:rsidP="00F4774F">
            <w:pPr>
              <w:pStyle w:val="ListBullet"/>
            </w:pPr>
            <w:r w:rsidRPr="00F4774F">
              <w:t>WHS Acts and regulations</w:t>
            </w:r>
          </w:p>
          <w:p w:rsidR="00000000" w:rsidRPr="00F4774F" w:rsidP="00F4774F">
            <w:pPr>
              <w:pStyle w:val="ListBullet"/>
            </w:pPr>
            <w:r w:rsidRPr="00F4774F">
              <w:t>relevant standards</w:t>
            </w:r>
          </w:p>
          <w:p w:rsidR="00000000" w:rsidRPr="00F4774F" w:rsidP="00F4774F">
            <w:pPr>
              <w:pStyle w:val="ListBullet"/>
            </w:pPr>
            <w:r w:rsidRPr="00F4774F">
              <w:t>codes of practice from Australian and overseas engineering and technical associations and societies</w:t>
            </w:r>
          </w:p>
          <w:p w:rsidR="00000000" w:rsidRPr="00F4774F" w:rsidP="00F4774F">
            <w:pPr>
              <w:pStyle w:val="ListBullet"/>
            </w:pPr>
            <w:r w:rsidRPr="00F4774F">
              <w:t>risk assessments</w:t>
            </w:r>
          </w:p>
          <w:p w:rsidR="00000000" w:rsidRPr="00F4774F" w:rsidP="00F4774F">
            <w:pPr>
              <w:pStyle w:val="ListBullet"/>
            </w:pPr>
            <w:r w:rsidRPr="00F4774F">
              <w:t xml:space="preserve">registration requirements </w:t>
            </w:r>
          </w:p>
          <w:p w:rsidR="00000000" w:rsidRPr="00F4774F" w:rsidP="00F4774F">
            <w:pPr>
              <w:pStyle w:val="ListBullet"/>
            </w:pPr>
            <w:r w:rsidRPr="00F4774F">
              <w:t>safe work practices</w:t>
            </w:r>
          </w:p>
          <w:p w:rsidR="00000000" w:rsidP="00F4774F">
            <w:pPr>
              <w:pStyle w:val="ListBullet"/>
              <w:rPr>
                <w:lang w:val="en-NZ"/>
              </w:rPr>
            </w:pPr>
            <w:r w:rsidRPr="00F4774F">
              <w:t xml:space="preserve">state and territory regulatory requirements </w:t>
            </w:r>
          </w:p>
        </w:tc>
      </w:tr>
      <w:tr w:rsidTr="00F4774F">
        <w:tblPrEx>
          <w:tblW w:w="9322" w:type="dxa"/>
          <w:tblLayout w:type="fixed"/>
          <w:tblCellMar>
            <w:left w:w="62" w:type="dxa"/>
            <w:right w:w="62" w:type="dxa"/>
          </w:tblCellMar>
          <w:tblLook w:val="0000"/>
        </w:tblPrEx>
        <w:trPr>
          <w:trHeight w:val="566"/>
        </w:trPr>
        <w:tc>
          <w:tcPr>
            <w:tcW w:w="28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774F">
            <w:pPr>
              <w:pStyle w:val="BodyText"/>
              <w:rPr>
                <w:lang w:val="en-NZ"/>
              </w:rPr>
            </w:pPr>
            <w:r w:rsidRPr="00F4774F">
              <w:rPr>
                <w:rStyle w:val="SpecialBold"/>
              </w:rPr>
              <w:t>Standards and codes</w:t>
            </w:r>
          </w:p>
        </w:tc>
        <w:tc>
          <w:tcPr>
            <w:tcW w:w="64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774F">
            <w:pPr>
              <w:pStyle w:val="BodyText"/>
              <w:rPr>
                <w:lang w:val="en-NZ"/>
              </w:rPr>
            </w:pPr>
            <w:r w:rsidRPr="00F4774F">
              <w:t xml:space="preserve">Standards and codes refer to all relevant Australian and international standards and codes applicable to a particular robotic </w:t>
            </w:r>
            <w:r w:rsidRPr="00F4774F">
              <w:t>application</w:t>
            </w:r>
          </w:p>
        </w:tc>
      </w:tr>
      <w:tr w:rsidTr="00F4774F">
        <w:tblPrEx>
          <w:tblW w:w="9322" w:type="dxa"/>
          <w:tblLayout w:type="fixed"/>
          <w:tblCellMar>
            <w:left w:w="62" w:type="dxa"/>
            <w:right w:w="62" w:type="dxa"/>
          </w:tblCellMar>
          <w:tblLook w:val="0000"/>
        </w:tblPrEx>
        <w:tc>
          <w:tcPr>
            <w:tcW w:w="28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774F">
            <w:pPr>
              <w:pStyle w:val="BodyText"/>
              <w:rPr>
                <w:lang w:val="en-NZ"/>
              </w:rPr>
            </w:pPr>
            <w:r w:rsidRPr="00F4774F">
              <w:rPr>
                <w:rStyle w:val="SpecialBold"/>
              </w:rPr>
              <w:t>Automation safety</w:t>
            </w:r>
          </w:p>
        </w:tc>
        <w:tc>
          <w:tcPr>
            <w:tcW w:w="64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774F">
            <w:pPr>
              <w:pStyle w:val="BodyText"/>
              <w:rPr>
                <w:lang w:val="en-NZ"/>
              </w:rPr>
            </w:pPr>
            <w:r w:rsidRPr="00F4774F">
              <w:t xml:space="preserve">Automation safety refers to the reliance on emergency stop, failsafe design, redundancy, interlocks, guarding and data integrity. Standards </w:t>
            </w:r>
            <w:r w:rsidRPr="00F4774F">
              <w:t>apply to general plant design and use as well as the functional safety of safety-related electrical, electronic and programmable electronic control systems</w:t>
            </w:r>
          </w:p>
        </w:tc>
      </w:tr>
      <w:tr w:rsidTr="00F4774F">
        <w:tblPrEx>
          <w:tblW w:w="9322" w:type="dxa"/>
          <w:tblLayout w:type="fixed"/>
          <w:tblCellMar>
            <w:left w:w="62" w:type="dxa"/>
            <w:right w:w="62" w:type="dxa"/>
          </w:tblCellMar>
          <w:tblLook w:val="0000"/>
        </w:tblPrEx>
        <w:tc>
          <w:tcPr>
            <w:tcW w:w="28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774F">
            <w:pPr>
              <w:pStyle w:val="BodyText"/>
              <w:rPr>
                <w:lang w:val="en-NZ"/>
              </w:rPr>
            </w:pPr>
            <w:r w:rsidRPr="00F4774F">
              <w:rPr>
                <w:rStyle w:val="SpecialBold"/>
              </w:rPr>
              <w:t>Appropriate technical and professional assistance</w:t>
            </w:r>
          </w:p>
        </w:tc>
        <w:tc>
          <w:tcPr>
            <w:tcW w:w="64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774F" w:rsidP="00F4774F">
            <w:pPr>
              <w:pStyle w:val="BodyText"/>
            </w:pPr>
            <w:r w:rsidRPr="00F4774F">
              <w:t>Appropriate technical and professional assistance</w:t>
            </w:r>
            <w:r w:rsidRPr="00F4774F">
              <w:t xml:space="preserve"> may include:</w:t>
            </w:r>
          </w:p>
          <w:p w:rsidR="00000000" w:rsidRPr="00F4774F" w:rsidP="00F4774F">
            <w:pPr>
              <w:pStyle w:val="ListBullet"/>
            </w:pPr>
            <w:r w:rsidRPr="00F4774F">
              <w:t>licensed electrical tradespersons</w:t>
            </w:r>
          </w:p>
          <w:p w:rsidR="00000000" w:rsidRPr="00F4774F" w:rsidP="00F4774F">
            <w:pPr>
              <w:pStyle w:val="ListBullet"/>
            </w:pPr>
            <w:r w:rsidRPr="00F4774F">
              <w:t>technical support and advice relating to elements which have intrinsic dangers, such as:</w:t>
            </w:r>
          </w:p>
          <w:p w:rsidR="00000000" w:rsidRPr="00F4774F" w:rsidP="00F4774F">
            <w:pPr>
              <w:pStyle w:val="ListBullet2"/>
            </w:pPr>
            <w:r w:rsidRPr="00F4774F">
              <w:t>high pressure</w:t>
            </w:r>
          </w:p>
          <w:p w:rsidR="00000000" w:rsidRPr="00F4774F" w:rsidP="00F4774F">
            <w:pPr>
              <w:pStyle w:val="ListBullet2"/>
            </w:pPr>
            <w:r w:rsidRPr="00F4774F">
              <w:t>energised fluid vessels</w:t>
            </w:r>
          </w:p>
          <w:p w:rsidR="00000000" w:rsidRPr="00F4774F" w:rsidP="00F4774F">
            <w:pPr>
              <w:pStyle w:val="ListBullet2"/>
            </w:pPr>
            <w:r w:rsidRPr="00F4774F">
              <w:t>high temperatures and heat energy capacity</w:t>
            </w:r>
          </w:p>
          <w:p w:rsidR="00000000" w:rsidRPr="00F4774F" w:rsidP="00F4774F">
            <w:pPr>
              <w:pStyle w:val="ListBullet2"/>
            </w:pPr>
            <w:r w:rsidRPr="00F4774F">
              <w:t>wiring with high current control voltages above extra low voltage</w:t>
            </w:r>
          </w:p>
          <w:p w:rsidR="00000000" w:rsidRPr="00F4774F" w:rsidP="00F4774F">
            <w:pPr>
              <w:pStyle w:val="ListBullet"/>
            </w:pPr>
            <w:r w:rsidRPr="00F4774F">
              <w:t>professional support for technologies, such as:</w:t>
            </w:r>
          </w:p>
          <w:p w:rsidR="00000000" w:rsidRPr="00F4774F" w:rsidP="00F4774F">
            <w:pPr>
              <w:pStyle w:val="ListBullet2"/>
            </w:pPr>
            <w:r w:rsidRPr="00F4774F">
              <w:t>specialist electric motor drives and controllers</w:t>
            </w:r>
          </w:p>
          <w:p w:rsidR="00000000" w:rsidRPr="00F4774F" w:rsidP="00F4774F">
            <w:pPr>
              <w:pStyle w:val="ListBullet2"/>
            </w:pPr>
            <w:r w:rsidRPr="00F4774F">
              <w:t>specialist materials, plastics, metal alloys and nano materials</w:t>
            </w:r>
          </w:p>
          <w:p w:rsidR="00000000" w:rsidRPr="00F4774F" w:rsidP="00F4774F">
            <w:pPr>
              <w:pStyle w:val="ListBullet2"/>
            </w:pPr>
            <w:r w:rsidRPr="00F4774F">
              <w:t>special processes, foundry,</w:t>
            </w:r>
            <w:r w:rsidRPr="00F4774F">
              <w:t xml:space="preserve"> alloy welding, heat treatment, </w:t>
            </w:r>
            <w:r w:rsidRPr="00F4774F">
              <w:t>sealing and fastening</w:t>
            </w:r>
          </w:p>
        </w:tc>
      </w:tr>
    </w:tbl>
    <w:p w:rsidR="00000000" w:rsidRPr="00F4774F" w:rsidP="00F4774F">
      <w:pPr>
        <w:pStyle w:val="BodyText"/>
      </w:pPr>
    </w:p>
    <w:p w:rsidR="00000000" w:rsidRPr="00F4774F" w:rsidP="00F4774F">
      <w:pPr>
        <w:pStyle w:val="AllowPageBreak"/>
      </w:pPr>
    </w:p>
    <w:p w:rsidR="00000000" w:rsidRPr="00F4774F" w:rsidP="00F4774F">
      <w:pPr>
        <w:pStyle w:val="Heading1"/>
      </w:pPr>
      <w:bookmarkStart w:id="12" w:name="O_520040"/>
      <w:bookmarkEnd w:id="12"/>
      <w:r w:rsidRPr="00F4774F">
        <w:t>Unit Sector(s)</w:t>
      </w:r>
    </w:p>
    <w:tbl>
      <w:tblPr>
        <w:tblW w:w="0" w:type="auto"/>
        <w:tblCellMar>
          <w:left w:w="62" w:type="dxa"/>
          <w:right w:w="62" w:type="dxa"/>
        </w:tblCellMar>
        <w:tblLook w:val="0000"/>
      </w:tblPr>
      <w:tblGrid>
        <w:gridCol w:w="2576"/>
        <w:gridCol w:w="6620"/>
      </w:tblGrid>
      <w:tr w:rsidTr="0009326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4774F">
            <w:pPr>
              <w:pStyle w:val="BodyText"/>
              <w:rPr>
                <w:lang w:val="en-NZ"/>
              </w:rPr>
            </w:pPr>
            <w:r w:rsidRPr="00F4774F">
              <w:rPr>
                <w:rStyle w:val="SpecialBold"/>
              </w:rPr>
              <w:t>Competency field</w:t>
            </w:r>
          </w:p>
        </w:tc>
        <w:tc>
          <w:tcPr>
            <w:tcW w:w="0" w:type="auto"/>
            <w:tcBorders>
              <w:top w:val="nil"/>
              <w:left w:val="nil"/>
              <w:bottom w:val="nil"/>
              <w:right w:val="nil"/>
            </w:tcBorders>
            <w:tcMar>
              <w:top w:w="0" w:type="dxa"/>
              <w:left w:w="62" w:type="dxa"/>
              <w:bottom w:w="0" w:type="dxa"/>
              <w:right w:w="62" w:type="dxa"/>
            </w:tcMar>
          </w:tcPr>
          <w:p w:rsidR="00000000" w:rsidP="00F4774F">
            <w:pPr>
              <w:pStyle w:val="BodyText"/>
              <w:rPr>
                <w:lang w:val="en-NZ"/>
              </w:rPr>
            </w:pPr>
          </w:p>
        </w:tc>
      </w:tr>
      <w:tr w:rsidTr="0009326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4774F">
            <w:pPr>
              <w:pStyle w:val="BodyText"/>
              <w:rPr>
                <w:lang w:val="en-NZ"/>
              </w:rPr>
            </w:pPr>
            <w:r w:rsidRPr="00F4774F">
              <w:rPr>
                <w:rStyle w:val="SpecialBold"/>
              </w:rPr>
              <w:t>Unit sector</w:t>
            </w:r>
          </w:p>
        </w:tc>
        <w:tc>
          <w:tcPr>
            <w:tcW w:w="0" w:type="auto"/>
            <w:tcBorders>
              <w:top w:val="nil"/>
              <w:left w:val="nil"/>
              <w:bottom w:val="nil"/>
              <w:right w:val="nil"/>
            </w:tcBorders>
            <w:tcMar>
              <w:top w:w="0" w:type="dxa"/>
              <w:left w:w="62" w:type="dxa"/>
              <w:bottom w:w="0" w:type="dxa"/>
              <w:right w:w="62" w:type="dxa"/>
            </w:tcMar>
          </w:tcPr>
          <w:p w:rsidR="00000000" w:rsidRPr="00F4774F" w:rsidP="00F4774F">
            <w:pPr>
              <w:pStyle w:val="BodyText"/>
            </w:pPr>
          </w:p>
        </w:tc>
      </w:tr>
    </w:tbl>
    <w:p w:rsidR="00000000" w:rsidRPr="00F4774F" w:rsidP="00F4774F">
      <w:pPr>
        <w:pStyle w:val="BodyText"/>
      </w:pPr>
    </w:p>
    <w:p w:rsidR="00000000" w:rsidRPr="00F4774F" w:rsidP="00F4774F">
      <w:pPr>
        <w:pStyle w:val="AllowPageBreak"/>
      </w:pPr>
    </w:p>
    <w:p w:rsidR="00000000" w:rsidRPr="00F4774F" w:rsidP="00F4774F">
      <w:pPr>
        <w:pStyle w:val="Heading1"/>
      </w:pPr>
      <w:bookmarkStart w:id="13" w:name="O_520039"/>
      <w:bookmarkEnd w:id="13"/>
      <w:r w:rsidRPr="00F4774F">
        <w:t>Custom Content Section</w:t>
      </w:r>
    </w:p>
    <w:p w:rsidR="00000000" w:rsidRPr="00F4774F" w:rsidP="00F4774F">
      <w:pPr>
        <w:pStyle w:val="BodyText"/>
      </w:pPr>
      <w:r w:rsidRPr="00F4774F">
        <w:t>Not applicable.</w:t>
      </w:r>
    </w:p>
    <w:p w:rsidR="00000000" w:rsidRPr="00F4774F" w:rsidP="00F4774F"/>
    <w:sectPr w:rsidSect="00F4774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774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774F" w:rsidRPr="0009326B" w:rsidP="0009326B">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774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326B" w:rsidP="00F4774F">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09326B" w:rsidP="00F4774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09326B" w:rsidP="00F4774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774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774F" w:rsidRPr="0009326B" w:rsidP="0009326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774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326B" w:rsidRPr="002D2AF8" w:rsidP="00F4774F">
    <w:pPr>
      <w:pStyle w:val="Header"/>
      <w:framePr w:wrap="around"/>
    </w:pPr>
    <w:r>
      <w:fldChar w:fldCharType="begin"/>
    </w:r>
    <w:r>
      <w:instrText xml:space="preserve"> TITLE   \* MERGEFORMAT </w:instrText>
    </w:r>
    <w:r>
      <w:fldChar w:fldCharType="separate"/>
    </w:r>
    <w:r>
      <w:t>MEM23126A Evaluate industrial robotic applications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December 2012</w:t>
    </w:r>
    <w:r>
      <w:fldChar w:fldCharType="end"/>
    </w:r>
  </w:p>
  <w:p w:rsidR="0009326B" w:rsidP="00F4774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226A7B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13CB15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37ABCF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774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4774F"/>
    <w:pPr>
      <w:spacing w:before="360" w:after="60"/>
      <w:outlineLvl w:val="0"/>
    </w:pPr>
    <w:rPr>
      <w:sz w:val="32"/>
    </w:rPr>
  </w:style>
  <w:style w:type="paragraph" w:styleId="Heading2">
    <w:name w:val="heading 2"/>
    <w:basedOn w:val="HeadingBase"/>
    <w:next w:val="BodyText"/>
    <w:link w:val="Heading2Char"/>
    <w:qFormat/>
    <w:rsid w:val="00F4774F"/>
    <w:pPr>
      <w:keepLines/>
      <w:spacing w:before="240" w:after="120"/>
      <w:outlineLvl w:val="1"/>
    </w:pPr>
    <w:rPr>
      <w:sz w:val="28"/>
      <w:szCs w:val="40"/>
    </w:rPr>
  </w:style>
  <w:style w:type="paragraph" w:styleId="Heading3">
    <w:name w:val="heading 3"/>
    <w:basedOn w:val="HeadingBase"/>
    <w:next w:val="BodyText"/>
    <w:link w:val="Heading3Char"/>
    <w:qFormat/>
    <w:rsid w:val="00F4774F"/>
    <w:pPr>
      <w:spacing w:before="180" w:after="120"/>
      <w:outlineLvl w:val="2"/>
    </w:pPr>
    <w:rPr>
      <w:spacing w:val="-10"/>
      <w:kern w:val="32"/>
    </w:rPr>
  </w:style>
  <w:style w:type="paragraph" w:styleId="Heading4">
    <w:name w:val="heading 4"/>
    <w:basedOn w:val="HeadingBase"/>
    <w:next w:val="BodyText"/>
    <w:link w:val="Heading4Char"/>
    <w:qFormat/>
    <w:rsid w:val="00F4774F"/>
    <w:pPr>
      <w:spacing w:before="160" w:after="120"/>
      <w:outlineLvl w:val="3"/>
    </w:pPr>
    <w:rPr>
      <w:sz w:val="22"/>
    </w:rPr>
  </w:style>
  <w:style w:type="paragraph" w:styleId="Heading5">
    <w:name w:val="heading 5"/>
    <w:basedOn w:val="HeadingBase"/>
    <w:next w:val="Normal"/>
    <w:link w:val="Heading5Char"/>
    <w:qFormat/>
    <w:rsid w:val="00F4774F"/>
    <w:pPr>
      <w:spacing w:before="80"/>
      <w:outlineLvl w:val="4"/>
    </w:pPr>
    <w:rPr>
      <w:color w:val="918585"/>
      <w:sz w:val="20"/>
    </w:rPr>
  </w:style>
  <w:style w:type="paragraph" w:styleId="Heading6">
    <w:name w:val="heading 6"/>
    <w:basedOn w:val="HeadingBase"/>
    <w:next w:val="Normal"/>
    <w:link w:val="Heading6Char"/>
    <w:qFormat/>
    <w:rsid w:val="00F4774F"/>
    <w:pPr>
      <w:spacing w:before="60"/>
      <w:outlineLvl w:val="5"/>
    </w:pPr>
    <w:rPr>
      <w:color w:val="918585"/>
      <w:sz w:val="20"/>
    </w:rPr>
  </w:style>
  <w:style w:type="paragraph" w:styleId="Heading7">
    <w:name w:val="heading 7"/>
    <w:basedOn w:val="Normal"/>
    <w:next w:val="Normal"/>
    <w:link w:val="Heading7Char"/>
    <w:qFormat/>
    <w:rsid w:val="00F4774F"/>
    <w:pPr>
      <w:ind w:left="720"/>
      <w:outlineLvl w:val="6"/>
    </w:pPr>
    <w:rPr>
      <w:i/>
    </w:rPr>
  </w:style>
  <w:style w:type="paragraph" w:styleId="Heading8">
    <w:name w:val="heading 8"/>
    <w:basedOn w:val="Normal"/>
    <w:next w:val="Normal"/>
    <w:link w:val="Heading8Char"/>
    <w:qFormat/>
    <w:rsid w:val="00F4774F"/>
    <w:pPr>
      <w:ind w:left="720"/>
      <w:outlineLvl w:val="7"/>
    </w:pPr>
    <w:rPr>
      <w:i/>
    </w:rPr>
  </w:style>
  <w:style w:type="paragraph" w:styleId="Heading9">
    <w:name w:val="heading 9"/>
    <w:basedOn w:val="Normal"/>
    <w:next w:val="Normal"/>
    <w:link w:val="Heading9Char"/>
    <w:qFormat/>
    <w:rsid w:val="00F4774F"/>
    <w:pPr>
      <w:ind w:left="720"/>
      <w:outlineLvl w:val="8"/>
    </w:pPr>
    <w:rPr>
      <w:i/>
    </w:rPr>
  </w:style>
  <w:style w:type="character" w:default="1" w:styleId="DefaultParagraphFont">
    <w:name w:val="Default Paragraph Font"/>
    <w:uiPriority w:val="1"/>
    <w:unhideWhenUsed/>
    <w:rsid w:val="00F4774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4774F"/>
  </w:style>
  <w:style w:type="character" w:customStyle="1" w:styleId="Heading1Char">
    <w:name w:val="Heading 1 Char"/>
    <w:basedOn w:val="DefaultParagraphFont"/>
    <w:link w:val="Heading1"/>
    <w:rsid w:val="00F4774F"/>
    <w:rPr>
      <w:rFonts w:ascii="Times New Roman" w:eastAsia="Times New Roman" w:hAnsi="Times New Roman" w:cs="Times New Roman"/>
      <w:b/>
      <w:sz w:val="32"/>
      <w:szCs w:val="20"/>
      <w:lang w:eastAsia="en-US"/>
    </w:rPr>
  </w:style>
  <w:style w:type="paragraph" w:styleId="BodyText">
    <w:name w:val="Body Text"/>
    <w:basedOn w:val="Normal"/>
    <w:link w:val="BodyTextChar"/>
    <w:rsid w:val="00F4774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4774F"/>
    <w:rPr>
      <w:rFonts w:ascii="Times New Roman" w:eastAsia="Times New Roman" w:hAnsi="Times New Roman" w:cs="Times New Roman"/>
      <w:sz w:val="24"/>
      <w:lang w:eastAsia="en-US"/>
    </w:rPr>
  </w:style>
  <w:style w:type="paragraph" w:styleId="ListBullet">
    <w:name w:val="List Bullet"/>
    <w:basedOn w:val="List"/>
    <w:rsid w:val="00F4774F"/>
    <w:pPr>
      <w:numPr>
        <w:numId w:val="13"/>
      </w:numPr>
      <w:tabs>
        <w:tab w:val="clear" w:pos="340"/>
      </w:tabs>
      <w:spacing w:before="40" w:after="40"/>
    </w:pPr>
  </w:style>
  <w:style w:type="character" w:customStyle="1" w:styleId="SpecialBold">
    <w:name w:val="Special Bold"/>
    <w:basedOn w:val="DefaultParagraphFont"/>
    <w:rsid w:val="00F4774F"/>
    <w:rPr>
      <w:b/>
      <w:spacing w:val="0"/>
    </w:rPr>
  </w:style>
  <w:style w:type="paragraph" w:styleId="ListBullet2">
    <w:name w:val="List Bullet 2"/>
    <w:basedOn w:val="List2"/>
    <w:rsid w:val="00F4774F"/>
    <w:pPr>
      <w:numPr>
        <w:numId w:val="14"/>
      </w:numPr>
      <w:tabs>
        <w:tab w:val="clear" w:pos="680"/>
      </w:tabs>
    </w:pPr>
  </w:style>
  <w:style w:type="paragraph" w:customStyle="1" w:styleId="SuperHeading">
    <w:name w:val="SuperHeading"/>
    <w:basedOn w:val="Normal"/>
    <w:rsid w:val="00F4774F"/>
    <w:pPr>
      <w:spacing w:before="240" w:after="120"/>
      <w:outlineLvl w:val="0"/>
    </w:pPr>
    <w:rPr>
      <w:rFonts w:ascii="Times New Roman" w:hAnsi="Times New Roman"/>
      <w:b/>
      <w:sz w:val="32"/>
    </w:rPr>
  </w:style>
  <w:style w:type="paragraph" w:customStyle="1" w:styleId="AllowPageBreak">
    <w:name w:val="AllowPageBreak"/>
    <w:rsid w:val="00F4774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4774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4774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4774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4774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4774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4774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4774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4774F"/>
    <w:rPr>
      <w:rFonts w:ascii="Courier New" w:eastAsia="Times New Roman" w:hAnsi="Courier New" w:cs="Times New Roman"/>
      <w:i/>
      <w:szCs w:val="20"/>
      <w:lang w:eastAsia="en-US"/>
    </w:rPr>
  </w:style>
  <w:style w:type="paragraph" w:customStyle="1" w:styleId="HeadingBase">
    <w:name w:val="Heading Base"/>
    <w:rsid w:val="00F4774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4774F"/>
    <w:pPr>
      <w:tabs>
        <w:tab w:val="right" w:leader="dot" w:pos="9072"/>
      </w:tabs>
      <w:ind w:left="567"/>
    </w:pPr>
    <w:rPr>
      <w:szCs w:val="22"/>
    </w:rPr>
  </w:style>
  <w:style w:type="paragraph" w:customStyle="1" w:styleId="TOCBase">
    <w:name w:val="TOC Base"/>
    <w:rsid w:val="00F4774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4774F"/>
    <w:pPr>
      <w:tabs>
        <w:tab w:val="right" w:leader="dot" w:pos="9072"/>
      </w:tabs>
      <w:spacing w:before="40" w:after="40"/>
      <w:ind w:left="284"/>
    </w:pPr>
    <w:rPr>
      <w:rFonts w:ascii="Times New Roman" w:hAnsi="Times New Roman"/>
    </w:rPr>
  </w:style>
  <w:style w:type="paragraph" w:styleId="TOC1">
    <w:name w:val="toc 1"/>
    <w:basedOn w:val="TOCBase"/>
    <w:next w:val="Normal"/>
    <w:rsid w:val="00F4774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4774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4774F"/>
    <w:rPr>
      <w:rFonts w:ascii="Times New Roman" w:eastAsia="Times New Roman" w:hAnsi="Times New Roman" w:cs="Times New Roman"/>
      <w:sz w:val="16"/>
      <w:lang w:eastAsia="en-US"/>
    </w:rPr>
  </w:style>
  <w:style w:type="paragraph" w:styleId="Title">
    <w:name w:val="Title"/>
    <w:basedOn w:val="HeadingBase"/>
    <w:link w:val="TitleChar"/>
    <w:qFormat/>
    <w:rsid w:val="00F4774F"/>
    <w:pPr>
      <w:spacing w:before="5040"/>
      <w:jc w:val="center"/>
    </w:pPr>
    <w:rPr>
      <w:sz w:val="48"/>
      <w:szCs w:val="72"/>
      <w:lang w:val="en-US"/>
    </w:rPr>
  </w:style>
  <w:style w:type="character" w:customStyle="1" w:styleId="TitleChar">
    <w:name w:val="Title Char"/>
    <w:basedOn w:val="DefaultParagraphFont"/>
    <w:link w:val="Title"/>
    <w:rsid w:val="00F4774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4774F"/>
    <w:pPr>
      <w:tabs>
        <w:tab w:val="left" w:pos="3600"/>
        <w:tab w:val="left" w:pos="3958"/>
      </w:tabs>
    </w:pPr>
  </w:style>
  <w:style w:type="paragraph" w:styleId="List">
    <w:name w:val="List"/>
    <w:basedOn w:val="BodyText"/>
    <w:next w:val="BodyText"/>
    <w:rsid w:val="00F4774F"/>
    <w:pPr>
      <w:tabs>
        <w:tab w:val="left" w:pos="340"/>
      </w:tabs>
      <w:spacing w:before="60" w:after="60"/>
      <w:ind w:left="340" w:hanging="340"/>
    </w:pPr>
  </w:style>
  <w:style w:type="paragraph" w:customStyle="1" w:styleId="Note">
    <w:name w:val="Note"/>
    <w:basedOn w:val="BodyText"/>
    <w:rsid w:val="00F4774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4774F"/>
    <w:pPr>
      <w:framePr w:wrap="auto" w:hAnchor="text" w:y="6049"/>
    </w:pPr>
    <w:rPr>
      <w:color w:val="000000"/>
      <w:sz w:val="40"/>
    </w:rPr>
  </w:style>
  <w:style w:type="paragraph" w:customStyle="1" w:styleId="TOCTitle">
    <w:name w:val="TOCTitle"/>
    <w:basedOn w:val="Heading1"/>
    <w:rsid w:val="00F4774F"/>
    <w:pPr>
      <w:spacing w:after="240"/>
      <w:jc w:val="center"/>
      <w:outlineLvl w:val="9"/>
    </w:pPr>
    <w:rPr>
      <w:caps/>
    </w:rPr>
  </w:style>
  <w:style w:type="paragraph" w:customStyle="1" w:styleId="Version">
    <w:name w:val="Version"/>
    <w:rsid w:val="00F4774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4774F"/>
    <w:pPr>
      <w:keepNext w:val="0"/>
      <w:tabs>
        <w:tab w:val="right" w:pos="4176"/>
      </w:tabs>
      <w:ind w:left="198" w:hanging="198"/>
    </w:pPr>
    <w:rPr>
      <w:rFonts w:ascii="Garamond" w:hAnsi="Garamond"/>
    </w:rPr>
  </w:style>
  <w:style w:type="paragraph" w:styleId="IndexHeading">
    <w:name w:val="index heading"/>
    <w:basedOn w:val="Normal"/>
    <w:next w:val="Index1"/>
    <w:semiHidden/>
    <w:rsid w:val="00F4774F"/>
    <w:pPr>
      <w:spacing w:before="120" w:after="120"/>
    </w:pPr>
    <w:rPr>
      <w:rFonts w:ascii="Arial" w:hAnsi="Arial"/>
      <w:b/>
      <w:color w:val="918585"/>
      <w:sz w:val="24"/>
    </w:rPr>
  </w:style>
  <w:style w:type="paragraph" w:styleId="Header">
    <w:name w:val="header"/>
    <w:basedOn w:val="Normal"/>
    <w:link w:val="HeaderChar"/>
    <w:rsid w:val="00F4774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4774F"/>
    <w:rPr>
      <w:rFonts w:ascii="Times New Roman" w:eastAsia="Times New Roman" w:hAnsi="Times New Roman" w:cs="Times New Roman"/>
      <w:sz w:val="16"/>
      <w:szCs w:val="20"/>
      <w:lang w:val="en-GB" w:eastAsia="en-US"/>
    </w:rPr>
  </w:style>
  <w:style w:type="paragraph" w:customStyle="1" w:styleId="Chapter">
    <w:name w:val="Chapter"/>
    <w:basedOn w:val="Normal"/>
    <w:rsid w:val="00F4774F"/>
    <w:pPr>
      <w:spacing w:before="240"/>
    </w:pPr>
    <w:rPr>
      <w:rFonts w:ascii="Times New Roman" w:hAnsi="Times New Roman"/>
      <w:smallCaps/>
      <w:spacing w:val="80"/>
      <w:sz w:val="28"/>
    </w:rPr>
  </w:style>
  <w:style w:type="paragraph" w:customStyle="1" w:styleId="InChapter">
    <w:name w:val="InChapter"/>
    <w:basedOn w:val="Heading3"/>
    <w:rsid w:val="00F4774F"/>
    <w:pPr>
      <w:spacing w:after="240"/>
      <w:outlineLvl w:val="9"/>
    </w:pPr>
    <w:rPr>
      <w:noProof/>
    </w:rPr>
  </w:style>
  <w:style w:type="paragraph" w:styleId="Index2">
    <w:name w:val="index 2"/>
    <w:basedOn w:val="Normal"/>
    <w:next w:val="Normal"/>
    <w:semiHidden/>
    <w:rsid w:val="00F4774F"/>
    <w:pPr>
      <w:tabs>
        <w:tab w:val="right" w:pos="4176"/>
      </w:tabs>
      <w:ind w:left="568" w:hanging="284"/>
    </w:pPr>
    <w:rPr>
      <w:rFonts w:ascii="Garamond" w:hAnsi="Garamond"/>
    </w:rPr>
  </w:style>
  <w:style w:type="paragraph" w:customStyle="1" w:styleId="Byline">
    <w:name w:val="Byline"/>
    <w:rsid w:val="00F4774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4774F"/>
    <w:pPr>
      <w:tabs>
        <w:tab w:val="clear" w:pos="3600"/>
        <w:tab w:val="clear" w:pos="3958"/>
      </w:tabs>
      <w:jc w:val="right"/>
    </w:pPr>
  </w:style>
  <w:style w:type="character" w:styleId="Emphasis">
    <w:name w:val="Emphasis"/>
    <w:basedOn w:val="DefaultParagraphFont"/>
    <w:qFormat/>
    <w:rsid w:val="00F4774F"/>
    <w:rPr>
      <w:i/>
    </w:rPr>
  </w:style>
  <w:style w:type="paragraph" w:styleId="Caption">
    <w:name w:val="caption"/>
    <w:basedOn w:val="BodyText"/>
    <w:next w:val="Normal"/>
    <w:qFormat/>
    <w:rsid w:val="00F4774F"/>
    <w:pPr>
      <w:framePr w:w="2268" w:hSpace="181" w:vSpace="181" w:wrap="around" w:vAnchor="text" w:hAnchor="page" w:x="1135" w:y="285" w:anchorLock="1"/>
    </w:pPr>
    <w:rPr>
      <w:i/>
    </w:rPr>
  </w:style>
  <w:style w:type="paragraph" w:customStyle="1" w:styleId="MiniTOCTitle">
    <w:name w:val="MiniTOCTitle"/>
    <w:basedOn w:val="Heading4"/>
    <w:rsid w:val="00F4774F"/>
    <w:pPr>
      <w:spacing w:before="240"/>
      <w:outlineLvl w:val="9"/>
    </w:pPr>
    <w:rPr>
      <w:noProof/>
      <w:sz w:val="24"/>
    </w:rPr>
  </w:style>
  <w:style w:type="paragraph" w:customStyle="1" w:styleId="MiniTOCItem">
    <w:name w:val="MiniTOCItem"/>
    <w:basedOn w:val="ListBullet"/>
    <w:rsid w:val="00F4774F"/>
    <w:pPr>
      <w:numPr>
        <w:numId w:val="0"/>
      </w:numPr>
      <w:tabs>
        <w:tab w:val="right" w:leader="dot" w:pos="6521"/>
      </w:tabs>
      <w:spacing w:before="0" w:after="0"/>
    </w:pPr>
  </w:style>
  <w:style w:type="paragraph" w:customStyle="1" w:styleId="TOFTitle">
    <w:name w:val="TOFTitle"/>
    <w:basedOn w:val="TOCTitle"/>
    <w:rsid w:val="00F4774F"/>
  </w:style>
  <w:style w:type="paragraph" w:styleId="TableofFigures">
    <w:name w:val="table of figures"/>
    <w:basedOn w:val="Normal"/>
    <w:next w:val="Normal"/>
    <w:semiHidden/>
    <w:rsid w:val="00F4774F"/>
    <w:pPr>
      <w:tabs>
        <w:tab w:val="right" w:leader="dot" w:pos="9072"/>
      </w:tabs>
      <w:ind w:left="970" w:hanging="403"/>
    </w:pPr>
    <w:rPr>
      <w:rFonts w:ascii="Times New Roman" w:hAnsi="Times New Roman"/>
      <w:b/>
    </w:rPr>
  </w:style>
  <w:style w:type="paragraph" w:styleId="ListNumber">
    <w:name w:val="List Number"/>
    <w:basedOn w:val="List"/>
    <w:rsid w:val="00F4774F"/>
    <w:pPr>
      <w:numPr>
        <w:numId w:val="11"/>
      </w:numPr>
    </w:pPr>
  </w:style>
  <w:style w:type="character" w:customStyle="1" w:styleId="WingdingSymbols">
    <w:name w:val="Wingding Symbols"/>
    <w:rsid w:val="00F4774F"/>
    <w:rPr>
      <w:rFonts w:ascii="Wingdings" w:hAnsi="Wingdings"/>
    </w:rPr>
  </w:style>
  <w:style w:type="paragraph" w:customStyle="1" w:styleId="TableHeading">
    <w:name w:val="Table Heading"/>
    <w:basedOn w:val="HeadingBase"/>
    <w:rsid w:val="00F4774F"/>
    <w:pPr>
      <w:keepLines/>
      <w:pBdr>
        <w:bottom w:val="single" w:sz="6" w:space="1" w:color="918585"/>
      </w:pBdr>
      <w:spacing w:before="240"/>
    </w:pPr>
  </w:style>
  <w:style w:type="character" w:customStyle="1" w:styleId="HotSpot">
    <w:name w:val="HotSpot"/>
    <w:rsid w:val="00F4774F"/>
    <w:rPr>
      <w:color w:val="0033CC"/>
      <w:u w:val="none"/>
    </w:rPr>
  </w:style>
  <w:style w:type="paragraph" w:customStyle="1" w:styleId="BodyTextRight">
    <w:name w:val="Body Text Right"/>
    <w:basedOn w:val="BodyText"/>
    <w:rsid w:val="00F4774F"/>
    <w:pPr>
      <w:spacing w:before="0" w:after="0"/>
      <w:jc w:val="right"/>
    </w:pPr>
  </w:style>
  <w:style w:type="paragraph" w:styleId="Index3">
    <w:name w:val="index 3"/>
    <w:basedOn w:val="ListNumber2"/>
    <w:next w:val="Normal"/>
    <w:semiHidden/>
    <w:rsid w:val="00F4774F"/>
    <w:pPr>
      <w:numPr>
        <w:numId w:val="0"/>
      </w:numPr>
      <w:tabs>
        <w:tab w:val="right" w:leader="dot" w:pos="4176"/>
      </w:tabs>
    </w:pPr>
  </w:style>
  <w:style w:type="paragraph" w:styleId="ListNumber2">
    <w:name w:val="List Number 2"/>
    <w:basedOn w:val="List2"/>
    <w:rsid w:val="00F4774F"/>
    <w:pPr>
      <w:numPr>
        <w:numId w:val="10"/>
      </w:numPr>
      <w:tabs>
        <w:tab w:val="clear" w:pos="1060"/>
      </w:tabs>
    </w:pPr>
  </w:style>
  <w:style w:type="paragraph" w:customStyle="1" w:styleId="MarginNote">
    <w:name w:val="Margin Note"/>
    <w:basedOn w:val="BodyText"/>
    <w:rsid w:val="00F4774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4774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4774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4774F"/>
    <w:rPr>
      <w:sz w:val="32"/>
    </w:rPr>
  </w:style>
  <w:style w:type="paragraph" w:customStyle="1" w:styleId="HeadingProcedure">
    <w:name w:val="Heading Procedure"/>
    <w:basedOn w:val="HeadingBase"/>
    <w:next w:val="Normal"/>
    <w:rsid w:val="00F4774F"/>
    <w:pPr>
      <w:tabs>
        <w:tab w:val="left" w:pos="0"/>
      </w:tabs>
      <w:spacing w:before="120" w:after="60"/>
    </w:pPr>
    <w:rPr>
      <w:i/>
      <w:color w:val="918585"/>
      <w:sz w:val="22"/>
    </w:rPr>
  </w:style>
  <w:style w:type="paragraph" w:customStyle="1" w:styleId="TableBodyText">
    <w:name w:val="Table Body Text"/>
    <w:basedOn w:val="BodyText"/>
    <w:rsid w:val="00F4774F"/>
    <w:pPr>
      <w:spacing w:before="60" w:after="60"/>
    </w:pPr>
  </w:style>
  <w:style w:type="paragraph" w:styleId="ListContinue">
    <w:name w:val="List Continue"/>
    <w:basedOn w:val="List"/>
    <w:rsid w:val="00F4774F"/>
    <w:pPr>
      <w:ind w:firstLine="0"/>
    </w:pPr>
  </w:style>
  <w:style w:type="paragraph" w:customStyle="1" w:styleId="ListNote">
    <w:name w:val="List Note"/>
    <w:basedOn w:val="List"/>
    <w:rsid w:val="00F4774F"/>
    <w:pPr>
      <w:pBdr>
        <w:top w:val="single" w:sz="6" w:space="2" w:color="918585"/>
        <w:bottom w:val="single" w:sz="6" w:space="2" w:color="918585"/>
      </w:pBdr>
      <w:tabs>
        <w:tab w:val="left" w:pos="1021"/>
      </w:tabs>
      <w:ind w:firstLine="0"/>
    </w:pPr>
  </w:style>
  <w:style w:type="paragraph" w:customStyle="1" w:styleId="Warning">
    <w:name w:val="Warning"/>
    <w:basedOn w:val="BodyText"/>
    <w:rsid w:val="00F4774F"/>
    <w:pPr>
      <w:shd w:val="clear" w:color="auto" w:fill="D9D9D9"/>
      <w:tabs>
        <w:tab w:val="left" w:pos="992"/>
      </w:tabs>
      <w:ind w:left="119" w:right="119"/>
    </w:pPr>
    <w:rPr>
      <w:sz w:val="20"/>
    </w:rPr>
  </w:style>
  <w:style w:type="paragraph" w:customStyle="1" w:styleId="MarginIcons">
    <w:name w:val="Margin Icons"/>
    <w:basedOn w:val="BodyText"/>
    <w:rsid w:val="00F4774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4774F"/>
    <w:rPr>
      <w:rFonts w:ascii="Courier New" w:hAnsi="Courier New"/>
    </w:rPr>
  </w:style>
  <w:style w:type="paragraph" w:customStyle="1" w:styleId="NoteBullet">
    <w:name w:val="Note Bullet"/>
    <w:basedOn w:val="Note"/>
    <w:rsid w:val="00F4774F"/>
    <w:pPr>
      <w:tabs>
        <w:tab w:val="clear" w:pos="680"/>
      </w:tabs>
      <w:spacing w:before="60" w:after="60"/>
    </w:pPr>
  </w:style>
  <w:style w:type="paragraph" w:customStyle="1" w:styleId="SubHeading2">
    <w:name w:val="SubHeading2"/>
    <w:basedOn w:val="HeadingBase"/>
    <w:rsid w:val="00F4774F"/>
    <w:pPr>
      <w:spacing w:before="240" w:after="60"/>
    </w:pPr>
    <w:rPr>
      <w:sz w:val="20"/>
    </w:rPr>
  </w:style>
  <w:style w:type="paragraph" w:customStyle="1" w:styleId="SubHeading1">
    <w:name w:val="SubHeading1"/>
    <w:basedOn w:val="HeadingBase"/>
    <w:rsid w:val="00F4774F"/>
    <w:pPr>
      <w:spacing w:before="240" w:after="60"/>
    </w:pPr>
    <w:rPr>
      <w:color w:val="918585"/>
      <w:sz w:val="22"/>
    </w:rPr>
  </w:style>
  <w:style w:type="paragraph" w:customStyle="1" w:styleId="SideHeading">
    <w:name w:val="Side Heading"/>
    <w:basedOn w:val="HeadingBase"/>
    <w:rsid w:val="00F4774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4774F"/>
    <w:pPr>
      <w:numPr>
        <w:numId w:val="12"/>
      </w:numPr>
    </w:pPr>
  </w:style>
  <w:style w:type="paragraph" w:styleId="PlainText">
    <w:name w:val="Plain Text"/>
    <w:basedOn w:val="Normal"/>
    <w:link w:val="PlainTextChar"/>
    <w:rsid w:val="00F4774F"/>
    <w:rPr>
      <w:sz w:val="20"/>
    </w:rPr>
  </w:style>
  <w:style w:type="character" w:customStyle="1" w:styleId="PlainTextChar">
    <w:name w:val="Plain Text Char"/>
    <w:basedOn w:val="DefaultParagraphFont"/>
    <w:link w:val="PlainText"/>
    <w:rsid w:val="00F4774F"/>
    <w:rPr>
      <w:rFonts w:ascii="Courier New" w:eastAsia="Times New Roman" w:hAnsi="Courier New" w:cs="Times New Roman"/>
      <w:sz w:val="20"/>
      <w:szCs w:val="20"/>
      <w:lang w:eastAsia="en-US"/>
    </w:rPr>
  </w:style>
  <w:style w:type="character" w:customStyle="1" w:styleId="MenuOption">
    <w:name w:val="Menu Option"/>
    <w:basedOn w:val="DefaultParagraphFont"/>
    <w:rsid w:val="00F4774F"/>
    <w:rPr>
      <w:b/>
      <w:smallCaps/>
    </w:rPr>
  </w:style>
  <w:style w:type="paragraph" w:customStyle="1" w:styleId="TableListNumber">
    <w:name w:val="Table List Number"/>
    <w:basedOn w:val="ListNumber"/>
    <w:rsid w:val="00F4774F"/>
    <w:pPr>
      <w:numPr>
        <w:numId w:val="0"/>
      </w:numPr>
    </w:pPr>
  </w:style>
  <w:style w:type="paragraph" w:styleId="TOC4">
    <w:name w:val="toc 4"/>
    <w:basedOn w:val="TOCBase"/>
    <w:next w:val="Normal"/>
    <w:semiHidden/>
    <w:rsid w:val="00F4774F"/>
    <w:pPr>
      <w:tabs>
        <w:tab w:val="right" w:leader="dot" w:pos="9071"/>
      </w:tabs>
      <w:ind w:left="1701"/>
    </w:pPr>
  </w:style>
  <w:style w:type="paragraph" w:customStyle="1" w:styleId="ListAlpha">
    <w:name w:val="List Alpha"/>
    <w:basedOn w:val="List"/>
    <w:rsid w:val="00F4774F"/>
    <w:pPr>
      <w:numPr>
        <w:numId w:val="9"/>
      </w:numPr>
    </w:pPr>
  </w:style>
  <w:style w:type="paragraph" w:customStyle="1" w:styleId="ListAlpha2">
    <w:name w:val="List Alpha 2"/>
    <w:basedOn w:val="List2"/>
    <w:rsid w:val="00F4774F"/>
    <w:pPr>
      <w:numPr>
        <w:numId w:val="8"/>
      </w:numPr>
    </w:pPr>
  </w:style>
  <w:style w:type="paragraph" w:styleId="List2">
    <w:name w:val="List 2"/>
    <w:basedOn w:val="BodyText"/>
    <w:rsid w:val="00F4774F"/>
    <w:pPr>
      <w:tabs>
        <w:tab w:val="left" w:pos="680"/>
      </w:tabs>
      <w:spacing w:before="60" w:after="60"/>
      <w:ind w:left="680" w:hanging="340"/>
    </w:pPr>
  </w:style>
  <w:style w:type="paragraph" w:styleId="List3">
    <w:name w:val="List 3"/>
    <w:basedOn w:val="BodyText"/>
    <w:rsid w:val="00F4774F"/>
    <w:pPr>
      <w:tabs>
        <w:tab w:val="left" w:pos="1021"/>
      </w:tabs>
      <w:spacing w:before="60" w:after="60"/>
      <w:ind w:left="1020" w:hanging="340"/>
    </w:pPr>
  </w:style>
  <w:style w:type="paragraph" w:styleId="List4">
    <w:name w:val="List 4"/>
    <w:basedOn w:val="BodyText"/>
    <w:rsid w:val="00F4774F"/>
    <w:pPr>
      <w:tabs>
        <w:tab w:val="left" w:pos="1361"/>
      </w:tabs>
      <w:spacing w:before="60" w:after="60"/>
      <w:ind w:left="1361" w:hanging="340"/>
    </w:pPr>
  </w:style>
  <w:style w:type="paragraph" w:styleId="List5">
    <w:name w:val="List 5"/>
    <w:basedOn w:val="BodyText"/>
    <w:rsid w:val="00F4774F"/>
    <w:pPr>
      <w:tabs>
        <w:tab w:val="left" w:pos="1701"/>
      </w:tabs>
      <w:spacing w:before="60" w:after="60"/>
      <w:ind w:left="1701" w:hanging="340"/>
    </w:pPr>
  </w:style>
  <w:style w:type="paragraph" w:styleId="ListBullet3">
    <w:name w:val="List Bullet 3"/>
    <w:basedOn w:val="List3"/>
    <w:rsid w:val="00F4774F"/>
    <w:pPr>
      <w:numPr>
        <w:numId w:val="15"/>
      </w:numPr>
      <w:tabs>
        <w:tab w:val="clear" w:pos="1021"/>
      </w:tabs>
      <w:ind w:left="1037" w:hanging="357"/>
    </w:pPr>
  </w:style>
  <w:style w:type="paragraph" w:styleId="ListBullet4">
    <w:name w:val="List Bullet 4"/>
    <w:basedOn w:val="List4"/>
    <w:rsid w:val="00F4774F"/>
    <w:pPr>
      <w:numPr>
        <w:numId w:val="3"/>
      </w:numPr>
    </w:pPr>
  </w:style>
  <w:style w:type="paragraph" w:styleId="ListBullet5">
    <w:name w:val="List Bullet 5"/>
    <w:basedOn w:val="List5"/>
    <w:rsid w:val="00F4774F"/>
    <w:pPr>
      <w:numPr>
        <w:numId w:val="4"/>
      </w:numPr>
    </w:pPr>
  </w:style>
  <w:style w:type="paragraph" w:styleId="ListContinue2">
    <w:name w:val="List Continue 2"/>
    <w:basedOn w:val="List2"/>
    <w:rsid w:val="00F4774F"/>
    <w:pPr>
      <w:ind w:firstLine="0"/>
    </w:pPr>
  </w:style>
  <w:style w:type="paragraph" w:styleId="ListContinue3">
    <w:name w:val="List Continue 3"/>
    <w:basedOn w:val="List3"/>
    <w:rsid w:val="00F4774F"/>
    <w:pPr>
      <w:ind w:left="1021" w:firstLine="0"/>
    </w:pPr>
  </w:style>
  <w:style w:type="paragraph" w:styleId="ListContinue4">
    <w:name w:val="List Continue 4"/>
    <w:basedOn w:val="List4"/>
    <w:rsid w:val="00F4774F"/>
    <w:pPr>
      <w:ind w:firstLine="0"/>
    </w:pPr>
  </w:style>
  <w:style w:type="paragraph" w:styleId="ListContinue5">
    <w:name w:val="List Continue 5"/>
    <w:basedOn w:val="List5"/>
    <w:rsid w:val="00F4774F"/>
    <w:pPr>
      <w:ind w:firstLine="0"/>
    </w:pPr>
  </w:style>
  <w:style w:type="paragraph" w:styleId="ListNumber3">
    <w:name w:val="List Number 3"/>
    <w:basedOn w:val="List3"/>
    <w:rsid w:val="00F4774F"/>
    <w:pPr>
      <w:numPr>
        <w:numId w:val="5"/>
      </w:numPr>
    </w:pPr>
  </w:style>
  <w:style w:type="paragraph" w:styleId="ListNumber4">
    <w:name w:val="List Number 4"/>
    <w:basedOn w:val="List4"/>
    <w:rsid w:val="00F4774F"/>
    <w:pPr>
      <w:numPr>
        <w:numId w:val="6"/>
      </w:numPr>
    </w:pPr>
  </w:style>
  <w:style w:type="paragraph" w:styleId="ListNumber5">
    <w:name w:val="List Number 5"/>
    <w:basedOn w:val="List5"/>
    <w:rsid w:val="00F4774F"/>
    <w:pPr>
      <w:numPr>
        <w:numId w:val="7"/>
      </w:numPr>
    </w:pPr>
  </w:style>
  <w:style w:type="paragraph" w:styleId="BlockText">
    <w:name w:val="Block Text"/>
    <w:basedOn w:val="Normal"/>
    <w:rsid w:val="00F4774F"/>
    <w:pPr>
      <w:spacing w:after="120"/>
      <w:ind w:left="1440" w:right="1440"/>
    </w:pPr>
  </w:style>
  <w:style w:type="character" w:customStyle="1" w:styleId="Subscript">
    <w:name w:val="Subscript"/>
    <w:basedOn w:val="DefaultParagraphFont"/>
    <w:rsid w:val="00F4774F"/>
    <w:rPr>
      <w:sz w:val="16"/>
      <w:vertAlign w:val="subscript"/>
    </w:rPr>
  </w:style>
  <w:style w:type="character" w:customStyle="1" w:styleId="Superscript">
    <w:name w:val="Superscript"/>
    <w:basedOn w:val="DefaultParagraphFont"/>
    <w:rsid w:val="00F4774F"/>
    <w:rPr>
      <w:sz w:val="16"/>
      <w:vertAlign w:val="superscript"/>
    </w:rPr>
  </w:style>
  <w:style w:type="character" w:customStyle="1" w:styleId="Symbols">
    <w:name w:val="Symbols"/>
    <w:basedOn w:val="DefaultParagraphFont"/>
    <w:rsid w:val="00F4774F"/>
    <w:rPr>
      <w:rFonts w:ascii="Symbol" w:hAnsi="Symbol"/>
    </w:rPr>
  </w:style>
  <w:style w:type="character" w:customStyle="1" w:styleId="MenuOptions">
    <w:name w:val="Menu Options"/>
    <w:basedOn w:val="DefaultParagraphFont"/>
    <w:rsid w:val="00F4774F"/>
    <w:rPr>
      <w:rFonts w:ascii="Arial Narrow" w:hAnsi="Arial Narrow"/>
      <w:smallCaps/>
    </w:rPr>
  </w:style>
  <w:style w:type="character" w:customStyle="1" w:styleId="Buttons">
    <w:name w:val="Buttons"/>
    <w:basedOn w:val="DefaultParagraphFont"/>
    <w:rsid w:val="00F4774F"/>
    <w:rPr>
      <w:b/>
    </w:rPr>
  </w:style>
  <w:style w:type="character" w:customStyle="1" w:styleId="Underlined">
    <w:name w:val="Underlined"/>
    <w:basedOn w:val="DefaultParagraphFont"/>
    <w:rsid w:val="00F4774F"/>
    <w:rPr>
      <w:u w:val="single"/>
    </w:rPr>
  </w:style>
  <w:style w:type="paragraph" w:customStyle="1" w:styleId="TableBodyTextRight">
    <w:name w:val="Table Body Text Right"/>
    <w:basedOn w:val="TableBodyText"/>
    <w:rsid w:val="00F4774F"/>
    <w:pPr>
      <w:widowControl w:val="0"/>
      <w:autoSpaceDE w:val="0"/>
      <w:autoSpaceDN w:val="0"/>
      <w:adjustRightInd w:val="0"/>
      <w:jc w:val="right"/>
    </w:pPr>
    <w:rPr>
      <w:rFonts w:cs="Arial"/>
      <w:szCs w:val="18"/>
    </w:rPr>
  </w:style>
  <w:style w:type="paragraph" w:customStyle="1" w:styleId="CopyrightText">
    <w:name w:val="Copyright Text"/>
    <w:basedOn w:val="BodyText"/>
    <w:rsid w:val="00F4774F"/>
    <w:rPr>
      <w:sz w:val="18"/>
    </w:rPr>
  </w:style>
  <w:style w:type="paragraph" w:customStyle="1" w:styleId="BodySmallRight">
    <w:name w:val="Body Small Right"/>
    <w:basedOn w:val="BodyTextRight"/>
    <w:rsid w:val="00F4774F"/>
    <w:rPr>
      <w:sz w:val="18"/>
      <w:szCs w:val="18"/>
    </w:rPr>
  </w:style>
  <w:style w:type="paragraph" w:customStyle="1" w:styleId="MarginEdition">
    <w:name w:val="Margin Edition"/>
    <w:basedOn w:val="MarginNote"/>
    <w:rsid w:val="00F4774F"/>
    <w:pPr>
      <w:spacing w:before="0" w:after="0"/>
    </w:pPr>
    <w:rPr>
      <w:rFonts w:ascii="Times New Roman" w:hAnsi="Times New Roman"/>
      <w:color w:val="999999"/>
    </w:rPr>
  </w:style>
  <w:style w:type="paragraph" w:customStyle="1" w:styleId="Spacer">
    <w:name w:val="Spacer"/>
    <w:basedOn w:val="Normal"/>
    <w:rsid w:val="00F4774F"/>
    <w:rPr>
      <w:sz w:val="2"/>
      <w:szCs w:val="2"/>
    </w:rPr>
  </w:style>
  <w:style w:type="character" w:customStyle="1" w:styleId="Small">
    <w:name w:val="Small"/>
    <w:basedOn w:val="DefaultParagraphFont"/>
    <w:rsid w:val="00F4774F"/>
    <w:rPr>
      <w:sz w:val="16"/>
    </w:rPr>
  </w:style>
  <w:style w:type="paragraph" w:customStyle="1" w:styleId="WideTable">
    <w:name w:val="Wide Table"/>
    <w:basedOn w:val="Normal"/>
    <w:rsid w:val="00F4774F"/>
    <w:pPr>
      <w:ind w:left="-1418"/>
    </w:pPr>
    <w:rPr>
      <w:sz w:val="2"/>
      <w:szCs w:val="2"/>
    </w:rPr>
  </w:style>
  <w:style w:type="character" w:styleId="PageNumber">
    <w:name w:val="page number"/>
    <w:basedOn w:val="DefaultParagraphFont"/>
    <w:rsid w:val="00F4774F"/>
  </w:style>
  <w:style w:type="paragraph" w:styleId="Quote">
    <w:name w:val="Quote"/>
    <w:basedOn w:val="Heading1"/>
    <w:link w:val="QuoteChar"/>
    <w:qFormat/>
    <w:rsid w:val="00F4774F"/>
    <w:rPr>
      <w:b w:val="0"/>
      <w:sz w:val="72"/>
      <w:szCs w:val="72"/>
      <w:lang w:val="en-NZ"/>
    </w:rPr>
  </w:style>
  <w:style w:type="character" w:customStyle="1" w:styleId="QuoteChar">
    <w:name w:val="Quote Char"/>
    <w:basedOn w:val="DefaultParagraphFont"/>
    <w:link w:val="Quote"/>
    <w:rsid w:val="00F4774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4774F"/>
    <w:pPr>
      <w:pageBreakBefore/>
    </w:pPr>
  </w:style>
  <w:style w:type="paragraph" w:customStyle="1" w:styleId="Border">
    <w:name w:val="Border"/>
    <w:basedOn w:val="Normal"/>
    <w:qFormat/>
    <w:rsid w:val="00F4774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4774F"/>
    <w:rPr>
      <w:b/>
      <w:bCs/>
      <w:i/>
      <w:iCs/>
      <w:color w:val="auto"/>
    </w:rPr>
  </w:style>
  <w:style w:type="paragraph" w:styleId="IntenseQuote">
    <w:name w:val="Intense Quote"/>
    <w:basedOn w:val="Normal"/>
    <w:next w:val="Normal"/>
    <w:link w:val="IntenseQuoteChar"/>
    <w:uiPriority w:val="30"/>
    <w:qFormat/>
    <w:rsid w:val="00F4774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4774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4774F"/>
    <w:rPr>
      <w:smallCaps/>
      <w:color w:val="auto"/>
      <w:u w:val="single"/>
    </w:rPr>
  </w:style>
  <w:style w:type="character" w:styleId="IntenseReference">
    <w:name w:val="Intense Reference"/>
    <w:basedOn w:val="DefaultParagraphFont"/>
    <w:uiPriority w:val="32"/>
    <w:qFormat/>
    <w:rsid w:val="00F4774F"/>
    <w:rPr>
      <w:b/>
      <w:bCs/>
      <w:smallCaps/>
      <w:color w:val="auto"/>
      <w:spacing w:val="5"/>
      <w:u w:val="single"/>
    </w:rPr>
  </w:style>
  <w:style w:type="paragraph" w:customStyle="1" w:styleId="2ColumnHeading">
    <w:name w:val="2Column Heading"/>
    <w:basedOn w:val="BodyText"/>
    <w:qFormat/>
    <w:rsid w:val="00F4774F"/>
    <w:pPr>
      <w:spacing w:after="60"/>
      <w:ind w:left="-2268"/>
    </w:pPr>
    <w:rPr>
      <w:b/>
    </w:rPr>
  </w:style>
  <w:style w:type="paragraph" w:customStyle="1" w:styleId="Heading1TOC">
    <w:name w:val="Heading1 TOC"/>
    <w:basedOn w:val="Normal"/>
    <w:qFormat/>
    <w:rsid w:val="00F4774F"/>
    <w:pPr>
      <w:spacing w:before="240" w:after="120"/>
    </w:pPr>
    <w:rPr>
      <w:rFonts w:ascii="Times New Roman" w:hAnsi="Times New Roman"/>
      <w:b/>
      <w:sz w:val="32"/>
    </w:rPr>
  </w:style>
  <w:style w:type="paragraph" w:customStyle="1" w:styleId="Heading2TOC">
    <w:name w:val="Heading2 TOC"/>
    <w:basedOn w:val="Normal"/>
    <w:qFormat/>
    <w:rsid w:val="00F4774F"/>
    <w:pPr>
      <w:spacing w:before="240" w:after="60"/>
    </w:pPr>
    <w:rPr>
      <w:rFonts w:ascii="Times New Roman" w:hAnsi="Times New Roman"/>
      <w:b/>
      <w:sz w:val="28"/>
    </w:rPr>
  </w:style>
  <w:style w:type="character" w:customStyle="1" w:styleId="Underline">
    <w:name w:val="Underline"/>
    <w:basedOn w:val="DefaultParagraphFont"/>
    <w:qFormat/>
    <w:rsid w:val="00F4774F"/>
    <w:rPr>
      <w:u w:val="single"/>
    </w:rPr>
  </w:style>
  <w:style w:type="character" w:customStyle="1" w:styleId="BoldandItalics">
    <w:name w:val="Bold and Italics"/>
    <w:qFormat/>
    <w:rsid w:val="00F4774F"/>
    <w:rPr>
      <w:b/>
      <w:i/>
      <w:u w:val="none"/>
    </w:rPr>
  </w:style>
  <w:style w:type="paragraph" w:styleId="BalloonText">
    <w:name w:val="Balloon Text"/>
    <w:basedOn w:val="Normal"/>
    <w:link w:val="BalloonTextChar"/>
    <w:rsid w:val="00F4774F"/>
    <w:rPr>
      <w:rFonts w:ascii="Tahoma" w:hAnsi="Tahoma" w:cs="Tahoma"/>
      <w:sz w:val="16"/>
      <w:szCs w:val="16"/>
    </w:rPr>
  </w:style>
  <w:style w:type="character" w:customStyle="1" w:styleId="BalloonTextChar">
    <w:name w:val="Balloon Text Char"/>
    <w:basedOn w:val="DefaultParagraphFont"/>
    <w:link w:val="BalloonText"/>
    <w:rsid w:val="00F4774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4774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4774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4774F"/>
    <w:rPr>
      <w:b/>
      <w:color w:val="660033"/>
      <w:spacing w:val="0"/>
    </w:rPr>
  </w:style>
  <w:style w:type="paragraph" w:customStyle="1" w:styleId="Nameditemlist">
    <w:name w:val="Named item list"/>
    <w:basedOn w:val="BodyText"/>
    <w:qFormat/>
    <w:rsid w:val="00F4774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1942</Words>
  <Characters>13109</Characters>
  <Application>Microsoft Office Word</Application>
  <DocSecurity>0</DocSecurity>
  <Lines>441</Lines>
  <Paragraphs>230</Paragraphs>
  <ScaleCrop>false</ScaleCrop>
  <Company>Author-it Software Corporation Ltd.</Company>
  <LinksUpToDate>false</LinksUpToDate>
  <CharactersWithSpaces>14945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MEM23126A Evaluate industrial robotic applications</dc:title>
  <dc:subject>Approved</dc:subject>
  <dc:creator>Manufacturing Skills Australia</dc:creator>
  <cp:keywords>Release: 1</cp:keywords>
  <dc:description>Copyright © 1996-2007 Author-it Software Corporation Ltd., all rights reserved.</dc:description>
  <cp:lastModifiedBy>TPCMS</cp:lastModifiedBy>
  <cp:revision>3</cp:revision>
  <dcterms:created xsi:type="dcterms:W3CDTF">2012-12-20T07:41:00Z</dcterms:created>
  <dcterms:modified xsi:type="dcterms:W3CDTF">2012-12-20T07:41:00Z</dcterms:modified>
</cp:coreProperties>
</file>