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B73" w:rsidP="000A1B73">
      <w:pPr>
        <w:pStyle w:val="Title"/>
      </w:pPr>
      <w:bookmarkStart w:id="0" w:name="_GoBack"/>
      <w:bookmarkEnd w:id="0"/>
      <w:r>
        <w:fldChar w:fldCharType="begin"/>
      </w:r>
      <w:r>
        <w:instrText xml:space="preserve"> TITLE   \* MERGEFORMAT </w:instrText>
      </w:r>
      <w:r>
        <w:fldChar w:fldCharType="separate"/>
      </w:r>
      <w:r>
        <w:t>MEM23119A Evaluate continuous improvement processes</w:t>
      </w:r>
      <w:r>
        <w:fldChar w:fldCharType="end"/>
      </w:r>
    </w:p>
    <w:p w:rsidR="000A1B73" w:rsidP="000A1B73">
      <w:pPr>
        <w:pStyle w:val="Version"/>
        <w:sectPr w:rsidSect="00D539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9C4" w:rsidP="00D539C4">
      <w:pPr>
        <w:pStyle w:val="SuperHeading"/>
      </w:pPr>
      <w:r w:rsidRPr="00D539C4">
        <w:t>MEM23119A Evaluate continuous improvement processes</w:t>
      </w:r>
    </w:p>
    <w:p w:rsidR="00000000" w:rsidRPr="00D539C4" w:rsidP="00D539C4">
      <w:pPr>
        <w:pStyle w:val="Heading1"/>
      </w:pPr>
      <w:bookmarkStart w:id="1" w:name="O_519811"/>
      <w:bookmarkEnd w:id="1"/>
      <w:r w:rsidRPr="00D539C4">
        <w:t>Modification History</w:t>
      </w:r>
    </w:p>
    <w:p w:rsidR="000A1B73" w:rsidP="00D539C4">
      <w:pPr>
        <w:pStyle w:val="BodyText"/>
      </w:pPr>
      <w:r w:rsidRPr="00D539C4">
        <w:t>Release 1 - New unit.  Replaces MEM23083A, but not equivalent.</w:t>
      </w:r>
    </w:p>
    <w:p w:rsidR="000A1B73" w:rsidP="00D539C4">
      <w:pPr>
        <w:pStyle w:val="BodyText"/>
      </w:pPr>
    </w:p>
    <w:p w:rsidR="00000000" w:rsidRPr="00D539C4" w:rsidP="00D539C4">
      <w:pPr>
        <w:pStyle w:val="Heading1"/>
      </w:pPr>
      <w:bookmarkStart w:id="2" w:name="O_519823"/>
      <w:bookmarkEnd w:id="2"/>
      <w:r w:rsidRPr="00D539C4">
        <w:t>Unit Descriptor</w:t>
      </w:r>
    </w:p>
    <w:p w:rsidR="00000000" w:rsidRPr="00D539C4" w:rsidP="00D539C4">
      <w:pPr>
        <w:pStyle w:val="BodyText"/>
      </w:pPr>
      <w:r w:rsidRPr="00D539C4">
        <w:t>This unit of competency covers the evaluation of continuous improvement processes for production, engineering and associated servi</w:t>
      </w:r>
      <w:r w:rsidRPr="00D539C4">
        <w:t xml:space="preserve">ces. It requires the evaluation of improvement processes, and the efficiency and effectiveness of their response to continuous feedback from customers and other sources. It requires consideration of the effect of improvements or change on entire systems. </w:t>
      </w:r>
    </w:p>
    <w:p w:rsidR="00000000" w:rsidRPr="00D539C4" w:rsidP="00D539C4">
      <w:pPr>
        <w:pStyle w:val="AllowPageBreak"/>
      </w:pPr>
    </w:p>
    <w:p w:rsidR="00000000" w:rsidRPr="00D539C4" w:rsidP="00D539C4">
      <w:pPr>
        <w:pStyle w:val="Heading1"/>
      </w:pPr>
      <w:bookmarkStart w:id="3" w:name="O_519822"/>
      <w:bookmarkEnd w:id="3"/>
      <w:r w:rsidRPr="00D539C4">
        <w:t>Application of the Unit</w:t>
      </w:r>
    </w:p>
    <w:p w:rsidR="00000000" w:rsidRPr="00D539C4" w:rsidP="00D539C4">
      <w:pPr>
        <w:pStyle w:val="BodyText"/>
      </w:pPr>
      <w:r w:rsidRPr="00D539C4">
        <w:t>This unit applies to production and engineering activities where continuous improvements, such as those to product, process or service, efficiency or competitiveness, is required. It is suitable for people working a</w:t>
      </w:r>
      <w:r w:rsidRPr="00D539C4">
        <w:t>s service providers, supervisors or technicians and those pursuing manufacturing, engineering or related technical qualifications and careers.</w:t>
      </w:r>
    </w:p>
    <w:p w:rsidR="00000000" w:rsidRPr="00D539C4" w:rsidP="00D539C4">
      <w:pPr>
        <w:pStyle w:val="AllowPageBreak"/>
      </w:pPr>
    </w:p>
    <w:p w:rsidR="00000000" w:rsidRPr="00D539C4" w:rsidP="00D539C4">
      <w:pPr>
        <w:pStyle w:val="Heading1"/>
      </w:pPr>
      <w:bookmarkStart w:id="4" w:name="O_519821"/>
      <w:bookmarkEnd w:id="4"/>
      <w:r w:rsidRPr="00D539C4">
        <w:t>Licensing/Regulatory Information</w:t>
      </w:r>
    </w:p>
    <w:p w:rsidR="00000000" w:rsidRPr="00D539C4" w:rsidP="00D539C4">
      <w:pPr>
        <w:pStyle w:val="BodyText"/>
      </w:pPr>
      <w:r w:rsidRPr="00D539C4">
        <w:t>Not applicable.</w:t>
      </w:r>
    </w:p>
    <w:p w:rsidR="00000000" w:rsidRPr="00D539C4" w:rsidP="00D539C4">
      <w:pPr>
        <w:pStyle w:val="AllowPageBreak"/>
      </w:pPr>
    </w:p>
    <w:p w:rsidR="00000000" w:rsidRPr="00D539C4" w:rsidP="00D539C4">
      <w:pPr>
        <w:pStyle w:val="Heading1"/>
      </w:pPr>
      <w:bookmarkStart w:id="5" w:name="O_519820"/>
      <w:bookmarkEnd w:id="5"/>
      <w:r w:rsidRPr="00D539C4">
        <w:t>Pre-Requisites</w:t>
      </w:r>
    </w:p>
    <w:tbl>
      <w:tblPr>
        <w:tblW w:w="9608" w:type="dxa"/>
        <w:tblLayout w:type="fixed"/>
        <w:tblCellMar>
          <w:left w:w="62" w:type="dxa"/>
          <w:right w:w="62" w:type="dxa"/>
        </w:tblCellMar>
        <w:tblLook w:val="0000"/>
      </w:tblPr>
      <w:tblGrid>
        <w:gridCol w:w="2731"/>
        <w:gridCol w:w="6877"/>
      </w:tblGrid>
      <w:tr w:rsidTr="00D539C4">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MEM23118A</w:t>
            </w:r>
          </w:p>
        </w:tc>
        <w:tc>
          <w:tcPr>
            <w:tcW w:w="6877"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Apply</w:t>
            </w:r>
            <w:r w:rsidRPr="00D539C4">
              <w:t xml:space="preserve"> production and service control techniques</w:t>
            </w:r>
          </w:p>
        </w:tc>
      </w:tr>
      <w:tr w:rsidTr="00D539C4">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MEM30012A</w:t>
            </w:r>
          </w:p>
        </w:tc>
        <w:tc>
          <w:tcPr>
            <w:tcW w:w="6877" w:type="dxa"/>
            <w:tcBorders>
              <w:top w:val="nil"/>
              <w:left w:val="nil"/>
              <w:bottom w:val="nil"/>
              <w:right w:val="nil"/>
            </w:tcBorders>
            <w:tcMar>
              <w:top w:w="0" w:type="dxa"/>
              <w:left w:w="62" w:type="dxa"/>
              <w:bottom w:w="0" w:type="dxa"/>
              <w:right w:w="62" w:type="dxa"/>
            </w:tcMar>
          </w:tcPr>
          <w:p w:rsidR="00000000" w:rsidRPr="00D539C4" w:rsidP="00D539C4">
            <w:pPr>
              <w:pStyle w:val="BodyText"/>
            </w:pPr>
            <w:r w:rsidRPr="00D539C4">
              <w:t>Apply mathematical techniques in a manufacturing, engineering or related environment</w:t>
            </w:r>
          </w:p>
        </w:tc>
      </w:tr>
    </w:tbl>
    <w:p w:rsidR="00000000" w:rsidRPr="00D539C4" w:rsidP="00D539C4">
      <w:pPr>
        <w:pStyle w:val="BodyText"/>
      </w:pPr>
    </w:p>
    <w:p w:rsidR="00000000" w:rsidRPr="00D539C4" w:rsidP="00D539C4">
      <w:pPr>
        <w:pStyle w:val="AllowPageBreak"/>
      </w:pPr>
    </w:p>
    <w:p w:rsidR="00000000" w:rsidRPr="00D539C4" w:rsidP="00D539C4">
      <w:pPr>
        <w:pStyle w:val="Heading1"/>
      </w:pPr>
      <w:bookmarkStart w:id="6" w:name="O_519819"/>
      <w:bookmarkEnd w:id="6"/>
      <w:r w:rsidRPr="00D539C4">
        <w:t>Employability Skills Information</w:t>
      </w:r>
    </w:p>
    <w:p w:rsidR="000A1B73" w:rsidP="00D539C4">
      <w:pPr>
        <w:pStyle w:val="BodyText"/>
      </w:pPr>
      <w:r w:rsidRPr="00D539C4">
        <w:t>This unit contains employability skills.</w:t>
      </w:r>
    </w:p>
    <w:p w:rsidR="000A1B73" w:rsidP="00D539C4">
      <w:pPr>
        <w:pStyle w:val="BodyText"/>
      </w:pPr>
    </w:p>
    <w:p w:rsidR="00000000" w:rsidRPr="00D539C4" w:rsidP="00D539C4">
      <w:pPr>
        <w:pStyle w:val="Heading1"/>
      </w:pPr>
      <w:bookmarkStart w:id="7" w:name="O_519818"/>
      <w:bookmarkEnd w:id="7"/>
      <w:r w:rsidRPr="00D539C4">
        <w:t>Elements and Performance Criteria Pre-Content</w:t>
      </w:r>
    </w:p>
    <w:tbl>
      <w:tblPr>
        <w:tblW w:w="0" w:type="auto"/>
        <w:tblCellMar>
          <w:left w:w="62" w:type="dxa"/>
          <w:right w:w="62" w:type="dxa"/>
        </w:tblCellMar>
        <w:tblLook w:val="0000"/>
      </w:tblPr>
      <w:tblGrid>
        <w:gridCol w:w="2576"/>
        <w:gridCol w:w="6620"/>
      </w:tblGrid>
      <w:tr w:rsidTr="000A1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539C4" w:rsidP="00D539C4">
            <w:pPr>
              <w:pStyle w:val="BodyText"/>
            </w:pPr>
            <w:r w:rsidRPr="00D539C4">
              <w:t xml:space="preserve">Performance criteria describe the performance needed to demonstrate achievement of the element. </w:t>
            </w:r>
          </w:p>
        </w:tc>
      </w:tr>
    </w:tbl>
    <w:p w:rsidR="000A1B73" w:rsidP="00D539C4">
      <w:pPr>
        <w:pStyle w:val="BodyText"/>
      </w:pPr>
    </w:p>
    <w:p w:rsidR="000A1B73" w:rsidP="00D539C4">
      <w:pPr>
        <w:pStyle w:val="BodyText"/>
      </w:pPr>
    </w:p>
    <w:p w:rsidR="00000000" w:rsidRPr="00D539C4" w:rsidP="00D539C4">
      <w:pPr>
        <w:pStyle w:val="Heading1"/>
      </w:pPr>
      <w:bookmarkStart w:id="8" w:name="O_519817"/>
      <w:bookmarkEnd w:id="8"/>
      <w:r w:rsidRPr="00D539C4">
        <w:t>Elements and Performance</w:t>
      </w:r>
      <w:r w:rsidRPr="00D539C4">
        <w:t xml:space="preserve"> Criteria</w:t>
      </w:r>
    </w:p>
    <w:tbl>
      <w:tblPr>
        <w:tblW w:w="0" w:type="auto"/>
        <w:tblLayout w:type="fixed"/>
        <w:tblCellMar>
          <w:left w:w="62" w:type="dxa"/>
          <w:right w:w="62" w:type="dxa"/>
        </w:tblCellMar>
        <w:tblLook w:val="0000"/>
      </w:tblPr>
      <w:tblGrid>
        <w:gridCol w:w="678"/>
        <w:gridCol w:w="1962"/>
        <w:gridCol w:w="770"/>
        <w:gridCol w:w="5610"/>
      </w:tblGrid>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1</w:t>
            </w:r>
          </w:p>
        </w:tc>
        <w:tc>
          <w:tcPr>
            <w:tcW w:w="1962" w:type="dxa"/>
            <w:vMerge w:val="restart"/>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Establish scope of continuous improvement evaluation</w:t>
            </w: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1.1</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Identify industrial and market context for continuous improvement</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1.2</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Identify features, functions and measurable parameters of products, p</w:t>
            </w:r>
            <w:r w:rsidRPr="00D539C4">
              <w:t>rocesses, systems or services, assets and operations subject to continuous improvement</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1.3</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 xml:space="preserve">Assess software techniques required for continuous improvement </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1.4</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 xml:space="preserve">Review sustainability implications of evaluation task </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1.5</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Identify stakeholders in continuous improvement processes and appropriate licensed technical and professional assistance to be consulted on the tasks</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1.6</w:t>
            </w:r>
          </w:p>
        </w:tc>
        <w:tc>
          <w:tcPr>
            <w:tcW w:w="5610" w:type="dxa"/>
            <w:tcBorders>
              <w:top w:val="nil"/>
              <w:left w:val="nil"/>
              <w:bottom w:val="nil"/>
              <w:right w:val="nil"/>
            </w:tcBorders>
            <w:tcMar>
              <w:top w:w="0" w:type="dxa"/>
              <w:left w:w="62" w:type="dxa"/>
              <w:bottom w:w="0" w:type="dxa"/>
              <w:right w:w="62" w:type="dxa"/>
            </w:tcMar>
          </w:tcPr>
          <w:p w:rsidR="00000000" w:rsidRPr="00D539C4" w:rsidP="00D539C4">
            <w:pPr>
              <w:pStyle w:val="BodyText"/>
            </w:pPr>
            <w:r w:rsidRPr="00D539C4">
              <w:t>Determine compliance requirements of relevant work health and safety (WHS) and regulatory requireme</w:t>
            </w:r>
            <w:r w:rsidRPr="00D539C4">
              <w:t>nts, codes of practice, standards and risk assessment procedures</w:t>
            </w:r>
          </w:p>
        </w:tc>
      </w:tr>
    </w:tbl>
    <w:p w:rsidR="00000000" w:rsidRPr="00D539C4" w:rsidP="00D539C4">
      <w:pPr>
        <w:pStyle w:val="BodyText"/>
      </w:pPr>
    </w:p>
    <w:tbl>
      <w:tblPr>
        <w:tblW w:w="0" w:type="auto"/>
        <w:tblLayout w:type="fixed"/>
        <w:tblCellMar>
          <w:left w:w="62" w:type="dxa"/>
          <w:right w:w="62" w:type="dxa"/>
        </w:tblCellMar>
        <w:tblLook w:val="0000"/>
      </w:tblPr>
      <w:tblGrid>
        <w:gridCol w:w="678"/>
        <w:gridCol w:w="1962"/>
        <w:gridCol w:w="770"/>
        <w:gridCol w:w="5610"/>
      </w:tblGrid>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2</w:t>
            </w:r>
          </w:p>
        </w:tc>
        <w:tc>
          <w:tcPr>
            <w:tcW w:w="1962" w:type="dxa"/>
            <w:vMerge w:val="restart"/>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Prepare for evaluation</w:t>
            </w: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2.1</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Identify appropriate measurement, data gathering, software and other analysis methods to be used for evaluation</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2.2</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Identify performance criteria or indices</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2.3</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Identify existing process capability, evaluation, control and run charts and sampling procedures</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2.4</w:t>
            </w:r>
          </w:p>
        </w:tc>
        <w:tc>
          <w:tcPr>
            <w:tcW w:w="5610" w:type="dxa"/>
            <w:tcBorders>
              <w:top w:val="nil"/>
              <w:left w:val="nil"/>
              <w:bottom w:val="nil"/>
              <w:right w:val="nil"/>
            </w:tcBorders>
            <w:tcMar>
              <w:top w:w="0" w:type="dxa"/>
              <w:left w:w="62" w:type="dxa"/>
              <w:bottom w:w="0" w:type="dxa"/>
              <w:right w:w="62" w:type="dxa"/>
            </w:tcMar>
          </w:tcPr>
          <w:p w:rsidR="00000000" w:rsidRPr="00D539C4" w:rsidP="00D539C4">
            <w:pPr>
              <w:pStyle w:val="BodyText"/>
            </w:pPr>
            <w:r w:rsidRPr="00D539C4">
              <w:t xml:space="preserve">Identify existing qualitative continuous improvement </w:t>
            </w:r>
            <w:r w:rsidRPr="00D539C4">
              <w:t>processes</w:t>
            </w:r>
          </w:p>
        </w:tc>
      </w:tr>
    </w:tbl>
    <w:p w:rsidR="00000000" w:rsidRPr="00D539C4" w:rsidP="00D539C4">
      <w:pPr>
        <w:pStyle w:val="BodyText"/>
      </w:pPr>
    </w:p>
    <w:tbl>
      <w:tblPr>
        <w:tblW w:w="0" w:type="auto"/>
        <w:tblLayout w:type="fixed"/>
        <w:tblCellMar>
          <w:left w:w="62" w:type="dxa"/>
          <w:right w:w="62" w:type="dxa"/>
        </w:tblCellMar>
        <w:tblLook w:val="0000"/>
      </w:tblPr>
      <w:tblGrid>
        <w:gridCol w:w="678"/>
        <w:gridCol w:w="1962"/>
        <w:gridCol w:w="770"/>
        <w:gridCol w:w="5610"/>
      </w:tblGrid>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3</w:t>
            </w:r>
          </w:p>
        </w:tc>
        <w:tc>
          <w:tcPr>
            <w:tcW w:w="1962" w:type="dxa"/>
            <w:vMerge w:val="restart"/>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Evaluate organisation continuous improvement processes</w:t>
            </w: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3.1</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Evaluate manual and automatic methods for measurement of parameters of products or services</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3.2</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Evaluate data gathering, analysis and performance indices</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3.3</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Evaluate software techniques for performance analysis and visual display generation</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3.4</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Evaluate quantitative and qualitative continuous improvement processes</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3.5</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Apply systems thinking, constraint and contingency management, problem solving and decision making to evaluation tasks</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3.6</w:t>
            </w:r>
          </w:p>
        </w:tc>
        <w:tc>
          <w:tcPr>
            <w:tcW w:w="5610" w:type="dxa"/>
            <w:tcBorders>
              <w:top w:val="nil"/>
              <w:left w:val="nil"/>
              <w:bottom w:val="nil"/>
              <w:right w:val="nil"/>
            </w:tcBorders>
            <w:tcMar>
              <w:top w:w="0" w:type="dxa"/>
              <w:left w:w="62" w:type="dxa"/>
              <w:bottom w:w="0" w:type="dxa"/>
              <w:right w:w="62" w:type="dxa"/>
            </w:tcMar>
          </w:tcPr>
          <w:p w:rsidR="00000000" w:rsidRPr="00D539C4" w:rsidP="00D539C4">
            <w:pPr>
              <w:pStyle w:val="BodyText"/>
            </w:pPr>
            <w:r w:rsidRPr="00D539C4">
              <w:t>Evaluate sustainability implications of improvements</w:t>
            </w:r>
          </w:p>
        </w:tc>
      </w:tr>
    </w:tbl>
    <w:p w:rsidR="00000000" w:rsidRPr="00D539C4" w:rsidP="00D539C4">
      <w:pPr>
        <w:pStyle w:val="BodyText"/>
      </w:pPr>
    </w:p>
    <w:tbl>
      <w:tblPr>
        <w:tblW w:w="0" w:type="auto"/>
        <w:tblLayout w:type="fixed"/>
        <w:tblCellMar>
          <w:left w:w="62" w:type="dxa"/>
          <w:right w:w="62" w:type="dxa"/>
        </w:tblCellMar>
        <w:tblLook w:val="0000"/>
      </w:tblPr>
      <w:tblGrid>
        <w:gridCol w:w="678"/>
        <w:gridCol w:w="1962"/>
        <w:gridCol w:w="770"/>
        <w:gridCol w:w="5610"/>
      </w:tblGrid>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4</w:t>
            </w:r>
          </w:p>
        </w:tc>
        <w:tc>
          <w:tcPr>
            <w:tcW w:w="1962" w:type="dxa"/>
            <w:vMerge w:val="restart"/>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Report results</w:t>
            </w: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4.1</w:t>
            </w:r>
          </w:p>
        </w:tc>
        <w:tc>
          <w:tcPr>
            <w:tcW w:w="561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Record results of scoping, identification of principles and techniques and evaluation of continuous improvement techniques</w:t>
            </w:r>
          </w:p>
        </w:tc>
      </w:tr>
      <w:tr w:rsidTr="00D539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4.2</w:t>
            </w:r>
          </w:p>
        </w:tc>
        <w:tc>
          <w:tcPr>
            <w:tcW w:w="5610" w:type="dxa"/>
            <w:tcBorders>
              <w:top w:val="nil"/>
              <w:left w:val="nil"/>
              <w:bottom w:val="nil"/>
              <w:right w:val="nil"/>
            </w:tcBorders>
            <w:tcMar>
              <w:top w:w="0" w:type="dxa"/>
              <w:left w:w="62" w:type="dxa"/>
              <w:bottom w:w="0" w:type="dxa"/>
              <w:right w:w="62" w:type="dxa"/>
            </w:tcMar>
          </w:tcPr>
          <w:p w:rsidR="00000000" w:rsidRPr="00D539C4" w:rsidP="00D539C4">
            <w:pPr>
              <w:pStyle w:val="BodyText"/>
            </w:pPr>
            <w:r w:rsidRPr="00D539C4">
              <w:t>Provide documentation, such as reports, data, graphics, flow charts and performance indices</w:t>
            </w:r>
          </w:p>
        </w:tc>
      </w:tr>
    </w:tbl>
    <w:p w:rsidR="000A1B73" w:rsidP="00D539C4">
      <w:pPr>
        <w:pStyle w:val="BodyText"/>
      </w:pPr>
    </w:p>
    <w:p w:rsidR="000A1B73" w:rsidP="00D539C4">
      <w:pPr>
        <w:pStyle w:val="BodyText"/>
      </w:pPr>
    </w:p>
    <w:p w:rsidR="00000000" w:rsidRPr="00D539C4" w:rsidP="00D539C4">
      <w:pPr>
        <w:pStyle w:val="Heading1"/>
      </w:pPr>
      <w:bookmarkStart w:id="9" w:name="O_519816"/>
      <w:bookmarkEnd w:id="9"/>
      <w:r w:rsidRPr="00D539C4">
        <w:t>Required Skills and Knowledge</w:t>
      </w:r>
    </w:p>
    <w:tbl>
      <w:tblPr>
        <w:tblW w:w="0" w:type="auto"/>
        <w:tblCellMar>
          <w:left w:w="62" w:type="dxa"/>
          <w:right w:w="62" w:type="dxa"/>
        </w:tblCellMar>
        <w:tblLook w:val="0000"/>
      </w:tblPr>
      <w:tblGrid>
        <w:gridCol w:w="9196"/>
      </w:tblGrid>
      <w:tr w:rsidTr="000A1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t>This section describes the skills and knowledge required for this unit.</w:t>
            </w:r>
          </w:p>
        </w:tc>
      </w:tr>
      <w:tr w:rsidTr="000A1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rPr>
                <w:rStyle w:val="SpecialBold"/>
              </w:rPr>
              <w:t>Required skills</w:t>
            </w:r>
          </w:p>
        </w:tc>
      </w:tr>
      <w:tr w:rsidTr="000A1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39C4" w:rsidP="00D539C4">
            <w:pPr>
              <w:pStyle w:val="BodyText"/>
            </w:pPr>
            <w:r w:rsidRPr="00D539C4">
              <w:t>Required skills include:</w:t>
            </w:r>
          </w:p>
          <w:p w:rsidR="00000000" w:rsidRPr="00D539C4" w:rsidP="00D539C4">
            <w:pPr>
              <w:pStyle w:val="ListBullet"/>
            </w:pPr>
            <w:r w:rsidRPr="00D539C4">
              <w:t xml:space="preserve">determining suitability of measurable parameters of products, processes, systems </w:t>
            </w:r>
            <w:r w:rsidRPr="00D539C4">
              <w:t>and services for continuous improvement activities</w:t>
            </w:r>
          </w:p>
          <w:p w:rsidR="00000000" w:rsidRPr="00D539C4" w:rsidP="00D539C4">
            <w:pPr>
              <w:pStyle w:val="ListBullet"/>
            </w:pPr>
            <w:r w:rsidRPr="00D539C4">
              <w:t xml:space="preserve">undertaking measurement, data gathering and analysis, including identifying trends and improvements </w:t>
            </w:r>
          </w:p>
          <w:p w:rsidR="00000000" w:rsidRPr="00D539C4" w:rsidP="00D539C4">
            <w:pPr>
              <w:pStyle w:val="ListBullet"/>
            </w:pPr>
            <w:r w:rsidRPr="00D539C4">
              <w:t>reviewing performance indices, software for data analysis and visual representations and continuous impr</w:t>
            </w:r>
            <w:r w:rsidRPr="00D539C4">
              <w:t>ovement techniques</w:t>
            </w:r>
          </w:p>
          <w:p w:rsidR="00000000" w:rsidRPr="00D539C4" w:rsidP="00D539C4">
            <w:pPr>
              <w:pStyle w:val="ListBullet"/>
            </w:pPr>
            <w:r w:rsidRPr="00D539C4">
              <w:t>evaluating continuous improvement, systems thinking, constraint and contingency management, and lean systems requirements</w:t>
            </w:r>
          </w:p>
          <w:p w:rsidR="00000000" w:rsidRPr="00D539C4" w:rsidP="00D539C4">
            <w:pPr>
              <w:pStyle w:val="ListBullet"/>
            </w:pPr>
            <w:r w:rsidRPr="00D539C4">
              <w:t>producing and interpreting charts used in production and service control, including:</w:t>
            </w:r>
          </w:p>
          <w:p w:rsidR="00000000" w:rsidRPr="00D539C4" w:rsidP="00D539C4">
            <w:pPr>
              <w:pStyle w:val="ListBullet2"/>
            </w:pPr>
            <w:r w:rsidRPr="00D539C4">
              <w:t xml:space="preserve">histograms </w:t>
            </w:r>
          </w:p>
          <w:p w:rsidR="00000000" w:rsidRPr="00D539C4" w:rsidP="00D539C4">
            <w:pPr>
              <w:pStyle w:val="ListBullet2"/>
            </w:pPr>
            <w:r w:rsidRPr="00D539C4">
              <w:t xml:space="preserve">Pareto diagrams </w:t>
            </w:r>
          </w:p>
          <w:p w:rsidR="00000000" w:rsidRPr="00D539C4" w:rsidP="00D539C4">
            <w:pPr>
              <w:pStyle w:val="ListBullet2"/>
            </w:pPr>
            <w:r w:rsidRPr="00D539C4">
              <w:t xml:space="preserve">flowcharts </w:t>
            </w:r>
          </w:p>
          <w:p w:rsidR="00000000" w:rsidRPr="00D539C4" w:rsidP="00D539C4">
            <w:pPr>
              <w:pStyle w:val="ListBullet2"/>
            </w:pPr>
            <w:r w:rsidRPr="00D539C4">
              <w:t xml:space="preserve">tallycharts </w:t>
            </w:r>
          </w:p>
          <w:p w:rsidR="00000000" w:rsidRPr="00D539C4" w:rsidP="00D539C4">
            <w:pPr>
              <w:pStyle w:val="ListBullet2"/>
            </w:pPr>
            <w:r w:rsidRPr="00D539C4">
              <w:t xml:space="preserve">scatter plots </w:t>
            </w:r>
          </w:p>
          <w:p w:rsidR="00000000" w:rsidRPr="00D539C4" w:rsidP="00D539C4">
            <w:pPr>
              <w:pStyle w:val="ListBullet2"/>
            </w:pPr>
            <w:r w:rsidRPr="00D539C4">
              <w:t xml:space="preserve">run chart </w:t>
            </w:r>
          </w:p>
          <w:p w:rsidR="00000000" w:rsidRPr="00D539C4" w:rsidP="00D539C4">
            <w:pPr>
              <w:pStyle w:val="ListBullet"/>
            </w:pPr>
            <w:r w:rsidRPr="00D539C4">
              <w:t xml:space="preserve">evaluating sustainability implications of improvements </w:t>
            </w:r>
          </w:p>
          <w:p w:rsidR="00000000" w:rsidP="00D539C4">
            <w:pPr>
              <w:pStyle w:val="ListBullet"/>
              <w:rPr>
                <w:lang w:val="en-NZ"/>
              </w:rPr>
            </w:pPr>
            <w:r w:rsidRPr="00D539C4">
              <w:t>reporting and documenting results of scoping, identification of principles and techniques and evaluation of continuous improvement techniques, data,</w:t>
            </w:r>
            <w:r w:rsidRPr="00D539C4">
              <w:t xml:space="preserve"> graphics, flow charts and performance indices</w:t>
            </w:r>
          </w:p>
        </w:tc>
      </w:tr>
      <w:tr w:rsidTr="000A1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39C4" w:rsidP="00D539C4">
            <w:pPr>
              <w:pStyle w:val="BodyText"/>
            </w:pPr>
          </w:p>
          <w:p w:rsidR="00000000" w:rsidP="00D539C4">
            <w:pPr>
              <w:pStyle w:val="BodyText"/>
              <w:rPr>
                <w:lang w:val="en-NZ"/>
              </w:rPr>
            </w:pPr>
            <w:r w:rsidRPr="00D539C4">
              <w:rPr>
                <w:rStyle w:val="SpecialBold"/>
              </w:rPr>
              <w:t>Required knowledge</w:t>
            </w:r>
          </w:p>
        </w:tc>
      </w:tr>
      <w:tr w:rsidTr="000A1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39C4" w:rsidP="00D539C4">
            <w:pPr>
              <w:pStyle w:val="BodyText"/>
            </w:pPr>
            <w:r w:rsidRPr="00D539C4">
              <w:t>Required knowledge includes:</w:t>
            </w:r>
          </w:p>
          <w:p w:rsidR="00000000" w:rsidRPr="00D539C4" w:rsidP="00D539C4">
            <w:pPr>
              <w:pStyle w:val="ListBullet"/>
            </w:pPr>
            <w:r w:rsidRPr="00D539C4">
              <w:t>features of products, processes, systems and services subject to improvement processes</w:t>
            </w:r>
          </w:p>
          <w:p w:rsidR="00000000" w:rsidRPr="00D539C4" w:rsidP="00D539C4">
            <w:pPr>
              <w:pStyle w:val="ListBullet"/>
            </w:pPr>
            <w:r w:rsidRPr="00D539C4">
              <w:t>economic, social and sustainability implications of products, processes, systems, services and implications of improvement processes</w:t>
            </w:r>
          </w:p>
          <w:p w:rsidR="00000000" w:rsidRPr="00D539C4" w:rsidP="00D539C4">
            <w:pPr>
              <w:pStyle w:val="ListBullet"/>
            </w:pPr>
            <w:r w:rsidRPr="00D539C4">
              <w:t>continuous improvement drivers and mechanisms, such as:</w:t>
            </w:r>
          </w:p>
          <w:p w:rsidR="00000000" w:rsidRPr="00D539C4" w:rsidP="00D539C4">
            <w:pPr>
              <w:pStyle w:val="ListBullet2"/>
            </w:pPr>
            <w:r w:rsidRPr="00D539C4">
              <w:t>market competitiveness</w:t>
            </w:r>
          </w:p>
          <w:p w:rsidR="00000000" w:rsidRPr="00D539C4" w:rsidP="00D539C4">
            <w:pPr>
              <w:pStyle w:val="ListBullet2"/>
            </w:pPr>
            <w:r w:rsidRPr="00D539C4">
              <w:t>maintenance of a technological edge</w:t>
            </w:r>
          </w:p>
          <w:p w:rsidR="00000000" w:rsidRPr="00D539C4" w:rsidP="00D539C4">
            <w:pPr>
              <w:pStyle w:val="ListBullet2"/>
            </w:pPr>
            <w:r w:rsidRPr="00D539C4">
              <w:t>customer expectations</w:t>
            </w:r>
          </w:p>
          <w:p w:rsidR="00000000" w:rsidRPr="00D539C4" w:rsidP="00D539C4">
            <w:pPr>
              <w:pStyle w:val="ListBullet"/>
            </w:pPr>
            <w:r w:rsidRPr="00D539C4">
              <w:t>WHS requirements, codes of practice, regulatory requirements, and standards problem solving and decision making techniques:</w:t>
            </w:r>
          </w:p>
          <w:p w:rsidR="00000000" w:rsidRPr="00D539C4" w:rsidP="00D539C4">
            <w:pPr>
              <w:pStyle w:val="ListBullet2"/>
            </w:pPr>
            <w:r w:rsidRPr="00D539C4">
              <w:t>brainstorming</w:t>
            </w:r>
          </w:p>
          <w:p w:rsidR="00000000" w:rsidRPr="00D539C4" w:rsidP="00D539C4">
            <w:pPr>
              <w:pStyle w:val="ListBullet2"/>
            </w:pPr>
            <w:r w:rsidRPr="00D539C4">
              <w:t>current and future state mapping</w:t>
            </w:r>
          </w:p>
          <w:p w:rsidR="00000000" w:rsidRPr="00D539C4" w:rsidP="00D539C4">
            <w:pPr>
              <w:pStyle w:val="ListBullet2"/>
            </w:pPr>
            <w:r w:rsidRPr="00D539C4">
              <w:t>seven tools of quality:</w:t>
            </w:r>
          </w:p>
          <w:p w:rsidR="00000000" w:rsidRPr="00D539C4" w:rsidP="00D539C4">
            <w:pPr>
              <w:pStyle w:val="ListBullet3"/>
            </w:pPr>
            <w:r w:rsidRPr="00D539C4">
              <w:t>Ishikawa ‘Fishbone’ diagrams</w:t>
            </w:r>
          </w:p>
          <w:p w:rsidR="00000000" w:rsidRPr="00D539C4" w:rsidP="00D539C4">
            <w:pPr>
              <w:pStyle w:val="ListBullet3"/>
            </w:pPr>
            <w:r w:rsidRPr="00D539C4">
              <w:t>histograms</w:t>
            </w:r>
          </w:p>
          <w:p w:rsidR="00000000" w:rsidRPr="00D539C4" w:rsidP="00D539C4">
            <w:pPr>
              <w:pStyle w:val="ListBullet3"/>
            </w:pPr>
            <w:r w:rsidRPr="00D539C4">
              <w:t>Pareto analysis</w:t>
            </w:r>
          </w:p>
          <w:p w:rsidR="00000000" w:rsidRPr="00D539C4" w:rsidP="00D539C4">
            <w:pPr>
              <w:pStyle w:val="ListBullet3"/>
            </w:pPr>
            <w:r w:rsidRPr="00D539C4">
              <w:t>flowcharts</w:t>
            </w:r>
          </w:p>
          <w:p w:rsidR="00000000" w:rsidRPr="00D539C4" w:rsidP="00D539C4">
            <w:pPr>
              <w:pStyle w:val="ListBullet3"/>
            </w:pPr>
            <w:r w:rsidRPr="00D539C4">
              <w:t>scatter plots</w:t>
            </w:r>
          </w:p>
          <w:p w:rsidR="00000000" w:rsidRPr="00D539C4" w:rsidP="00D539C4">
            <w:pPr>
              <w:pStyle w:val="ListBullet3"/>
            </w:pPr>
            <w:r w:rsidRPr="00D539C4">
              <w:t>run charts</w:t>
            </w:r>
          </w:p>
          <w:p w:rsidR="00000000" w:rsidRPr="00D539C4" w:rsidP="00D539C4">
            <w:pPr>
              <w:pStyle w:val="ListBullet3"/>
            </w:pPr>
            <w:r w:rsidRPr="00D539C4">
              <w:t>control charts</w:t>
            </w:r>
          </w:p>
          <w:p w:rsidR="00000000" w:rsidRPr="00D539C4" w:rsidP="00D539C4">
            <w:pPr>
              <w:pStyle w:val="ListBullet"/>
            </w:pPr>
            <w:r w:rsidRPr="00D539C4">
              <w:t>data, performance metrics, graphics and visual indicators</w:t>
            </w:r>
          </w:p>
          <w:p w:rsidR="00000000" w:rsidRPr="00D539C4" w:rsidP="00D539C4">
            <w:pPr>
              <w:pStyle w:val="ListBullet"/>
            </w:pPr>
            <w:r w:rsidRPr="00D539C4">
              <w:t>software options, such as:</w:t>
            </w:r>
          </w:p>
          <w:p w:rsidR="00000000" w:rsidRPr="00D539C4" w:rsidP="00D539C4">
            <w:pPr>
              <w:pStyle w:val="ListBullet2"/>
            </w:pPr>
            <w:r w:rsidRPr="00D539C4">
              <w:t>budgeting, financial and business planning performance metrics analysers and graphics gener</w:t>
            </w:r>
            <w:r w:rsidRPr="00D539C4">
              <w:t>ators</w:t>
            </w:r>
          </w:p>
          <w:p w:rsidR="00000000" w:rsidRPr="00D539C4" w:rsidP="00D539C4">
            <w:pPr>
              <w:pStyle w:val="ListBullet2"/>
            </w:pPr>
            <w:r w:rsidRPr="00D539C4">
              <w:t>maintenance downtime and cost data generators</w:t>
            </w:r>
          </w:p>
          <w:p w:rsidR="00000000" w:rsidRPr="00D539C4" w:rsidP="00D539C4">
            <w:pPr>
              <w:pStyle w:val="ListBullet2"/>
            </w:pPr>
            <w:r w:rsidRPr="00D539C4">
              <w:t>system control and data acquisition (SCADA), distributed control systems (DCS), enterprise resource planning (ERP) and materials resource planning (MRP) system data generators</w:t>
            </w:r>
          </w:p>
          <w:p w:rsidR="00000000" w:rsidRPr="00D539C4" w:rsidP="00D539C4">
            <w:pPr>
              <w:pStyle w:val="ListBullet2"/>
            </w:pPr>
            <w:r w:rsidRPr="00D539C4">
              <w:t>performance data analysis and graphics generators</w:t>
            </w:r>
          </w:p>
          <w:p w:rsidR="00000000" w:rsidRPr="00D539C4" w:rsidP="00D539C4">
            <w:pPr>
              <w:pStyle w:val="ListBullet"/>
            </w:pPr>
            <w:r w:rsidRPr="00D539C4">
              <w:t>statistical process control (SPC) techniques</w:t>
            </w:r>
          </w:p>
          <w:p w:rsidR="00000000" w:rsidRPr="00D539C4" w:rsidP="00D539C4">
            <w:pPr>
              <w:pStyle w:val="ListBullet"/>
            </w:pPr>
            <w:r w:rsidRPr="00D539C4">
              <w:t>qualitiative improvement techniques</w:t>
            </w:r>
          </w:p>
        </w:tc>
      </w:tr>
    </w:tbl>
    <w:p w:rsidR="000A1B73" w:rsidP="00D539C4">
      <w:pPr>
        <w:pStyle w:val="BodyText"/>
      </w:pPr>
    </w:p>
    <w:p w:rsidR="000A1B73" w:rsidP="00D539C4">
      <w:pPr>
        <w:pStyle w:val="BodyText"/>
      </w:pPr>
    </w:p>
    <w:p w:rsidR="00000000" w:rsidRPr="00D539C4" w:rsidP="00D539C4">
      <w:pPr>
        <w:pStyle w:val="Heading1"/>
      </w:pPr>
      <w:bookmarkStart w:id="10" w:name="O_519815"/>
      <w:bookmarkEnd w:id="10"/>
      <w:r w:rsidRPr="00D539C4">
        <w:t>Evidence Guide</w:t>
      </w:r>
    </w:p>
    <w:tbl>
      <w:tblPr>
        <w:tblW w:w="0" w:type="auto"/>
        <w:tblCellMar>
          <w:left w:w="62" w:type="dxa"/>
          <w:right w:w="62" w:type="dxa"/>
        </w:tblCellMar>
        <w:tblLook w:val="0000"/>
      </w:tblPr>
      <w:tblGrid>
        <w:gridCol w:w="3602"/>
        <w:gridCol w:w="5594"/>
      </w:tblGrid>
      <w:tr w:rsidTr="000A1B73">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539C4">
            <w:pPr>
              <w:pStyle w:val="BodyText"/>
              <w:rPr>
                <w:lang w:val="en-NZ"/>
              </w:rPr>
            </w:pPr>
            <w:r w:rsidRPr="00D539C4">
              <w:t xml:space="preserve">The evidence </w:t>
            </w:r>
            <w:r w:rsidRPr="00D539C4">
              <w:t>guide provides advice on assessment and must be read in conjunction with the performance criteria, required skills and knowledge, range statement and the Assessment Guidelines for the Training Package.</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t>A person who demonstrates com</w:t>
            </w:r>
            <w:r w:rsidRPr="00D539C4">
              <w:t>petency in this unit must be able to evaluate continuous improvement processes for production, engineering and related services. This includes working individually and as part of a team in accordance with organisation procedures.</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rPr>
                <w:rStyle w:val="SpecialBold"/>
              </w:rPr>
              <w:t>Critical aspects for asse</w:t>
            </w:r>
            <w:r w:rsidRPr="00D539C4">
              <w:rPr>
                <w:rStyle w:val="SpecialBold"/>
              </w:rPr>
              <w:t>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BodyText"/>
            </w:pPr>
            <w:r w:rsidRPr="00D539C4">
              <w:t>Assessors must be satisfied that the candidate can competently and consistently:</w:t>
            </w:r>
          </w:p>
          <w:p w:rsidR="00000000" w:rsidRPr="00D539C4" w:rsidP="00D539C4">
            <w:pPr>
              <w:pStyle w:val="ListBullet"/>
            </w:pPr>
            <w:r w:rsidRPr="00D539C4">
              <w:t>determine measurable and controllable parameters of product or service and their suitability in continuous</w:t>
            </w:r>
            <w:r w:rsidRPr="00D539C4">
              <w:t xml:space="preserve"> improvement processes </w:t>
            </w:r>
          </w:p>
          <w:p w:rsidR="00000000" w:rsidRPr="00D539C4" w:rsidP="00D539C4">
            <w:pPr>
              <w:pStyle w:val="ListBullet"/>
            </w:pPr>
            <w:r w:rsidRPr="00D539C4">
              <w:t>identify WHS, regulatory requirements, risk management and related organisational procedures</w:t>
            </w:r>
          </w:p>
          <w:p w:rsidR="00000000" w:rsidRPr="00D539C4" w:rsidP="00D539C4">
            <w:pPr>
              <w:pStyle w:val="ListBullet"/>
            </w:pPr>
            <w:r w:rsidRPr="00D539C4">
              <w:t>evaluate manual and automatic methods for measurement and data gathering, including analysis and performance indices, software analysis and visual display</w:t>
            </w:r>
          </w:p>
          <w:p w:rsidR="00000000" w:rsidRPr="00D539C4" w:rsidP="00D539C4">
            <w:pPr>
              <w:pStyle w:val="ListBullet"/>
            </w:pPr>
            <w:r w:rsidRPr="00D539C4">
              <w:t>evaluate qualitative continuous improvement processes</w:t>
            </w:r>
          </w:p>
          <w:p w:rsidR="00000000" w:rsidRPr="00D539C4" w:rsidP="00D539C4">
            <w:pPr>
              <w:pStyle w:val="ListBullet"/>
            </w:pPr>
            <w:r w:rsidRPr="00D539C4">
              <w:t>evaluate sustainability implications of improve</w:t>
            </w:r>
            <w:r w:rsidRPr="00D539C4">
              <w:t xml:space="preserve">ments </w:t>
            </w:r>
          </w:p>
          <w:p w:rsidR="00000000" w:rsidRPr="00D539C4" w:rsidP="00D539C4">
            <w:pPr>
              <w:pStyle w:val="ListBullet"/>
            </w:pPr>
            <w:r w:rsidRPr="00D539C4">
              <w:t>measure and gather data, record and analyse for trends and improvements</w:t>
            </w:r>
          </w:p>
          <w:p w:rsidR="00000000" w:rsidRPr="00D539C4" w:rsidP="00D539C4">
            <w:pPr>
              <w:pStyle w:val="ListBullet"/>
            </w:pPr>
            <w:r w:rsidRPr="00D539C4">
              <w:t>evaluate continuous improvement, systems thinking, constraint and contingency management and lean systems requirements</w:t>
            </w:r>
          </w:p>
          <w:p w:rsidR="00000000" w:rsidP="00D539C4">
            <w:pPr>
              <w:pStyle w:val="ListBullet"/>
              <w:rPr>
                <w:lang w:val="en-NZ"/>
              </w:rPr>
            </w:pPr>
            <w:r w:rsidRPr="00D539C4">
              <w:t>report and document results.</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rPr>
                <w:rStyle w:val="SpecialBold"/>
              </w:rPr>
              <w:t>Context of and specific reso</w:t>
            </w:r>
            <w:r w:rsidRPr="00D539C4">
              <w:rPr>
                <w:rStyle w:val="SpecialBold"/>
              </w:rPr>
              <w:t>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ListBullet"/>
            </w:pPr>
            <w:r w:rsidRPr="00D539C4">
              <w:t>This unit may be assessed on the job, off the job or a combination of both on and off the job. Where assessment occurs off the job, then a simulated working environment must be used where the range of conditions reflects realistic wor</w:t>
            </w:r>
            <w:r w:rsidRPr="00D539C4">
              <w:t xml:space="preserve">kplace situations. </w:t>
            </w:r>
          </w:p>
          <w:p w:rsidR="00000000" w:rsidRPr="00D539C4" w:rsidP="00D539C4">
            <w:pPr>
              <w:pStyle w:val="ListBullet"/>
            </w:pPr>
            <w:r w:rsidRPr="00D539C4">
              <w:t xml:space="preserve">The competencies covered by this unit would be demonstrated by an individual working alone or as part of a team. </w:t>
            </w:r>
          </w:p>
          <w:p w:rsidR="00000000" w:rsidRPr="00D539C4" w:rsidP="00D539C4">
            <w:pPr>
              <w:pStyle w:val="ListBullet"/>
            </w:pPr>
            <w:r w:rsidRPr="00D539C4">
              <w:t>Where applicable, reasonable adjustment must be made to work environments and training situations to accommodate ethnicity</w:t>
            </w:r>
            <w:r w:rsidRPr="00D539C4">
              <w:t>, age, gender, demographics and disability.</w:t>
            </w:r>
          </w:p>
          <w:p w:rsidR="00000000" w:rsidP="00D539C4">
            <w:pPr>
              <w:pStyle w:val="ListBullet"/>
              <w:rPr>
                <w:lang w:val="en-NZ"/>
              </w:rPr>
            </w:pPr>
            <w:r w:rsidRPr="00D539C4">
              <w:t>Access must be provided to appropriate learning and/or assessment support when required. Where applicable, physical resources should include equipment modified for people with disabilities.</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ListBullet"/>
            </w:pPr>
            <w:r w:rsidRPr="00D539C4">
              <w:t>Assessment must satisfy the endorsed Assessment Guidelines of the MEM05 Metal and Engineering Training Package.</w:t>
            </w:r>
          </w:p>
          <w:p w:rsidR="00000000" w:rsidRPr="00D539C4" w:rsidP="00D539C4">
            <w:pPr>
              <w:pStyle w:val="ListBullet"/>
            </w:pPr>
            <w:r w:rsidRPr="00D539C4">
              <w:t>Assessment methods must confirm consistency and accuracy of performance (over time and in a range of workplace relevant contexts) together with</w:t>
            </w:r>
            <w:r w:rsidRPr="00D539C4">
              <w:t xml:space="preserve"> application of underpinning knowledge.</w:t>
            </w:r>
          </w:p>
          <w:p w:rsidR="00000000" w:rsidRPr="00D539C4" w:rsidP="00D539C4">
            <w:pPr>
              <w:pStyle w:val="ListBullet"/>
            </w:pPr>
            <w:r w:rsidRPr="00D539C4">
              <w:t>Assessment methods must be by direct observation of tasks and include questioning on underpinning knowledge to ensure correct interpretation and application.</w:t>
            </w:r>
          </w:p>
          <w:p w:rsidR="00000000" w:rsidRPr="00D539C4" w:rsidP="00D539C4">
            <w:pPr>
              <w:pStyle w:val="ListBullet"/>
            </w:pPr>
            <w:r w:rsidRPr="00D539C4">
              <w:t>Assessment may be applied under project-related conditions</w:t>
            </w:r>
            <w:r w:rsidRPr="00D539C4">
              <w:t xml:space="preserve"> (real or simulated) and require evidence of process.</w:t>
            </w:r>
          </w:p>
          <w:p w:rsidR="00000000" w:rsidRPr="00D539C4" w:rsidP="00D539C4">
            <w:pPr>
              <w:pStyle w:val="ListBullet"/>
            </w:pPr>
            <w:r w:rsidRPr="00D539C4">
              <w:t>Assessment must confirm a reasonable inference that competency is not only able to be satisfied under the particular circumstance, but is able to be transferred to other circumstances.</w:t>
            </w:r>
          </w:p>
          <w:p w:rsidR="00000000" w:rsidP="00D539C4">
            <w:pPr>
              <w:pStyle w:val="ListBullet"/>
              <w:rPr>
                <w:lang w:val="en-NZ"/>
              </w:rPr>
            </w:pPr>
            <w:r w:rsidRPr="00D539C4">
              <w:t>Assessment may be</w:t>
            </w:r>
            <w:r w:rsidRPr="00D539C4">
              <w:t xml:space="preserve"> in conjunction with assessment of other units of competency where required.</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BodyText"/>
            </w:pPr>
            <w:r w:rsidRPr="00D539C4">
              <w:t xml:space="preserve">Assessment processes and techniques must be culturally appropriate and appropriate to the language and literacy capacity of the candidate and </w:t>
            </w:r>
            <w:r w:rsidRPr="00D539C4">
              <w:t>the work being performed.</w:t>
            </w:r>
          </w:p>
        </w:tc>
      </w:tr>
    </w:tbl>
    <w:p w:rsidR="000A1B73" w:rsidP="00D539C4">
      <w:pPr>
        <w:pStyle w:val="BodyText"/>
      </w:pPr>
    </w:p>
    <w:p w:rsidR="000A1B73" w:rsidP="00D539C4">
      <w:pPr>
        <w:pStyle w:val="BodyText"/>
      </w:pPr>
    </w:p>
    <w:p w:rsidR="00000000" w:rsidRPr="00D539C4" w:rsidP="00D539C4">
      <w:pPr>
        <w:pStyle w:val="Heading1"/>
      </w:pPr>
      <w:bookmarkStart w:id="11" w:name="O_519814"/>
      <w:bookmarkEnd w:id="11"/>
      <w:r w:rsidRPr="00D539C4">
        <w:t>Range Statement</w:t>
      </w:r>
    </w:p>
    <w:tbl>
      <w:tblPr>
        <w:tblW w:w="0" w:type="auto"/>
        <w:tblCellMar>
          <w:left w:w="62" w:type="dxa"/>
          <w:right w:w="62" w:type="dxa"/>
        </w:tblCellMar>
        <w:tblLook w:val="0000"/>
      </w:tblPr>
      <w:tblGrid>
        <w:gridCol w:w="2688"/>
        <w:gridCol w:w="6508"/>
      </w:tblGrid>
      <w:tr w:rsidTr="000A1B73">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539C4">
            <w:pPr>
              <w:pStyle w:val="BodyText"/>
              <w:rPr>
                <w:lang w:val="en-NZ"/>
              </w:rPr>
            </w:pPr>
            <w:r w:rsidRPr="00D539C4">
              <w:t xml:space="preserve">The range statement relates to the unit of competency as a whole. It allows for different work environments and situations that may affect </w:t>
            </w:r>
            <w:r w:rsidRPr="00D539C4">
              <w:t>performance. Bold italicised wording, if used in the performance criteria, is detailed below. Essential operating conditions that may be present with training and assessment (depending on the work situation, needs of the candidate, accessibility of the ite</w:t>
            </w:r>
            <w:r w:rsidRPr="00D539C4">
              <w:t>m, and local industry and regional contexts) may also be included.</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rPr>
                <w:rStyle w:val="SpecialBold"/>
              </w:rPr>
              <w:t>Features, functions and measurable parameters of products, processes, systems or services, assets and operations subject to continuous improvement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BodyText"/>
            </w:pPr>
            <w:r w:rsidRPr="00D539C4">
              <w:t>Features, functions and measurable param</w:t>
            </w:r>
            <w:r w:rsidRPr="00D539C4">
              <w:t>eters of products, processes, systems, services and assets subject to continuous improvement may include:</w:t>
            </w:r>
          </w:p>
          <w:p w:rsidR="00000000" w:rsidRPr="00D539C4" w:rsidP="00D539C4">
            <w:pPr>
              <w:pStyle w:val="ListBullet"/>
            </w:pPr>
            <w:r w:rsidRPr="00D539C4">
              <w:t>sustainability</w:t>
            </w:r>
          </w:p>
          <w:p w:rsidR="00000000" w:rsidRPr="00D539C4" w:rsidP="00D539C4">
            <w:pPr>
              <w:pStyle w:val="ListBullet"/>
            </w:pPr>
            <w:r w:rsidRPr="00D539C4">
              <w:t>software</w:t>
            </w:r>
          </w:p>
          <w:p w:rsidR="00000000" w:rsidRPr="00D539C4" w:rsidP="00D539C4">
            <w:pPr>
              <w:pStyle w:val="ListBullet"/>
            </w:pPr>
            <w:r w:rsidRPr="00D539C4">
              <w:t>product manufacturability</w:t>
            </w:r>
          </w:p>
          <w:p w:rsidR="00000000" w:rsidRPr="00D539C4" w:rsidP="00D539C4">
            <w:pPr>
              <w:pStyle w:val="ListBullet"/>
            </w:pPr>
            <w:r w:rsidRPr="00D539C4">
              <w:t>process design</w:t>
            </w:r>
          </w:p>
          <w:p w:rsidR="00000000" w:rsidRPr="00D539C4" w:rsidP="00D539C4">
            <w:pPr>
              <w:pStyle w:val="ListBullet"/>
            </w:pPr>
            <w:r w:rsidRPr="00D539C4">
              <w:t>process control</w:t>
            </w:r>
          </w:p>
          <w:p w:rsidR="00000000" w:rsidRPr="00D539C4" w:rsidP="00D539C4">
            <w:pPr>
              <w:pStyle w:val="ListBullet"/>
            </w:pPr>
            <w:r w:rsidRPr="00D539C4">
              <w:t>equipment and tooling</w:t>
            </w:r>
          </w:p>
          <w:p w:rsidR="00000000" w:rsidRPr="00D539C4" w:rsidP="00D539C4">
            <w:pPr>
              <w:pStyle w:val="ListBullet"/>
            </w:pPr>
            <w:r w:rsidRPr="00D539C4">
              <w:t>material and product flow</w:t>
            </w:r>
          </w:p>
          <w:p w:rsidR="00000000" w:rsidRPr="00D539C4" w:rsidP="00D539C4">
            <w:pPr>
              <w:pStyle w:val="ListBullet"/>
            </w:pPr>
            <w:r w:rsidRPr="00D539C4">
              <w:t>plant layout and tra</w:t>
            </w:r>
            <w:r w:rsidRPr="00D539C4">
              <w:t>nsfer operations</w:t>
            </w:r>
          </w:p>
          <w:p w:rsidR="00000000" w:rsidRPr="00D539C4" w:rsidP="00D539C4">
            <w:pPr>
              <w:pStyle w:val="ListBullet"/>
            </w:pPr>
            <w:r w:rsidRPr="00D539C4">
              <w:t>standard operating procedures</w:t>
            </w:r>
          </w:p>
          <w:p w:rsidR="00000000" w:rsidRPr="00D539C4" w:rsidP="00D539C4">
            <w:pPr>
              <w:pStyle w:val="ListBullet"/>
            </w:pPr>
            <w:r w:rsidRPr="00D539C4">
              <w:t>maintenance</w:t>
            </w:r>
          </w:p>
          <w:p w:rsidR="00000000" w:rsidRPr="00D539C4" w:rsidP="00D539C4">
            <w:pPr>
              <w:pStyle w:val="ListBullet"/>
            </w:pPr>
            <w:r w:rsidRPr="00D539C4">
              <w:t>lean systems</w:t>
            </w:r>
          </w:p>
          <w:p w:rsidR="00000000" w:rsidRPr="00D539C4" w:rsidP="00D539C4">
            <w:pPr>
              <w:pStyle w:val="ListBullet"/>
            </w:pPr>
            <w:r w:rsidRPr="00D539C4">
              <w:t>labour and skills distribution</w:t>
            </w:r>
          </w:p>
          <w:p w:rsidR="00000000" w:rsidRPr="00D539C4" w:rsidP="00D539C4">
            <w:pPr>
              <w:pStyle w:val="ListBullet"/>
            </w:pPr>
            <w:r w:rsidRPr="00D539C4">
              <w:t>information flow</w:t>
            </w:r>
          </w:p>
          <w:p w:rsidR="00000000" w:rsidRPr="00D539C4" w:rsidP="00D539C4">
            <w:pPr>
              <w:pStyle w:val="ListBullet"/>
            </w:pPr>
            <w:r w:rsidRPr="00D539C4">
              <w:t xml:space="preserve">value chain </w:t>
            </w:r>
          </w:p>
          <w:p w:rsidR="00000000" w:rsidRPr="00D539C4" w:rsidP="00D539C4">
            <w:pPr>
              <w:pStyle w:val="ListBullet"/>
            </w:pPr>
            <w:r w:rsidRPr="00D539C4">
              <w:t>sales, marketing and planning</w:t>
            </w:r>
          </w:p>
          <w:p w:rsidR="00000000" w:rsidP="00D539C4">
            <w:pPr>
              <w:pStyle w:val="ListBullet"/>
              <w:rPr>
                <w:lang w:val="en-NZ"/>
              </w:rPr>
            </w:pPr>
            <w:r w:rsidRPr="00D539C4">
              <w:t>management</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rPr>
                <w:rStyle w:val="SpecialBold"/>
              </w:rPr>
              <w:t xml:space="preserve">Sustainability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BodyText"/>
            </w:pPr>
            <w:r w:rsidRPr="00D539C4">
              <w:t>Sustainability is used to mean the entire sustainable performance of the organisation/plant, including:</w:t>
            </w:r>
          </w:p>
          <w:p w:rsidR="00000000" w:rsidRPr="00D539C4" w:rsidP="00D539C4">
            <w:pPr>
              <w:pStyle w:val="ListBullet"/>
            </w:pPr>
            <w:r w:rsidRPr="00D539C4">
              <w:t>meeting all regulatory requirements</w:t>
            </w:r>
          </w:p>
          <w:p w:rsidR="00000000" w:rsidRPr="00D539C4" w:rsidP="00D539C4">
            <w:pPr>
              <w:pStyle w:val="ListBullet"/>
            </w:pPr>
            <w:r w:rsidRPr="00D539C4">
              <w:t>conforming to all industry covenants, protocols and best practice guides</w:t>
            </w:r>
          </w:p>
          <w:p w:rsidR="00000000" w:rsidRPr="00D539C4" w:rsidP="00D539C4">
            <w:pPr>
              <w:pStyle w:val="ListBullet"/>
            </w:pPr>
            <w:r w:rsidRPr="00D539C4">
              <w:t>minimising ecological and environmental fo</w:t>
            </w:r>
            <w:r w:rsidRPr="00D539C4">
              <w:t>otprint of process, plant and product</w:t>
            </w:r>
          </w:p>
          <w:p w:rsidR="00000000" w:rsidRPr="00D539C4" w:rsidP="00D539C4">
            <w:pPr>
              <w:pStyle w:val="ListBullet"/>
            </w:pPr>
            <w:r w:rsidRPr="00D539C4">
              <w:t xml:space="preserve">maximising economic benefit of process plant and product to the organisation and the community </w:t>
            </w:r>
          </w:p>
          <w:p w:rsidR="00000000" w:rsidP="00D539C4">
            <w:pPr>
              <w:pStyle w:val="ListBullet"/>
              <w:rPr>
                <w:lang w:val="en-NZ"/>
              </w:rPr>
            </w:pPr>
            <w:r w:rsidRPr="00D539C4">
              <w:t>minimising the negative WHS impact on employees, community and customer</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BodyText"/>
            </w:pPr>
            <w:r w:rsidRPr="00D539C4">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BodyText"/>
            </w:pPr>
            <w:r w:rsidRPr="00D539C4">
              <w:t>WHS, regulatory requirements and enterprise procedures may include:</w:t>
            </w:r>
          </w:p>
          <w:p w:rsidR="00000000" w:rsidRPr="00D539C4" w:rsidP="00D539C4">
            <w:pPr>
              <w:pStyle w:val="ListBullet"/>
            </w:pPr>
            <w:r w:rsidRPr="00D539C4">
              <w:t>WHS Acts and regulations</w:t>
            </w:r>
          </w:p>
          <w:p w:rsidR="00000000" w:rsidRPr="00D539C4" w:rsidP="00D539C4">
            <w:pPr>
              <w:pStyle w:val="ListBullet"/>
            </w:pPr>
            <w:r w:rsidRPr="00D539C4">
              <w:t>relevant standards</w:t>
            </w:r>
          </w:p>
          <w:p w:rsidR="00000000" w:rsidRPr="00D539C4" w:rsidP="00D539C4">
            <w:pPr>
              <w:pStyle w:val="ListBullet"/>
            </w:pPr>
            <w:r w:rsidRPr="00D539C4">
              <w:t>codes of practice from Australian and overseas engineering and technical associations a</w:t>
            </w:r>
            <w:r w:rsidRPr="00D539C4">
              <w:t>nd societies</w:t>
            </w:r>
          </w:p>
          <w:p w:rsidR="00000000" w:rsidRPr="00D539C4" w:rsidP="00D539C4">
            <w:pPr>
              <w:pStyle w:val="ListBullet"/>
            </w:pPr>
            <w:r w:rsidRPr="00D539C4">
              <w:t>risk assessments</w:t>
            </w:r>
          </w:p>
          <w:p w:rsidR="00000000" w:rsidRPr="00D539C4" w:rsidP="00D539C4">
            <w:pPr>
              <w:pStyle w:val="ListBullet"/>
            </w:pPr>
            <w:r w:rsidRPr="00D539C4">
              <w:t xml:space="preserve">registration requirements </w:t>
            </w:r>
          </w:p>
          <w:p w:rsidR="00000000" w:rsidRPr="00D539C4" w:rsidP="00D539C4">
            <w:pPr>
              <w:pStyle w:val="ListBullet"/>
            </w:pPr>
            <w:r w:rsidRPr="00D539C4">
              <w:t>safe work practices</w:t>
            </w:r>
          </w:p>
          <w:p w:rsidR="00000000" w:rsidP="00D539C4">
            <w:pPr>
              <w:pStyle w:val="ListBullet"/>
              <w:rPr>
                <w:lang w:val="en-NZ"/>
              </w:rPr>
            </w:pPr>
            <w:r w:rsidRPr="00D539C4">
              <w:t xml:space="preserve">state and territory regulatory requirements </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rPr>
                <w:rStyle w:val="SpecialBold"/>
              </w:rPr>
              <w:t>Standards and codes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t>Standards and codes refer to all relevant Australian and international standards and codes applicable to a partic</w:t>
            </w:r>
            <w:r w:rsidRPr="00D539C4">
              <w:t>ular thermodynamic system task</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BodyText"/>
            </w:pPr>
            <w:r w:rsidRPr="00D539C4">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t xml:space="preserve">Systems thinking refers to the conduct of engineering work in a manner that demonstrates knowledge of how the interaction of different technical systems on equipment, machinery or structures, as </w:t>
            </w:r>
            <w:r w:rsidRPr="00D539C4">
              <w:t>well as the skills and techniques of personnel, combine to perform or support engineering-related operations, processes or projects. It embraces determining or establishing how the function of each technical system or component, as well as the skills and t</w:t>
            </w:r>
            <w:r w:rsidRPr="00D539C4">
              <w:t>echniques of personnel, effects or potentially may effect, outcomes. Systems should be interpreted broadly within the context of the organisation and depending on the project or operation can include equipment, related facilities, material, software, inter</w:t>
            </w:r>
            <w:r w:rsidRPr="00D539C4">
              <w:t>nal services and personnel, and other organisations in the value chain</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rPr>
                <w:rStyle w:val="SpecialBold"/>
              </w:rPr>
              <w:t>Continuous improvement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BodyText"/>
            </w:pPr>
            <w:r w:rsidRPr="00D539C4">
              <w:t>Continuous improvement processes may relate to plant, products, production processes, systems and services, including design, development, implementati</w:t>
            </w:r>
            <w:r w:rsidRPr="00D539C4">
              <w:t>on or manufacture, commissioning, operation or delivery and maintenance.</w:t>
            </w:r>
          </w:p>
          <w:p w:rsidR="00000000" w:rsidRPr="00D539C4" w:rsidP="00D539C4">
            <w:pPr>
              <w:pStyle w:val="BodyText"/>
            </w:pPr>
            <w:r w:rsidRPr="00D539C4">
              <w:t>Improvement processes may include techniques, such as:</w:t>
            </w:r>
          </w:p>
          <w:p w:rsidR="00000000" w:rsidRPr="00D539C4" w:rsidP="00D539C4">
            <w:pPr>
              <w:pStyle w:val="ListBullet"/>
            </w:pPr>
            <w:r w:rsidRPr="00D539C4">
              <w:t xml:space="preserve">balanced scorecard </w:t>
            </w:r>
          </w:p>
          <w:p w:rsidR="00000000" w:rsidRPr="00D539C4" w:rsidP="00D539C4">
            <w:pPr>
              <w:pStyle w:val="ListBullet"/>
            </w:pPr>
            <w:r w:rsidRPr="00D539C4">
              <w:t>current and future state mapping</w:t>
            </w:r>
          </w:p>
          <w:p w:rsidR="00000000" w:rsidRPr="00D539C4" w:rsidP="00D539C4">
            <w:pPr>
              <w:pStyle w:val="ListBullet"/>
            </w:pPr>
            <w:r w:rsidRPr="00D539C4">
              <w:t xml:space="preserve">measuring performance against benchmarks </w:t>
            </w:r>
          </w:p>
          <w:p w:rsidR="00000000" w:rsidRPr="00D539C4" w:rsidP="00D539C4">
            <w:pPr>
              <w:pStyle w:val="ListBullet"/>
            </w:pPr>
            <w:r w:rsidRPr="00D539C4">
              <w:t>process improvement, problem sol</w:t>
            </w:r>
            <w:r w:rsidRPr="00D539C4">
              <w:t>ving and decision making</w:t>
            </w:r>
          </w:p>
          <w:p w:rsidR="00000000" w:rsidRPr="00D539C4" w:rsidP="00D539C4">
            <w:pPr>
              <w:pStyle w:val="ListBullet"/>
            </w:pPr>
            <w:r w:rsidRPr="00D539C4">
              <w:t>data management, generation, recording, analysing, storing and use of software</w:t>
            </w:r>
          </w:p>
          <w:p w:rsidR="00000000" w:rsidRPr="00D539C4" w:rsidP="00D539C4">
            <w:pPr>
              <w:pStyle w:val="ListBullet"/>
            </w:pPr>
            <w:r w:rsidRPr="00D539C4">
              <w:t>training for improvement systems participation</w:t>
            </w:r>
          </w:p>
          <w:p w:rsidR="00000000" w:rsidRPr="00D539C4" w:rsidP="00D539C4">
            <w:pPr>
              <w:pStyle w:val="ListBullet"/>
            </w:pPr>
            <w:r w:rsidRPr="00D539C4">
              <w:t>technical training</w:t>
            </w:r>
          </w:p>
          <w:p w:rsidR="00000000" w:rsidRPr="00D539C4" w:rsidP="00D539C4">
            <w:pPr>
              <w:pStyle w:val="ListBullet"/>
            </w:pPr>
            <w:r w:rsidRPr="00D539C4">
              <w:t>qualitative improvement processes, such as:</w:t>
            </w:r>
          </w:p>
          <w:p w:rsidR="00000000" w:rsidRPr="00D539C4" w:rsidP="00D539C4">
            <w:pPr>
              <w:pStyle w:val="ListBullet2"/>
            </w:pPr>
            <w:r w:rsidRPr="00D539C4">
              <w:t>toolbox meetings</w:t>
            </w:r>
          </w:p>
          <w:p w:rsidR="00000000" w:rsidRPr="00D539C4" w:rsidP="00D539C4">
            <w:pPr>
              <w:pStyle w:val="ListBullet2"/>
            </w:pPr>
            <w:r w:rsidRPr="00D539C4">
              <w:t xml:space="preserve">suggestion schemes </w:t>
            </w:r>
          </w:p>
          <w:p w:rsidR="00000000" w:rsidRPr="00D539C4" w:rsidP="00D539C4">
            <w:pPr>
              <w:pStyle w:val="ListBullet2"/>
            </w:pPr>
            <w:r w:rsidRPr="00D539C4">
              <w:t>mentoring</w:t>
            </w:r>
          </w:p>
          <w:p w:rsidR="00000000" w:rsidP="00D539C4">
            <w:pPr>
              <w:pStyle w:val="ListBullet2"/>
              <w:rPr>
                <w:lang w:val="en-NZ"/>
              </w:rPr>
            </w:pPr>
            <w:r w:rsidRPr="00D539C4">
              <w:t xml:space="preserve">changes in work organisation, responsibilities and recruitment </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rPr>
                <w:rStyle w:val="SpecialBold"/>
              </w:rPr>
              <w:t>Constraints and contingencies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BodyText"/>
            </w:pPr>
            <w:r w:rsidRPr="00D539C4">
              <w:t>Constraints and contingencies may be:</w:t>
            </w:r>
          </w:p>
          <w:p w:rsidR="00000000" w:rsidRPr="00D539C4" w:rsidP="00D539C4">
            <w:pPr>
              <w:pStyle w:val="ListBullet"/>
            </w:pPr>
            <w:r w:rsidRPr="00D539C4">
              <w:t>financial</w:t>
            </w:r>
          </w:p>
          <w:p w:rsidR="00000000" w:rsidRPr="00D539C4" w:rsidP="00D539C4">
            <w:pPr>
              <w:pStyle w:val="ListBullet"/>
            </w:pPr>
            <w:r w:rsidRPr="00D539C4">
              <w:t>organisational, procedural or cultural</w:t>
            </w:r>
          </w:p>
          <w:p w:rsidR="00000000" w:rsidP="00D539C4">
            <w:pPr>
              <w:pStyle w:val="ListBullet"/>
              <w:rPr>
                <w:lang w:val="en-NZ"/>
              </w:rPr>
            </w:pPr>
            <w:r w:rsidRPr="00D539C4">
              <w:t>physical constraints, such as limits to resources, limits to site access or logistical limitations</w:t>
            </w:r>
          </w:p>
        </w:tc>
      </w:tr>
      <w:tr w:rsidTr="000A1B7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9C4">
            <w:pPr>
              <w:pStyle w:val="BodyText"/>
              <w:rPr>
                <w:lang w:val="en-NZ"/>
              </w:rPr>
            </w:pPr>
            <w:r w:rsidRPr="00D539C4">
              <w:rPr>
                <w:rStyle w:val="SpecialBold"/>
              </w:rPr>
              <w:t>Lean principles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9C4" w:rsidP="00D539C4">
            <w:pPr>
              <w:pStyle w:val="BodyText"/>
            </w:pPr>
            <w:r w:rsidRPr="00D539C4">
              <w:t>Lean manufacturing uses cost, capacity and responsiveness, quality, reliability and waste minimisation as drivers of the process and measure</w:t>
            </w:r>
            <w:r w:rsidRPr="00D539C4">
              <w:t>s for process improvement. Lean manufacturing is the response of many organisations to local, regional, national and global market competitiveness</w:t>
            </w:r>
          </w:p>
        </w:tc>
      </w:tr>
    </w:tbl>
    <w:p w:rsidR="000A1B73" w:rsidP="00D539C4">
      <w:pPr>
        <w:pStyle w:val="BodyText"/>
      </w:pPr>
    </w:p>
    <w:p w:rsidR="000A1B73" w:rsidP="00D539C4">
      <w:pPr>
        <w:pStyle w:val="BodyText"/>
      </w:pPr>
    </w:p>
    <w:p w:rsidR="00000000" w:rsidRPr="00D539C4" w:rsidP="00D539C4">
      <w:pPr>
        <w:pStyle w:val="Heading1"/>
      </w:pPr>
      <w:bookmarkStart w:id="12" w:name="O_519813"/>
      <w:bookmarkEnd w:id="12"/>
      <w:r w:rsidRPr="00D539C4">
        <w:t>Unit Sector(s)</w:t>
      </w:r>
    </w:p>
    <w:tbl>
      <w:tblPr>
        <w:tblW w:w="0" w:type="auto"/>
        <w:tblCellMar>
          <w:left w:w="62" w:type="dxa"/>
          <w:right w:w="62" w:type="dxa"/>
        </w:tblCellMar>
        <w:tblLook w:val="0000"/>
      </w:tblPr>
      <w:tblGrid>
        <w:gridCol w:w="2576"/>
        <w:gridCol w:w="6620"/>
      </w:tblGrid>
      <w:tr w:rsidTr="000A1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D539C4">
            <w:pPr>
              <w:pStyle w:val="BodyText"/>
              <w:rPr>
                <w:lang w:val="en-NZ"/>
              </w:rPr>
            </w:pPr>
          </w:p>
        </w:tc>
      </w:tr>
      <w:tr w:rsidTr="000A1B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39C4">
            <w:pPr>
              <w:pStyle w:val="BodyText"/>
              <w:rPr>
                <w:lang w:val="en-NZ"/>
              </w:rPr>
            </w:pPr>
            <w:r w:rsidRPr="00D539C4">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D539C4" w:rsidP="00D539C4">
            <w:pPr>
              <w:pStyle w:val="BodyText"/>
            </w:pPr>
            <w:r w:rsidRPr="00D539C4">
              <w:t>Engineering science</w:t>
            </w:r>
          </w:p>
        </w:tc>
      </w:tr>
    </w:tbl>
    <w:p w:rsidR="00000000" w:rsidRPr="00D539C4" w:rsidP="00D539C4">
      <w:pPr>
        <w:pStyle w:val="BodyText"/>
      </w:pPr>
    </w:p>
    <w:p w:rsidR="00000000" w:rsidRPr="00D539C4" w:rsidP="00D539C4">
      <w:pPr>
        <w:pStyle w:val="AllowPageBreak"/>
      </w:pPr>
    </w:p>
    <w:p w:rsidR="00000000" w:rsidRPr="00D539C4" w:rsidP="00D539C4">
      <w:pPr>
        <w:pStyle w:val="Heading1"/>
      </w:pPr>
      <w:bookmarkStart w:id="13" w:name="O_519812"/>
      <w:bookmarkEnd w:id="13"/>
      <w:r w:rsidRPr="00D539C4">
        <w:t>Custom Content Section</w:t>
      </w:r>
    </w:p>
    <w:p w:rsidR="00000000" w:rsidRPr="00D539C4" w:rsidP="00D539C4">
      <w:pPr>
        <w:pStyle w:val="BodyText"/>
      </w:pPr>
      <w:r w:rsidRPr="00D539C4">
        <w:t>Not applicable.</w:t>
      </w:r>
    </w:p>
    <w:p w:rsidR="00000000" w:rsidRPr="00D539C4" w:rsidP="00D539C4"/>
    <w:sectPr w:rsidSect="00D539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C4" w:rsidRPr="000A1B73" w:rsidP="000A1B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73" w:rsidP="00D539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1B73" w:rsidP="00D539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1B73" w:rsidP="00D539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C4" w:rsidRPr="000A1B73" w:rsidP="000A1B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73" w:rsidRPr="002D2AF8" w:rsidP="00D539C4">
    <w:pPr>
      <w:pStyle w:val="Header"/>
      <w:framePr w:wrap="around"/>
    </w:pPr>
    <w:r>
      <w:fldChar w:fldCharType="begin"/>
    </w:r>
    <w:r>
      <w:instrText xml:space="preserve"> TITLE   \* MERGEFORMAT </w:instrText>
    </w:r>
    <w:r>
      <w:fldChar w:fldCharType="separate"/>
    </w:r>
    <w:r>
      <w:t>MEM23119A Evaluate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0A1B73" w:rsidP="00D539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FE5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E81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36C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9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9C4"/>
    <w:pPr>
      <w:spacing w:before="360" w:after="60"/>
      <w:outlineLvl w:val="0"/>
    </w:pPr>
    <w:rPr>
      <w:sz w:val="32"/>
    </w:rPr>
  </w:style>
  <w:style w:type="paragraph" w:styleId="Heading2">
    <w:name w:val="heading 2"/>
    <w:basedOn w:val="HeadingBase"/>
    <w:next w:val="BodyText"/>
    <w:link w:val="Heading2Char"/>
    <w:qFormat/>
    <w:rsid w:val="00D539C4"/>
    <w:pPr>
      <w:keepLines/>
      <w:spacing w:before="240" w:after="120"/>
      <w:outlineLvl w:val="1"/>
    </w:pPr>
    <w:rPr>
      <w:sz w:val="28"/>
      <w:szCs w:val="40"/>
    </w:rPr>
  </w:style>
  <w:style w:type="paragraph" w:styleId="Heading3">
    <w:name w:val="heading 3"/>
    <w:basedOn w:val="HeadingBase"/>
    <w:next w:val="BodyText"/>
    <w:link w:val="Heading3Char"/>
    <w:qFormat/>
    <w:rsid w:val="00D539C4"/>
    <w:pPr>
      <w:spacing w:before="180" w:after="120"/>
      <w:outlineLvl w:val="2"/>
    </w:pPr>
    <w:rPr>
      <w:spacing w:val="-10"/>
      <w:kern w:val="32"/>
    </w:rPr>
  </w:style>
  <w:style w:type="paragraph" w:styleId="Heading4">
    <w:name w:val="heading 4"/>
    <w:basedOn w:val="HeadingBase"/>
    <w:next w:val="BodyText"/>
    <w:link w:val="Heading4Char"/>
    <w:qFormat/>
    <w:rsid w:val="00D539C4"/>
    <w:pPr>
      <w:spacing w:before="160" w:after="120"/>
      <w:outlineLvl w:val="3"/>
    </w:pPr>
    <w:rPr>
      <w:sz w:val="22"/>
    </w:rPr>
  </w:style>
  <w:style w:type="paragraph" w:styleId="Heading5">
    <w:name w:val="heading 5"/>
    <w:basedOn w:val="HeadingBase"/>
    <w:next w:val="Normal"/>
    <w:link w:val="Heading5Char"/>
    <w:qFormat/>
    <w:rsid w:val="00D539C4"/>
    <w:pPr>
      <w:spacing w:before="80"/>
      <w:outlineLvl w:val="4"/>
    </w:pPr>
    <w:rPr>
      <w:color w:val="918585"/>
      <w:sz w:val="20"/>
    </w:rPr>
  </w:style>
  <w:style w:type="paragraph" w:styleId="Heading6">
    <w:name w:val="heading 6"/>
    <w:basedOn w:val="HeadingBase"/>
    <w:next w:val="Normal"/>
    <w:link w:val="Heading6Char"/>
    <w:qFormat/>
    <w:rsid w:val="00D539C4"/>
    <w:pPr>
      <w:spacing w:before="60"/>
      <w:outlineLvl w:val="5"/>
    </w:pPr>
    <w:rPr>
      <w:color w:val="918585"/>
      <w:sz w:val="20"/>
    </w:rPr>
  </w:style>
  <w:style w:type="paragraph" w:styleId="Heading7">
    <w:name w:val="heading 7"/>
    <w:basedOn w:val="Normal"/>
    <w:next w:val="Normal"/>
    <w:link w:val="Heading7Char"/>
    <w:qFormat/>
    <w:rsid w:val="00D539C4"/>
    <w:pPr>
      <w:ind w:left="720"/>
      <w:outlineLvl w:val="6"/>
    </w:pPr>
    <w:rPr>
      <w:i/>
    </w:rPr>
  </w:style>
  <w:style w:type="paragraph" w:styleId="Heading8">
    <w:name w:val="heading 8"/>
    <w:basedOn w:val="Normal"/>
    <w:next w:val="Normal"/>
    <w:link w:val="Heading8Char"/>
    <w:qFormat/>
    <w:rsid w:val="00D539C4"/>
    <w:pPr>
      <w:ind w:left="720"/>
      <w:outlineLvl w:val="7"/>
    </w:pPr>
    <w:rPr>
      <w:i/>
    </w:rPr>
  </w:style>
  <w:style w:type="paragraph" w:styleId="Heading9">
    <w:name w:val="heading 9"/>
    <w:basedOn w:val="Normal"/>
    <w:next w:val="Normal"/>
    <w:link w:val="Heading9Char"/>
    <w:qFormat/>
    <w:rsid w:val="00D539C4"/>
    <w:pPr>
      <w:ind w:left="720"/>
      <w:outlineLvl w:val="8"/>
    </w:pPr>
    <w:rPr>
      <w:i/>
    </w:rPr>
  </w:style>
  <w:style w:type="character" w:default="1" w:styleId="DefaultParagraphFont">
    <w:name w:val="Default Paragraph Font"/>
    <w:uiPriority w:val="1"/>
    <w:unhideWhenUsed/>
    <w:rsid w:val="00D53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9C4"/>
  </w:style>
  <w:style w:type="character" w:customStyle="1" w:styleId="Heading1Char">
    <w:name w:val="Heading 1 Char"/>
    <w:basedOn w:val="DefaultParagraphFont"/>
    <w:link w:val="Heading1"/>
    <w:rsid w:val="00D539C4"/>
    <w:rPr>
      <w:rFonts w:ascii="Times New Roman" w:eastAsia="Times New Roman" w:hAnsi="Times New Roman" w:cs="Times New Roman"/>
      <w:b/>
      <w:sz w:val="32"/>
      <w:szCs w:val="20"/>
      <w:lang w:eastAsia="en-US"/>
    </w:rPr>
  </w:style>
  <w:style w:type="paragraph" w:styleId="BodyText">
    <w:name w:val="Body Text"/>
    <w:basedOn w:val="Normal"/>
    <w:link w:val="BodyTextChar"/>
    <w:rsid w:val="00D539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39C4"/>
    <w:rPr>
      <w:rFonts w:ascii="Times New Roman" w:eastAsia="Times New Roman" w:hAnsi="Times New Roman" w:cs="Times New Roman"/>
      <w:sz w:val="24"/>
      <w:lang w:eastAsia="en-US"/>
    </w:rPr>
  </w:style>
  <w:style w:type="paragraph" w:styleId="ListBullet">
    <w:name w:val="List Bullet"/>
    <w:basedOn w:val="List"/>
    <w:rsid w:val="00D539C4"/>
    <w:pPr>
      <w:numPr>
        <w:numId w:val="14"/>
      </w:numPr>
      <w:tabs>
        <w:tab w:val="clear" w:pos="340"/>
      </w:tabs>
      <w:spacing w:before="40" w:after="40"/>
    </w:pPr>
  </w:style>
  <w:style w:type="character" w:customStyle="1" w:styleId="SpecialBold">
    <w:name w:val="Special Bold"/>
    <w:basedOn w:val="DefaultParagraphFont"/>
    <w:rsid w:val="00D539C4"/>
    <w:rPr>
      <w:b/>
      <w:spacing w:val="0"/>
    </w:rPr>
  </w:style>
  <w:style w:type="paragraph" w:styleId="ListBullet2">
    <w:name w:val="List Bullet 2"/>
    <w:basedOn w:val="List2"/>
    <w:rsid w:val="00D539C4"/>
    <w:pPr>
      <w:numPr>
        <w:numId w:val="15"/>
      </w:numPr>
      <w:tabs>
        <w:tab w:val="clear" w:pos="680"/>
      </w:tabs>
    </w:pPr>
  </w:style>
  <w:style w:type="paragraph" w:customStyle="1" w:styleId="SuperHeading">
    <w:name w:val="SuperHeading"/>
    <w:basedOn w:val="Normal"/>
    <w:rsid w:val="00D539C4"/>
    <w:pPr>
      <w:spacing w:before="240" w:after="120"/>
      <w:outlineLvl w:val="0"/>
    </w:pPr>
    <w:rPr>
      <w:rFonts w:ascii="Times New Roman" w:hAnsi="Times New Roman"/>
      <w:b/>
      <w:sz w:val="32"/>
    </w:rPr>
  </w:style>
  <w:style w:type="paragraph" w:customStyle="1" w:styleId="AllowPageBreak">
    <w:name w:val="AllowPageBreak"/>
    <w:rsid w:val="00D539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39C4"/>
    <w:pPr>
      <w:numPr>
        <w:numId w:val="3"/>
      </w:numPr>
      <w:tabs>
        <w:tab w:val="clear" w:pos="1021"/>
      </w:tabs>
      <w:ind w:left="1037" w:hanging="357"/>
    </w:pPr>
  </w:style>
  <w:style w:type="character" w:customStyle="1" w:styleId="Heading2Char">
    <w:name w:val="Heading 2 Char"/>
    <w:basedOn w:val="DefaultParagraphFont"/>
    <w:link w:val="Heading2"/>
    <w:rsid w:val="00D53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9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9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9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9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9C4"/>
    <w:rPr>
      <w:rFonts w:ascii="Courier New" w:eastAsia="Times New Roman" w:hAnsi="Courier New" w:cs="Times New Roman"/>
      <w:i/>
      <w:szCs w:val="20"/>
      <w:lang w:eastAsia="en-US"/>
    </w:rPr>
  </w:style>
  <w:style w:type="paragraph" w:customStyle="1" w:styleId="HeadingBase">
    <w:name w:val="Heading Base"/>
    <w:rsid w:val="00D53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9C4"/>
    <w:pPr>
      <w:tabs>
        <w:tab w:val="right" w:leader="dot" w:pos="9072"/>
      </w:tabs>
      <w:ind w:left="567"/>
    </w:pPr>
    <w:rPr>
      <w:szCs w:val="22"/>
    </w:rPr>
  </w:style>
  <w:style w:type="paragraph" w:customStyle="1" w:styleId="TOCBase">
    <w:name w:val="TOC Base"/>
    <w:rsid w:val="00D53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9C4"/>
    <w:pPr>
      <w:tabs>
        <w:tab w:val="right" w:leader="dot" w:pos="9072"/>
      </w:tabs>
      <w:spacing w:before="40" w:after="40"/>
      <w:ind w:left="284"/>
    </w:pPr>
    <w:rPr>
      <w:rFonts w:ascii="Times New Roman" w:hAnsi="Times New Roman"/>
    </w:rPr>
  </w:style>
  <w:style w:type="paragraph" w:styleId="TOC1">
    <w:name w:val="toc 1"/>
    <w:basedOn w:val="TOCBase"/>
    <w:next w:val="Normal"/>
    <w:rsid w:val="00D539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9C4"/>
    <w:rPr>
      <w:rFonts w:ascii="Times New Roman" w:eastAsia="Times New Roman" w:hAnsi="Times New Roman" w:cs="Times New Roman"/>
      <w:sz w:val="16"/>
      <w:lang w:eastAsia="en-US"/>
    </w:rPr>
  </w:style>
  <w:style w:type="paragraph" w:styleId="Title">
    <w:name w:val="Title"/>
    <w:basedOn w:val="HeadingBase"/>
    <w:link w:val="TitleChar"/>
    <w:qFormat/>
    <w:rsid w:val="00D539C4"/>
    <w:pPr>
      <w:spacing w:before="5040"/>
      <w:jc w:val="center"/>
    </w:pPr>
    <w:rPr>
      <w:sz w:val="48"/>
      <w:szCs w:val="72"/>
      <w:lang w:val="en-US"/>
    </w:rPr>
  </w:style>
  <w:style w:type="character" w:customStyle="1" w:styleId="TitleChar">
    <w:name w:val="Title Char"/>
    <w:basedOn w:val="DefaultParagraphFont"/>
    <w:link w:val="Title"/>
    <w:rsid w:val="00D53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9C4"/>
    <w:pPr>
      <w:tabs>
        <w:tab w:val="left" w:pos="3600"/>
        <w:tab w:val="left" w:pos="3958"/>
      </w:tabs>
    </w:pPr>
  </w:style>
  <w:style w:type="paragraph" w:styleId="List">
    <w:name w:val="List"/>
    <w:basedOn w:val="BodyText"/>
    <w:next w:val="BodyText"/>
    <w:rsid w:val="00D539C4"/>
    <w:pPr>
      <w:tabs>
        <w:tab w:val="left" w:pos="340"/>
      </w:tabs>
      <w:spacing w:before="60" w:after="60"/>
      <w:ind w:left="340" w:hanging="340"/>
    </w:pPr>
  </w:style>
  <w:style w:type="paragraph" w:customStyle="1" w:styleId="Note">
    <w:name w:val="Note"/>
    <w:basedOn w:val="BodyText"/>
    <w:rsid w:val="00D539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9C4"/>
    <w:pPr>
      <w:framePr w:wrap="auto" w:hAnchor="text" w:y="6049"/>
    </w:pPr>
    <w:rPr>
      <w:color w:val="000000"/>
      <w:sz w:val="40"/>
    </w:rPr>
  </w:style>
  <w:style w:type="paragraph" w:customStyle="1" w:styleId="TOCTitle">
    <w:name w:val="TOCTitle"/>
    <w:basedOn w:val="Heading1"/>
    <w:rsid w:val="00D539C4"/>
    <w:pPr>
      <w:spacing w:after="240"/>
      <w:jc w:val="center"/>
      <w:outlineLvl w:val="9"/>
    </w:pPr>
    <w:rPr>
      <w:caps/>
    </w:rPr>
  </w:style>
  <w:style w:type="paragraph" w:customStyle="1" w:styleId="Version">
    <w:name w:val="Version"/>
    <w:rsid w:val="00D539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9C4"/>
    <w:pPr>
      <w:keepNext w:val="0"/>
      <w:tabs>
        <w:tab w:val="right" w:pos="4176"/>
      </w:tabs>
      <w:ind w:left="198" w:hanging="198"/>
    </w:pPr>
    <w:rPr>
      <w:rFonts w:ascii="Garamond" w:hAnsi="Garamond"/>
    </w:rPr>
  </w:style>
  <w:style w:type="paragraph" w:styleId="IndexHeading">
    <w:name w:val="index heading"/>
    <w:basedOn w:val="Normal"/>
    <w:next w:val="Index1"/>
    <w:semiHidden/>
    <w:rsid w:val="00D539C4"/>
    <w:pPr>
      <w:spacing w:before="120" w:after="120"/>
    </w:pPr>
    <w:rPr>
      <w:rFonts w:ascii="Arial" w:hAnsi="Arial"/>
      <w:b/>
      <w:color w:val="918585"/>
      <w:sz w:val="24"/>
    </w:rPr>
  </w:style>
  <w:style w:type="paragraph" w:styleId="Header">
    <w:name w:val="header"/>
    <w:basedOn w:val="Normal"/>
    <w:link w:val="HeaderChar"/>
    <w:rsid w:val="00D53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9C4"/>
    <w:rPr>
      <w:rFonts w:ascii="Times New Roman" w:eastAsia="Times New Roman" w:hAnsi="Times New Roman" w:cs="Times New Roman"/>
      <w:sz w:val="16"/>
      <w:szCs w:val="20"/>
      <w:lang w:val="en-GB" w:eastAsia="en-US"/>
    </w:rPr>
  </w:style>
  <w:style w:type="paragraph" w:customStyle="1" w:styleId="Chapter">
    <w:name w:val="Chapter"/>
    <w:basedOn w:val="Normal"/>
    <w:rsid w:val="00D539C4"/>
    <w:pPr>
      <w:spacing w:before="240"/>
    </w:pPr>
    <w:rPr>
      <w:rFonts w:ascii="Times New Roman" w:hAnsi="Times New Roman"/>
      <w:smallCaps/>
      <w:spacing w:val="80"/>
      <w:sz w:val="28"/>
    </w:rPr>
  </w:style>
  <w:style w:type="paragraph" w:customStyle="1" w:styleId="InChapter">
    <w:name w:val="InChapter"/>
    <w:basedOn w:val="Heading3"/>
    <w:rsid w:val="00D539C4"/>
    <w:pPr>
      <w:spacing w:after="240"/>
      <w:outlineLvl w:val="9"/>
    </w:pPr>
    <w:rPr>
      <w:noProof/>
    </w:rPr>
  </w:style>
  <w:style w:type="paragraph" w:styleId="Index2">
    <w:name w:val="index 2"/>
    <w:basedOn w:val="Normal"/>
    <w:next w:val="Normal"/>
    <w:semiHidden/>
    <w:rsid w:val="00D539C4"/>
    <w:pPr>
      <w:tabs>
        <w:tab w:val="right" w:pos="4176"/>
      </w:tabs>
      <w:ind w:left="568" w:hanging="284"/>
    </w:pPr>
    <w:rPr>
      <w:rFonts w:ascii="Garamond" w:hAnsi="Garamond"/>
    </w:rPr>
  </w:style>
  <w:style w:type="paragraph" w:customStyle="1" w:styleId="Byline">
    <w:name w:val="Byline"/>
    <w:rsid w:val="00D53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9C4"/>
    <w:pPr>
      <w:tabs>
        <w:tab w:val="clear" w:pos="3600"/>
        <w:tab w:val="clear" w:pos="3958"/>
      </w:tabs>
      <w:jc w:val="right"/>
    </w:pPr>
  </w:style>
  <w:style w:type="character" w:styleId="Emphasis">
    <w:name w:val="Emphasis"/>
    <w:basedOn w:val="DefaultParagraphFont"/>
    <w:qFormat/>
    <w:rsid w:val="00D539C4"/>
    <w:rPr>
      <w:i/>
    </w:rPr>
  </w:style>
  <w:style w:type="paragraph" w:styleId="Caption">
    <w:name w:val="caption"/>
    <w:basedOn w:val="BodyText"/>
    <w:next w:val="Normal"/>
    <w:qFormat/>
    <w:rsid w:val="00D539C4"/>
    <w:pPr>
      <w:framePr w:w="2268" w:hSpace="181" w:vSpace="181" w:wrap="around" w:vAnchor="text" w:hAnchor="page" w:x="1135" w:y="285" w:anchorLock="1"/>
    </w:pPr>
    <w:rPr>
      <w:i/>
    </w:rPr>
  </w:style>
  <w:style w:type="paragraph" w:customStyle="1" w:styleId="MiniTOCTitle">
    <w:name w:val="MiniTOCTitle"/>
    <w:basedOn w:val="Heading4"/>
    <w:rsid w:val="00D539C4"/>
    <w:pPr>
      <w:spacing w:before="240"/>
      <w:outlineLvl w:val="9"/>
    </w:pPr>
    <w:rPr>
      <w:noProof/>
      <w:sz w:val="24"/>
    </w:rPr>
  </w:style>
  <w:style w:type="paragraph" w:customStyle="1" w:styleId="MiniTOCItem">
    <w:name w:val="MiniTOCItem"/>
    <w:basedOn w:val="ListBullet"/>
    <w:rsid w:val="00D539C4"/>
    <w:pPr>
      <w:numPr>
        <w:numId w:val="0"/>
      </w:numPr>
      <w:tabs>
        <w:tab w:val="right" w:leader="dot" w:pos="6521"/>
      </w:tabs>
      <w:spacing w:before="0" w:after="0"/>
    </w:pPr>
  </w:style>
  <w:style w:type="paragraph" w:customStyle="1" w:styleId="TOFTitle">
    <w:name w:val="TOFTitle"/>
    <w:basedOn w:val="TOCTitle"/>
    <w:rsid w:val="00D539C4"/>
  </w:style>
  <w:style w:type="paragraph" w:styleId="TableofFigures">
    <w:name w:val="table of figures"/>
    <w:basedOn w:val="Normal"/>
    <w:next w:val="Normal"/>
    <w:semiHidden/>
    <w:rsid w:val="00D539C4"/>
    <w:pPr>
      <w:tabs>
        <w:tab w:val="right" w:leader="dot" w:pos="9072"/>
      </w:tabs>
      <w:ind w:left="970" w:hanging="403"/>
    </w:pPr>
    <w:rPr>
      <w:rFonts w:ascii="Times New Roman" w:hAnsi="Times New Roman"/>
      <w:b/>
    </w:rPr>
  </w:style>
  <w:style w:type="paragraph" w:styleId="ListNumber">
    <w:name w:val="List Number"/>
    <w:basedOn w:val="List"/>
    <w:rsid w:val="00D539C4"/>
    <w:pPr>
      <w:numPr>
        <w:numId w:val="12"/>
      </w:numPr>
    </w:pPr>
  </w:style>
  <w:style w:type="character" w:customStyle="1" w:styleId="WingdingSymbols">
    <w:name w:val="Wingding Symbols"/>
    <w:rsid w:val="00D539C4"/>
    <w:rPr>
      <w:rFonts w:ascii="Wingdings" w:hAnsi="Wingdings"/>
    </w:rPr>
  </w:style>
  <w:style w:type="paragraph" w:customStyle="1" w:styleId="TableHeading">
    <w:name w:val="Table Heading"/>
    <w:basedOn w:val="HeadingBase"/>
    <w:rsid w:val="00D539C4"/>
    <w:pPr>
      <w:keepLines/>
      <w:pBdr>
        <w:bottom w:val="single" w:sz="6" w:space="1" w:color="918585"/>
      </w:pBdr>
      <w:spacing w:before="240"/>
    </w:pPr>
  </w:style>
  <w:style w:type="character" w:customStyle="1" w:styleId="HotSpot">
    <w:name w:val="HotSpot"/>
    <w:rsid w:val="00D539C4"/>
    <w:rPr>
      <w:color w:val="0033CC"/>
      <w:u w:val="none"/>
    </w:rPr>
  </w:style>
  <w:style w:type="paragraph" w:customStyle="1" w:styleId="BodyTextRight">
    <w:name w:val="Body Text Right"/>
    <w:basedOn w:val="BodyText"/>
    <w:rsid w:val="00D539C4"/>
    <w:pPr>
      <w:spacing w:before="0" w:after="0"/>
      <w:jc w:val="right"/>
    </w:pPr>
  </w:style>
  <w:style w:type="paragraph" w:styleId="Index3">
    <w:name w:val="index 3"/>
    <w:basedOn w:val="ListNumber2"/>
    <w:next w:val="Normal"/>
    <w:semiHidden/>
    <w:rsid w:val="00D539C4"/>
    <w:pPr>
      <w:numPr>
        <w:numId w:val="0"/>
      </w:numPr>
      <w:tabs>
        <w:tab w:val="right" w:leader="dot" w:pos="4176"/>
      </w:tabs>
    </w:pPr>
  </w:style>
  <w:style w:type="paragraph" w:styleId="ListNumber2">
    <w:name w:val="List Number 2"/>
    <w:basedOn w:val="List2"/>
    <w:rsid w:val="00D539C4"/>
    <w:pPr>
      <w:numPr>
        <w:numId w:val="11"/>
      </w:numPr>
      <w:tabs>
        <w:tab w:val="clear" w:pos="1060"/>
      </w:tabs>
    </w:pPr>
  </w:style>
  <w:style w:type="paragraph" w:customStyle="1" w:styleId="MarginNote">
    <w:name w:val="Margin Note"/>
    <w:basedOn w:val="BodyText"/>
    <w:rsid w:val="00D53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9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9C4"/>
    <w:rPr>
      <w:sz w:val="32"/>
    </w:rPr>
  </w:style>
  <w:style w:type="paragraph" w:customStyle="1" w:styleId="HeadingProcedure">
    <w:name w:val="Heading Procedure"/>
    <w:basedOn w:val="HeadingBase"/>
    <w:next w:val="Normal"/>
    <w:rsid w:val="00D539C4"/>
    <w:pPr>
      <w:tabs>
        <w:tab w:val="left" w:pos="0"/>
      </w:tabs>
      <w:spacing w:before="120" w:after="60"/>
    </w:pPr>
    <w:rPr>
      <w:i/>
      <w:color w:val="918585"/>
      <w:sz w:val="22"/>
    </w:rPr>
  </w:style>
  <w:style w:type="paragraph" w:customStyle="1" w:styleId="TableBodyText">
    <w:name w:val="Table Body Text"/>
    <w:basedOn w:val="BodyText"/>
    <w:rsid w:val="00D539C4"/>
    <w:pPr>
      <w:spacing w:before="60" w:after="60"/>
    </w:pPr>
  </w:style>
  <w:style w:type="paragraph" w:styleId="ListContinue">
    <w:name w:val="List Continue"/>
    <w:basedOn w:val="List"/>
    <w:rsid w:val="00D539C4"/>
    <w:pPr>
      <w:ind w:firstLine="0"/>
    </w:pPr>
  </w:style>
  <w:style w:type="paragraph" w:customStyle="1" w:styleId="ListNote">
    <w:name w:val="List Note"/>
    <w:basedOn w:val="List"/>
    <w:rsid w:val="00D539C4"/>
    <w:pPr>
      <w:pBdr>
        <w:top w:val="single" w:sz="6" w:space="2" w:color="918585"/>
        <w:bottom w:val="single" w:sz="6" w:space="2" w:color="918585"/>
      </w:pBdr>
      <w:tabs>
        <w:tab w:val="left" w:pos="1021"/>
      </w:tabs>
      <w:ind w:firstLine="0"/>
    </w:pPr>
  </w:style>
  <w:style w:type="paragraph" w:customStyle="1" w:styleId="Warning">
    <w:name w:val="Warning"/>
    <w:basedOn w:val="BodyText"/>
    <w:rsid w:val="00D539C4"/>
    <w:pPr>
      <w:shd w:val="clear" w:color="auto" w:fill="D9D9D9"/>
      <w:tabs>
        <w:tab w:val="left" w:pos="992"/>
      </w:tabs>
      <w:ind w:left="119" w:right="119"/>
    </w:pPr>
    <w:rPr>
      <w:sz w:val="20"/>
    </w:rPr>
  </w:style>
  <w:style w:type="paragraph" w:customStyle="1" w:styleId="MarginIcons">
    <w:name w:val="Margin Icons"/>
    <w:basedOn w:val="BodyText"/>
    <w:rsid w:val="00D53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9C4"/>
    <w:rPr>
      <w:rFonts w:ascii="Courier New" w:hAnsi="Courier New"/>
    </w:rPr>
  </w:style>
  <w:style w:type="paragraph" w:customStyle="1" w:styleId="NoteBullet">
    <w:name w:val="Note Bullet"/>
    <w:basedOn w:val="Note"/>
    <w:rsid w:val="00D539C4"/>
    <w:pPr>
      <w:tabs>
        <w:tab w:val="clear" w:pos="680"/>
      </w:tabs>
      <w:spacing w:before="60" w:after="60"/>
    </w:pPr>
  </w:style>
  <w:style w:type="paragraph" w:customStyle="1" w:styleId="SubHeading2">
    <w:name w:val="SubHeading2"/>
    <w:basedOn w:val="HeadingBase"/>
    <w:rsid w:val="00D539C4"/>
    <w:pPr>
      <w:spacing w:before="240" w:after="60"/>
    </w:pPr>
    <w:rPr>
      <w:sz w:val="20"/>
    </w:rPr>
  </w:style>
  <w:style w:type="paragraph" w:customStyle="1" w:styleId="SubHeading1">
    <w:name w:val="SubHeading1"/>
    <w:basedOn w:val="HeadingBase"/>
    <w:rsid w:val="00D539C4"/>
    <w:pPr>
      <w:spacing w:before="240" w:after="60"/>
    </w:pPr>
    <w:rPr>
      <w:color w:val="918585"/>
      <w:sz w:val="22"/>
    </w:rPr>
  </w:style>
  <w:style w:type="paragraph" w:customStyle="1" w:styleId="SideHeading">
    <w:name w:val="Side Heading"/>
    <w:basedOn w:val="HeadingBase"/>
    <w:rsid w:val="00D53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9C4"/>
    <w:pPr>
      <w:numPr>
        <w:numId w:val="13"/>
      </w:numPr>
    </w:pPr>
  </w:style>
  <w:style w:type="paragraph" w:styleId="PlainText">
    <w:name w:val="Plain Text"/>
    <w:basedOn w:val="Normal"/>
    <w:link w:val="PlainTextChar"/>
    <w:rsid w:val="00D539C4"/>
    <w:rPr>
      <w:sz w:val="20"/>
    </w:rPr>
  </w:style>
  <w:style w:type="character" w:customStyle="1" w:styleId="PlainTextChar">
    <w:name w:val="Plain Text Char"/>
    <w:basedOn w:val="DefaultParagraphFont"/>
    <w:link w:val="PlainText"/>
    <w:rsid w:val="00D539C4"/>
    <w:rPr>
      <w:rFonts w:ascii="Courier New" w:eastAsia="Times New Roman" w:hAnsi="Courier New" w:cs="Times New Roman"/>
      <w:sz w:val="20"/>
      <w:szCs w:val="20"/>
      <w:lang w:eastAsia="en-US"/>
    </w:rPr>
  </w:style>
  <w:style w:type="character" w:customStyle="1" w:styleId="MenuOption">
    <w:name w:val="Menu Option"/>
    <w:basedOn w:val="DefaultParagraphFont"/>
    <w:rsid w:val="00D539C4"/>
    <w:rPr>
      <w:b/>
      <w:smallCaps/>
    </w:rPr>
  </w:style>
  <w:style w:type="paragraph" w:customStyle="1" w:styleId="TableListNumber">
    <w:name w:val="Table List Number"/>
    <w:basedOn w:val="ListNumber"/>
    <w:rsid w:val="00D539C4"/>
    <w:pPr>
      <w:numPr>
        <w:numId w:val="0"/>
      </w:numPr>
    </w:pPr>
  </w:style>
  <w:style w:type="paragraph" w:styleId="TOC4">
    <w:name w:val="toc 4"/>
    <w:basedOn w:val="TOCBase"/>
    <w:next w:val="Normal"/>
    <w:semiHidden/>
    <w:rsid w:val="00D539C4"/>
    <w:pPr>
      <w:tabs>
        <w:tab w:val="right" w:leader="dot" w:pos="9071"/>
      </w:tabs>
      <w:ind w:left="1701"/>
    </w:pPr>
  </w:style>
  <w:style w:type="paragraph" w:customStyle="1" w:styleId="ListAlpha">
    <w:name w:val="List Alpha"/>
    <w:basedOn w:val="List"/>
    <w:rsid w:val="00D539C4"/>
    <w:pPr>
      <w:numPr>
        <w:numId w:val="10"/>
      </w:numPr>
    </w:pPr>
  </w:style>
  <w:style w:type="paragraph" w:customStyle="1" w:styleId="ListAlpha2">
    <w:name w:val="List Alpha 2"/>
    <w:basedOn w:val="List2"/>
    <w:rsid w:val="00D539C4"/>
    <w:pPr>
      <w:numPr>
        <w:numId w:val="9"/>
      </w:numPr>
    </w:pPr>
  </w:style>
  <w:style w:type="paragraph" w:styleId="List2">
    <w:name w:val="List 2"/>
    <w:basedOn w:val="BodyText"/>
    <w:rsid w:val="00D539C4"/>
    <w:pPr>
      <w:tabs>
        <w:tab w:val="left" w:pos="680"/>
      </w:tabs>
      <w:spacing w:before="60" w:after="60"/>
      <w:ind w:left="680" w:hanging="340"/>
    </w:pPr>
  </w:style>
  <w:style w:type="paragraph" w:styleId="List3">
    <w:name w:val="List 3"/>
    <w:basedOn w:val="BodyText"/>
    <w:rsid w:val="00D539C4"/>
    <w:pPr>
      <w:tabs>
        <w:tab w:val="left" w:pos="1021"/>
      </w:tabs>
      <w:spacing w:before="60" w:after="60"/>
      <w:ind w:left="1020" w:hanging="340"/>
    </w:pPr>
  </w:style>
  <w:style w:type="paragraph" w:styleId="List4">
    <w:name w:val="List 4"/>
    <w:basedOn w:val="BodyText"/>
    <w:rsid w:val="00D539C4"/>
    <w:pPr>
      <w:tabs>
        <w:tab w:val="left" w:pos="1361"/>
      </w:tabs>
      <w:spacing w:before="60" w:after="60"/>
      <w:ind w:left="1361" w:hanging="340"/>
    </w:pPr>
  </w:style>
  <w:style w:type="paragraph" w:styleId="List5">
    <w:name w:val="List 5"/>
    <w:basedOn w:val="BodyText"/>
    <w:rsid w:val="00D539C4"/>
    <w:pPr>
      <w:tabs>
        <w:tab w:val="left" w:pos="1701"/>
      </w:tabs>
      <w:spacing w:before="60" w:after="60"/>
      <w:ind w:left="1701" w:hanging="340"/>
    </w:pPr>
  </w:style>
  <w:style w:type="paragraph" w:styleId="ListBullet4">
    <w:name w:val="List Bullet 4"/>
    <w:basedOn w:val="List4"/>
    <w:rsid w:val="00D539C4"/>
    <w:pPr>
      <w:numPr>
        <w:numId w:val="4"/>
      </w:numPr>
    </w:pPr>
  </w:style>
  <w:style w:type="paragraph" w:styleId="ListBullet5">
    <w:name w:val="List Bullet 5"/>
    <w:basedOn w:val="List5"/>
    <w:rsid w:val="00D539C4"/>
    <w:pPr>
      <w:numPr>
        <w:numId w:val="5"/>
      </w:numPr>
    </w:pPr>
  </w:style>
  <w:style w:type="paragraph" w:styleId="ListContinue2">
    <w:name w:val="List Continue 2"/>
    <w:basedOn w:val="List2"/>
    <w:rsid w:val="00D539C4"/>
    <w:pPr>
      <w:ind w:firstLine="0"/>
    </w:pPr>
  </w:style>
  <w:style w:type="paragraph" w:styleId="ListContinue3">
    <w:name w:val="List Continue 3"/>
    <w:basedOn w:val="List3"/>
    <w:rsid w:val="00D539C4"/>
    <w:pPr>
      <w:ind w:left="1021" w:firstLine="0"/>
    </w:pPr>
  </w:style>
  <w:style w:type="paragraph" w:styleId="ListContinue4">
    <w:name w:val="List Continue 4"/>
    <w:basedOn w:val="List4"/>
    <w:rsid w:val="00D539C4"/>
    <w:pPr>
      <w:ind w:firstLine="0"/>
    </w:pPr>
  </w:style>
  <w:style w:type="paragraph" w:styleId="ListContinue5">
    <w:name w:val="List Continue 5"/>
    <w:basedOn w:val="List5"/>
    <w:rsid w:val="00D539C4"/>
    <w:pPr>
      <w:ind w:firstLine="0"/>
    </w:pPr>
  </w:style>
  <w:style w:type="paragraph" w:styleId="ListNumber3">
    <w:name w:val="List Number 3"/>
    <w:basedOn w:val="List3"/>
    <w:rsid w:val="00D539C4"/>
    <w:pPr>
      <w:numPr>
        <w:numId w:val="6"/>
      </w:numPr>
    </w:pPr>
  </w:style>
  <w:style w:type="paragraph" w:styleId="ListNumber4">
    <w:name w:val="List Number 4"/>
    <w:basedOn w:val="List4"/>
    <w:rsid w:val="00D539C4"/>
    <w:pPr>
      <w:numPr>
        <w:numId w:val="7"/>
      </w:numPr>
    </w:pPr>
  </w:style>
  <w:style w:type="paragraph" w:styleId="ListNumber5">
    <w:name w:val="List Number 5"/>
    <w:basedOn w:val="List5"/>
    <w:rsid w:val="00D539C4"/>
    <w:pPr>
      <w:numPr>
        <w:numId w:val="8"/>
      </w:numPr>
    </w:pPr>
  </w:style>
  <w:style w:type="paragraph" w:styleId="BlockText">
    <w:name w:val="Block Text"/>
    <w:basedOn w:val="Normal"/>
    <w:rsid w:val="00D539C4"/>
    <w:pPr>
      <w:spacing w:after="120"/>
      <w:ind w:left="1440" w:right="1440"/>
    </w:pPr>
  </w:style>
  <w:style w:type="character" w:customStyle="1" w:styleId="Subscript">
    <w:name w:val="Subscript"/>
    <w:basedOn w:val="DefaultParagraphFont"/>
    <w:rsid w:val="00D539C4"/>
    <w:rPr>
      <w:sz w:val="16"/>
      <w:vertAlign w:val="subscript"/>
    </w:rPr>
  </w:style>
  <w:style w:type="character" w:customStyle="1" w:styleId="Superscript">
    <w:name w:val="Superscript"/>
    <w:basedOn w:val="DefaultParagraphFont"/>
    <w:rsid w:val="00D539C4"/>
    <w:rPr>
      <w:sz w:val="16"/>
      <w:vertAlign w:val="superscript"/>
    </w:rPr>
  </w:style>
  <w:style w:type="character" w:customStyle="1" w:styleId="Symbols">
    <w:name w:val="Symbols"/>
    <w:basedOn w:val="DefaultParagraphFont"/>
    <w:rsid w:val="00D539C4"/>
    <w:rPr>
      <w:rFonts w:ascii="Symbol" w:hAnsi="Symbol"/>
    </w:rPr>
  </w:style>
  <w:style w:type="character" w:customStyle="1" w:styleId="MenuOptions">
    <w:name w:val="Menu Options"/>
    <w:basedOn w:val="DefaultParagraphFont"/>
    <w:rsid w:val="00D539C4"/>
    <w:rPr>
      <w:rFonts w:ascii="Arial Narrow" w:hAnsi="Arial Narrow"/>
      <w:smallCaps/>
    </w:rPr>
  </w:style>
  <w:style w:type="character" w:customStyle="1" w:styleId="Buttons">
    <w:name w:val="Buttons"/>
    <w:basedOn w:val="DefaultParagraphFont"/>
    <w:rsid w:val="00D539C4"/>
    <w:rPr>
      <w:b/>
    </w:rPr>
  </w:style>
  <w:style w:type="character" w:customStyle="1" w:styleId="Underlined">
    <w:name w:val="Underlined"/>
    <w:basedOn w:val="DefaultParagraphFont"/>
    <w:rsid w:val="00D539C4"/>
    <w:rPr>
      <w:u w:val="single"/>
    </w:rPr>
  </w:style>
  <w:style w:type="paragraph" w:customStyle="1" w:styleId="TableBodyTextRight">
    <w:name w:val="Table Body Text Right"/>
    <w:basedOn w:val="TableBodyText"/>
    <w:rsid w:val="00D539C4"/>
    <w:pPr>
      <w:widowControl w:val="0"/>
      <w:autoSpaceDE w:val="0"/>
      <w:autoSpaceDN w:val="0"/>
      <w:adjustRightInd w:val="0"/>
      <w:jc w:val="right"/>
    </w:pPr>
    <w:rPr>
      <w:rFonts w:cs="Arial"/>
      <w:szCs w:val="18"/>
    </w:rPr>
  </w:style>
  <w:style w:type="paragraph" w:customStyle="1" w:styleId="CopyrightText">
    <w:name w:val="Copyright Text"/>
    <w:basedOn w:val="BodyText"/>
    <w:rsid w:val="00D539C4"/>
    <w:rPr>
      <w:sz w:val="18"/>
    </w:rPr>
  </w:style>
  <w:style w:type="paragraph" w:customStyle="1" w:styleId="BodySmallRight">
    <w:name w:val="Body Small Right"/>
    <w:basedOn w:val="BodyTextRight"/>
    <w:rsid w:val="00D539C4"/>
    <w:rPr>
      <w:sz w:val="18"/>
      <w:szCs w:val="18"/>
    </w:rPr>
  </w:style>
  <w:style w:type="paragraph" w:customStyle="1" w:styleId="MarginEdition">
    <w:name w:val="Margin Edition"/>
    <w:basedOn w:val="MarginNote"/>
    <w:rsid w:val="00D539C4"/>
    <w:pPr>
      <w:spacing w:before="0" w:after="0"/>
    </w:pPr>
    <w:rPr>
      <w:rFonts w:ascii="Times New Roman" w:hAnsi="Times New Roman"/>
      <w:color w:val="999999"/>
    </w:rPr>
  </w:style>
  <w:style w:type="paragraph" w:customStyle="1" w:styleId="Spacer">
    <w:name w:val="Spacer"/>
    <w:basedOn w:val="Normal"/>
    <w:rsid w:val="00D539C4"/>
    <w:rPr>
      <w:sz w:val="2"/>
      <w:szCs w:val="2"/>
    </w:rPr>
  </w:style>
  <w:style w:type="character" w:customStyle="1" w:styleId="Small">
    <w:name w:val="Small"/>
    <w:basedOn w:val="DefaultParagraphFont"/>
    <w:rsid w:val="00D539C4"/>
    <w:rPr>
      <w:sz w:val="16"/>
    </w:rPr>
  </w:style>
  <w:style w:type="paragraph" w:customStyle="1" w:styleId="WideTable">
    <w:name w:val="Wide Table"/>
    <w:basedOn w:val="Normal"/>
    <w:rsid w:val="00D539C4"/>
    <w:pPr>
      <w:ind w:left="-1418"/>
    </w:pPr>
    <w:rPr>
      <w:sz w:val="2"/>
      <w:szCs w:val="2"/>
    </w:rPr>
  </w:style>
  <w:style w:type="character" w:styleId="PageNumber">
    <w:name w:val="page number"/>
    <w:basedOn w:val="DefaultParagraphFont"/>
    <w:rsid w:val="00D539C4"/>
  </w:style>
  <w:style w:type="paragraph" w:styleId="Quote">
    <w:name w:val="Quote"/>
    <w:basedOn w:val="Heading1"/>
    <w:link w:val="QuoteChar"/>
    <w:qFormat/>
    <w:rsid w:val="00D539C4"/>
    <w:rPr>
      <w:b w:val="0"/>
      <w:sz w:val="72"/>
      <w:szCs w:val="72"/>
      <w:lang w:val="en-NZ"/>
    </w:rPr>
  </w:style>
  <w:style w:type="character" w:customStyle="1" w:styleId="QuoteChar">
    <w:name w:val="Quote Char"/>
    <w:basedOn w:val="DefaultParagraphFont"/>
    <w:link w:val="Quote"/>
    <w:rsid w:val="00D53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9C4"/>
    <w:pPr>
      <w:pageBreakBefore/>
    </w:pPr>
  </w:style>
  <w:style w:type="paragraph" w:customStyle="1" w:styleId="Border">
    <w:name w:val="Border"/>
    <w:basedOn w:val="Normal"/>
    <w:qFormat/>
    <w:rsid w:val="00D53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9C4"/>
    <w:rPr>
      <w:b/>
      <w:bCs/>
      <w:i/>
      <w:iCs/>
      <w:color w:val="auto"/>
    </w:rPr>
  </w:style>
  <w:style w:type="paragraph" w:styleId="IntenseQuote">
    <w:name w:val="Intense Quote"/>
    <w:basedOn w:val="Normal"/>
    <w:next w:val="Normal"/>
    <w:link w:val="IntenseQuoteChar"/>
    <w:uiPriority w:val="30"/>
    <w:qFormat/>
    <w:rsid w:val="00D53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9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9C4"/>
    <w:rPr>
      <w:smallCaps/>
      <w:color w:val="auto"/>
      <w:u w:val="single"/>
    </w:rPr>
  </w:style>
  <w:style w:type="character" w:styleId="IntenseReference">
    <w:name w:val="Intense Reference"/>
    <w:basedOn w:val="DefaultParagraphFont"/>
    <w:uiPriority w:val="32"/>
    <w:qFormat/>
    <w:rsid w:val="00D539C4"/>
    <w:rPr>
      <w:b/>
      <w:bCs/>
      <w:smallCaps/>
      <w:color w:val="auto"/>
      <w:spacing w:val="5"/>
      <w:u w:val="single"/>
    </w:rPr>
  </w:style>
  <w:style w:type="paragraph" w:customStyle="1" w:styleId="2ColumnHeading">
    <w:name w:val="2Column Heading"/>
    <w:basedOn w:val="BodyText"/>
    <w:qFormat/>
    <w:rsid w:val="00D539C4"/>
    <w:pPr>
      <w:spacing w:after="60"/>
      <w:ind w:left="-2268"/>
    </w:pPr>
    <w:rPr>
      <w:b/>
    </w:rPr>
  </w:style>
  <w:style w:type="paragraph" w:customStyle="1" w:styleId="Heading1TOC">
    <w:name w:val="Heading1 TOC"/>
    <w:basedOn w:val="Normal"/>
    <w:qFormat/>
    <w:rsid w:val="00D539C4"/>
    <w:pPr>
      <w:spacing w:before="240" w:after="120"/>
    </w:pPr>
    <w:rPr>
      <w:rFonts w:ascii="Times New Roman" w:hAnsi="Times New Roman"/>
      <w:b/>
      <w:sz w:val="32"/>
    </w:rPr>
  </w:style>
  <w:style w:type="paragraph" w:customStyle="1" w:styleId="Heading2TOC">
    <w:name w:val="Heading2 TOC"/>
    <w:basedOn w:val="Normal"/>
    <w:qFormat/>
    <w:rsid w:val="00D539C4"/>
    <w:pPr>
      <w:spacing w:before="240" w:after="60"/>
    </w:pPr>
    <w:rPr>
      <w:rFonts w:ascii="Times New Roman" w:hAnsi="Times New Roman"/>
      <w:b/>
      <w:sz w:val="28"/>
    </w:rPr>
  </w:style>
  <w:style w:type="character" w:customStyle="1" w:styleId="Underline">
    <w:name w:val="Underline"/>
    <w:basedOn w:val="DefaultParagraphFont"/>
    <w:qFormat/>
    <w:rsid w:val="00D539C4"/>
    <w:rPr>
      <w:u w:val="single"/>
    </w:rPr>
  </w:style>
  <w:style w:type="character" w:customStyle="1" w:styleId="BoldandItalics">
    <w:name w:val="Bold and Italics"/>
    <w:qFormat/>
    <w:rsid w:val="00D539C4"/>
    <w:rPr>
      <w:b/>
      <w:i/>
      <w:u w:val="none"/>
    </w:rPr>
  </w:style>
  <w:style w:type="paragraph" w:styleId="BalloonText">
    <w:name w:val="Balloon Text"/>
    <w:basedOn w:val="Normal"/>
    <w:link w:val="BalloonTextChar"/>
    <w:rsid w:val="00D539C4"/>
    <w:rPr>
      <w:rFonts w:ascii="Tahoma" w:hAnsi="Tahoma" w:cs="Tahoma"/>
      <w:sz w:val="16"/>
      <w:szCs w:val="16"/>
    </w:rPr>
  </w:style>
  <w:style w:type="character" w:customStyle="1" w:styleId="BalloonTextChar">
    <w:name w:val="Balloon Text Char"/>
    <w:basedOn w:val="DefaultParagraphFont"/>
    <w:link w:val="BalloonText"/>
    <w:rsid w:val="00D539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9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39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9C4"/>
    <w:rPr>
      <w:b/>
      <w:color w:val="660033"/>
      <w:spacing w:val="0"/>
    </w:rPr>
  </w:style>
  <w:style w:type="paragraph" w:customStyle="1" w:styleId="Nameditemlist">
    <w:name w:val="Named item list"/>
    <w:basedOn w:val="BodyText"/>
    <w:qFormat/>
    <w:rsid w:val="00D539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1707</Words>
  <Characters>11574</Characters>
  <Application>Microsoft Office Word</Application>
  <DocSecurity>0</DocSecurity>
  <Lines>404</Lines>
  <Paragraphs>206</Paragraphs>
  <ScaleCrop>false</ScaleCrop>
  <Company>Author-it Software Corporation Ltd.</Company>
  <LinksUpToDate>false</LinksUpToDate>
  <CharactersWithSpaces>13199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MEM23119A Evaluate continuous improvement processes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2012-12-20T07:36:00Z</dcterms:created>
  <dcterms:modified xsi:type="dcterms:W3CDTF">2012-12-20T07:36:00Z</dcterms:modified>
</cp:coreProperties>
</file>