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F5" w:rsidP="00F75DF5">
      <w:pPr>
        <w:pStyle w:val="Title"/>
      </w:pPr>
      <w:r>
        <w:fldChar w:fldCharType="begin"/>
      </w:r>
      <w:r>
        <w:instrText xml:space="preserve"> TITLE   \* MERGEFORMAT </w:instrText>
      </w:r>
      <w:r>
        <w:fldChar w:fldCharType="separate"/>
      </w:r>
      <w:r>
        <w:t>MEM23114A Evaluate thermodynamic systems and components</w:t>
      </w:r>
      <w:r>
        <w:fldChar w:fldCharType="end"/>
      </w:r>
    </w:p>
    <w:p w:rsidR="00F75DF5" w:rsidP="00F75DF5">
      <w:pPr>
        <w:pStyle w:val="Version"/>
        <w:sectPr w:rsidSect="00733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CE5" w:rsidP="00733CE5">
      <w:pPr>
        <w:pStyle w:val="SuperHeading"/>
      </w:pPr>
      <w:r w:rsidRPr="00733CE5">
        <w:t>MEM23114A Evaluate thermodynamic systems and components</w:t>
      </w:r>
    </w:p>
    <w:p w:rsidR="00000000" w:rsidRPr="00733CE5" w:rsidP="00733CE5">
      <w:pPr>
        <w:pStyle w:val="Heading1"/>
      </w:pPr>
      <w:bookmarkStart w:id="1" w:name="O_519652"/>
      <w:bookmarkEnd w:id="1"/>
      <w:r w:rsidRPr="00733CE5">
        <w:t>Modification History</w:t>
      </w:r>
    </w:p>
    <w:p w:rsidR="00F75DF5" w:rsidP="00733CE5">
      <w:pPr>
        <w:pStyle w:val="BodyText"/>
      </w:pPr>
      <w:r w:rsidRPr="00733CE5">
        <w:t>Release 1 - New unit.  Replaces MEM23081A, but not equivalent.</w:t>
      </w:r>
    </w:p>
    <w:p w:rsidR="00F75DF5" w:rsidP="00733CE5">
      <w:pPr>
        <w:pStyle w:val="BodyText"/>
      </w:pPr>
    </w:p>
    <w:p w:rsidR="00000000" w:rsidRPr="00733CE5" w:rsidP="00733CE5">
      <w:pPr>
        <w:pStyle w:val="Heading1"/>
      </w:pPr>
      <w:bookmarkStart w:id="2" w:name="O_519664"/>
      <w:bookmarkEnd w:id="2"/>
      <w:r w:rsidRPr="00733CE5">
        <w:t>Unit Descriptor</w:t>
      </w:r>
    </w:p>
    <w:p w:rsidR="00000000" w:rsidRPr="00733CE5" w:rsidP="00733CE5">
      <w:pPr>
        <w:pStyle w:val="BodyText"/>
      </w:pPr>
      <w:r w:rsidRPr="00733CE5">
        <w:t>This unit of competency covers the evaluation of thermodynamic systems and components, such as heat exchangers, heat engin</w:t>
      </w:r>
      <w:r w:rsidRPr="00733CE5">
        <w:t xml:space="preserve">es, refrigeration and air conditioners, and air compressors. </w:t>
      </w:r>
    </w:p>
    <w:p w:rsidR="00000000" w:rsidRPr="00733CE5" w:rsidP="00733CE5">
      <w:pPr>
        <w:pStyle w:val="AllowPageBreak"/>
      </w:pPr>
    </w:p>
    <w:p w:rsidR="00000000" w:rsidRPr="00733CE5" w:rsidP="00733CE5">
      <w:pPr>
        <w:pStyle w:val="Heading1"/>
      </w:pPr>
      <w:bookmarkStart w:id="3" w:name="O_519663"/>
      <w:bookmarkEnd w:id="3"/>
      <w:r w:rsidRPr="00733CE5">
        <w:t>Application of the Unit</w:t>
      </w:r>
    </w:p>
    <w:p w:rsidR="00000000" w:rsidRPr="00733CE5" w:rsidP="00733CE5">
      <w:pPr>
        <w:pStyle w:val="BodyText"/>
      </w:pPr>
      <w:r w:rsidRPr="00733CE5">
        <w:t>This unit applies to the evaluation of thermodynamic systems and components. The evaluation may be undertaken as part of a design or system selection pro</w:t>
      </w:r>
      <w:r w:rsidRPr="00733CE5">
        <w:t>cess or to assess system condition, sustainability or efficiency. It is suitable for people working as technicians or system designers and draftspersons, and those pursuing careers and qualifications in engineering or related disciplines.</w:t>
      </w:r>
    </w:p>
    <w:p w:rsidR="00000000" w:rsidRPr="00733CE5" w:rsidP="00733CE5">
      <w:pPr>
        <w:pStyle w:val="AllowPageBreak"/>
      </w:pPr>
    </w:p>
    <w:p w:rsidR="00000000" w:rsidRPr="00733CE5" w:rsidP="00733CE5">
      <w:pPr>
        <w:pStyle w:val="Heading1"/>
      </w:pPr>
      <w:bookmarkStart w:id="4" w:name="O_519662"/>
      <w:bookmarkEnd w:id="4"/>
      <w:r w:rsidRPr="00733CE5">
        <w:t>Licensing/Regulatory Information</w:t>
      </w:r>
    </w:p>
    <w:p w:rsidR="00000000" w:rsidRPr="00733CE5" w:rsidP="00733CE5">
      <w:pPr>
        <w:pStyle w:val="BodyText"/>
      </w:pPr>
      <w:r w:rsidRPr="00733CE5">
        <w:t>Not applicable.</w:t>
      </w:r>
    </w:p>
    <w:p w:rsidR="00000000" w:rsidRPr="00733CE5" w:rsidP="00733CE5">
      <w:pPr>
        <w:pStyle w:val="AllowPageBreak"/>
      </w:pPr>
    </w:p>
    <w:p w:rsidR="00000000" w:rsidRPr="00733CE5" w:rsidP="00733CE5">
      <w:pPr>
        <w:pStyle w:val="Heading1"/>
      </w:pPr>
      <w:bookmarkStart w:id="5" w:name="O_519661"/>
      <w:bookmarkEnd w:id="5"/>
      <w:r w:rsidRPr="00733CE5">
        <w:t>Pre-Requisites</w:t>
      </w:r>
    </w:p>
    <w:tbl>
      <w:tblPr>
        <w:tblW w:w="9354" w:type="dxa"/>
        <w:tblLayout w:type="fixed"/>
        <w:tblCellMar>
          <w:left w:w="62" w:type="dxa"/>
          <w:right w:w="62" w:type="dxa"/>
        </w:tblCellMar>
        <w:tblLook w:val="0000"/>
      </w:tblPr>
      <w:tblGrid>
        <w:gridCol w:w="2592"/>
        <w:gridCol w:w="6762"/>
      </w:tblGrid>
      <w:tr w:rsidTr="00733CE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MEM23004A</w:t>
            </w:r>
          </w:p>
        </w:tc>
        <w:tc>
          <w:tcPr>
            <w:tcW w:w="6762"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Apply technical mathematics</w:t>
            </w:r>
          </w:p>
        </w:tc>
      </w:tr>
      <w:tr w:rsidTr="00733CE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MEM23006A</w:t>
            </w:r>
          </w:p>
        </w:tc>
        <w:tc>
          <w:tcPr>
            <w:tcW w:w="6762"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Apply fluid and thermodynamics principles in engineering</w:t>
            </w:r>
          </w:p>
        </w:tc>
      </w:tr>
    </w:tbl>
    <w:p w:rsidR="00000000" w:rsidRPr="00733CE5" w:rsidP="00733CE5">
      <w:pPr>
        <w:pStyle w:val="BodyText"/>
      </w:pPr>
    </w:p>
    <w:p w:rsidR="00000000" w:rsidRPr="00733CE5" w:rsidP="00733CE5">
      <w:pPr>
        <w:pStyle w:val="AllowPageBreak"/>
      </w:pPr>
    </w:p>
    <w:p w:rsidR="00000000" w:rsidRPr="00733CE5" w:rsidP="00733CE5">
      <w:pPr>
        <w:pStyle w:val="Heading1"/>
      </w:pPr>
      <w:bookmarkStart w:id="6" w:name="O_519660"/>
      <w:bookmarkEnd w:id="6"/>
      <w:r w:rsidRPr="00733CE5">
        <w:t>Employability Skills Information</w:t>
      </w:r>
    </w:p>
    <w:p w:rsidR="00F75DF5" w:rsidP="00733CE5">
      <w:pPr>
        <w:pStyle w:val="BodyText"/>
      </w:pPr>
      <w:r w:rsidRPr="00733CE5">
        <w:t>This unit contains employability skills.</w:t>
      </w:r>
    </w:p>
    <w:p w:rsidR="00F75DF5" w:rsidP="00733CE5">
      <w:pPr>
        <w:pStyle w:val="BodyText"/>
      </w:pPr>
    </w:p>
    <w:p w:rsidR="00000000" w:rsidRPr="00733CE5" w:rsidP="00733CE5">
      <w:pPr>
        <w:pStyle w:val="Heading1"/>
      </w:pPr>
      <w:bookmarkStart w:id="7" w:name="O_519659"/>
      <w:bookmarkEnd w:id="7"/>
      <w:r w:rsidRPr="00733CE5">
        <w:t>Elements and Performance Criteria Pre-Content</w:t>
      </w:r>
    </w:p>
    <w:tbl>
      <w:tblPr>
        <w:tblW w:w="0" w:type="auto"/>
        <w:tblCellMar>
          <w:left w:w="62" w:type="dxa"/>
          <w:right w:w="62" w:type="dxa"/>
        </w:tblCellMar>
        <w:tblLook w:val="0000"/>
      </w:tblPr>
      <w:tblGrid>
        <w:gridCol w:w="2576"/>
        <w:gridCol w:w="6620"/>
      </w:tblGrid>
      <w:tr w:rsidTr="00F75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Performance criteria describe the performance needed to demonstrate achievement of th</w:t>
            </w:r>
            <w:r w:rsidRPr="00733CE5">
              <w:t xml:space="preserve">e element. </w:t>
            </w:r>
          </w:p>
        </w:tc>
      </w:tr>
    </w:tbl>
    <w:p w:rsidR="00F75DF5" w:rsidP="00733CE5">
      <w:pPr>
        <w:pStyle w:val="BodyText"/>
      </w:pPr>
    </w:p>
    <w:p w:rsidR="00F75DF5" w:rsidP="00733CE5">
      <w:pPr>
        <w:pStyle w:val="BodyText"/>
      </w:pPr>
    </w:p>
    <w:p w:rsidR="00000000" w:rsidRPr="00733CE5" w:rsidP="00733CE5">
      <w:pPr>
        <w:pStyle w:val="Heading1"/>
      </w:pPr>
      <w:bookmarkStart w:id="8" w:name="O_519658"/>
      <w:bookmarkEnd w:id="8"/>
      <w:r w:rsidRPr="00733C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w:t>
            </w:r>
          </w:p>
        </w:tc>
        <w:tc>
          <w:tcPr>
            <w:tcW w:w="1962" w:type="dxa"/>
            <w:vMerge w:val="restart"/>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Determine scope of thermodynamic system</w:t>
            </w: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1.1</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 xml:space="preserve">Determine thermodynamic system and system components to be evaluated </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1.2</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 xml:space="preserve">Determine stakeholders to be consulted on the evaluation </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1.3</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Confirm that appropriate support, including technical and professional assistance, is available</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1.4</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Determine work health and safety (WHS) and regulatory requirements, risk management and organisational procedures</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1.5</w:t>
            </w:r>
          </w:p>
        </w:tc>
        <w:tc>
          <w:tcPr>
            <w:tcW w:w="5610"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Investigate sustainability implications of thermodynamic applications</w:t>
            </w:r>
          </w:p>
        </w:tc>
      </w:tr>
    </w:tbl>
    <w:p w:rsidR="00000000" w:rsidRPr="00733CE5" w:rsidP="00733CE5">
      <w:pPr>
        <w:pStyle w:val="BodyText"/>
      </w:pPr>
    </w:p>
    <w:tbl>
      <w:tblPr>
        <w:tblW w:w="0" w:type="auto"/>
        <w:tblLayout w:type="fixed"/>
        <w:tblCellMar>
          <w:left w:w="62" w:type="dxa"/>
          <w:right w:w="62" w:type="dxa"/>
        </w:tblCellMar>
        <w:tblLook w:val="0000"/>
      </w:tblPr>
      <w:tblGrid>
        <w:gridCol w:w="678"/>
        <w:gridCol w:w="1962"/>
        <w:gridCol w:w="770"/>
        <w:gridCol w:w="5610"/>
      </w:tblGrid>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2</w:t>
            </w:r>
          </w:p>
        </w:tc>
        <w:tc>
          <w:tcPr>
            <w:tcW w:w="1962" w:type="dxa"/>
            <w:vMerge w:val="restart"/>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Identify principles and techniques required for evaluation of thermodynamic system and components</w:t>
            </w: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2.1</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Review features and functions of thermodynamic system and components</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2.2</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Dete</w:t>
            </w:r>
            <w:r w:rsidRPr="00733CE5">
              <w:t>rmine thermodynamic principles and techniques required to evaluate system and select and optimise components</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2.3</w:t>
            </w:r>
          </w:p>
        </w:tc>
        <w:tc>
          <w:tcPr>
            <w:tcW w:w="5610"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Determine appropriate analysis techniques, software and software validation techniques</w:t>
            </w:r>
          </w:p>
        </w:tc>
      </w:tr>
    </w:tbl>
    <w:p w:rsidR="00000000" w:rsidRPr="00733CE5" w:rsidP="00733CE5">
      <w:pPr>
        <w:pStyle w:val="BodyText"/>
      </w:pPr>
    </w:p>
    <w:tbl>
      <w:tblPr>
        <w:tblW w:w="0" w:type="auto"/>
        <w:tblLayout w:type="fixed"/>
        <w:tblCellMar>
          <w:left w:w="62" w:type="dxa"/>
          <w:right w:w="62" w:type="dxa"/>
        </w:tblCellMar>
        <w:tblLook w:val="0000"/>
      </w:tblPr>
      <w:tblGrid>
        <w:gridCol w:w="678"/>
        <w:gridCol w:w="1962"/>
        <w:gridCol w:w="770"/>
        <w:gridCol w:w="5610"/>
      </w:tblGrid>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w:t>
            </w:r>
          </w:p>
        </w:tc>
        <w:tc>
          <w:tcPr>
            <w:tcW w:w="1962" w:type="dxa"/>
            <w:vMerge w:val="restart"/>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 xml:space="preserve">Evaluate thermodynamic applications and </w:t>
            </w:r>
            <w:r w:rsidRPr="00733CE5">
              <w:t>components</w:t>
            </w: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3.1</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Assess the performance of heat transfer devices</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3.2</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Assess heat engine performance</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3.3</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Assess combustion processes</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3.4</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Assess steam processes, where present</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3.5</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Assess refrigeration and air conditioning processes, where present</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3.6</w:t>
            </w:r>
          </w:p>
        </w:tc>
        <w:tc>
          <w:tcPr>
            <w:tcW w:w="5610"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Assess air compression processes, where present</w:t>
            </w:r>
          </w:p>
        </w:tc>
      </w:tr>
    </w:tbl>
    <w:p w:rsidR="00000000" w:rsidRPr="00733CE5" w:rsidP="00733CE5">
      <w:pPr>
        <w:pStyle w:val="BodyText"/>
      </w:pPr>
    </w:p>
    <w:tbl>
      <w:tblPr>
        <w:tblW w:w="0" w:type="auto"/>
        <w:tblLayout w:type="fixed"/>
        <w:tblCellMar>
          <w:left w:w="62" w:type="dxa"/>
          <w:right w:w="62" w:type="dxa"/>
        </w:tblCellMar>
        <w:tblLook w:val="0000"/>
      </w:tblPr>
      <w:tblGrid>
        <w:gridCol w:w="678"/>
        <w:gridCol w:w="1962"/>
        <w:gridCol w:w="770"/>
        <w:gridCol w:w="5610"/>
      </w:tblGrid>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4</w:t>
            </w:r>
          </w:p>
        </w:tc>
        <w:tc>
          <w:tcPr>
            <w:tcW w:w="1962" w:type="dxa"/>
            <w:vMerge w:val="restart"/>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Report results</w:t>
            </w: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4.1</w:t>
            </w:r>
          </w:p>
        </w:tc>
        <w:tc>
          <w:tcPr>
            <w:tcW w:w="561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Record outcomes of evaluation</w:t>
            </w:r>
          </w:p>
        </w:tc>
      </w:tr>
      <w:tr w:rsidTr="00733C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4.2</w:t>
            </w:r>
          </w:p>
        </w:tc>
        <w:tc>
          <w:tcPr>
            <w:tcW w:w="5610"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Provide documentation, such as calculations, component and syst</w:t>
            </w:r>
            <w:r w:rsidRPr="00733CE5">
              <w:t>em layouts, and functional and thermodynamic cycle diagrams</w:t>
            </w:r>
          </w:p>
        </w:tc>
      </w:tr>
    </w:tbl>
    <w:p w:rsidR="00F75DF5" w:rsidP="00733CE5">
      <w:pPr>
        <w:pStyle w:val="BodyText"/>
      </w:pPr>
    </w:p>
    <w:p w:rsidR="00F75DF5" w:rsidP="00733CE5">
      <w:pPr>
        <w:pStyle w:val="BodyText"/>
      </w:pPr>
    </w:p>
    <w:p w:rsidR="00000000" w:rsidRPr="00733CE5" w:rsidP="00733CE5">
      <w:pPr>
        <w:pStyle w:val="Heading1"/>
      </w:pPr>
      <w:bookmarkStart w:id="9" w:name="O_519657"/>
      <w:bookmarkEnd w:id="9"/>
      <w:r w:rsidRPr="00733CE5">
        <w:t>Required Skills and Knowledge</w:t>
      </w:r>
    </w:p>
    <w:tbl>
      <w:tblPr>
        <w:tblW w:w="9462" w:type="dxa"/>
        <w:tblLayout w:type="fixed"/>
        <w:tblCellMar>
          <w:left w:w="62" w:type="dxa"/>
          <w:right w:w="62" w:type="dxa"/>
        </w:tblCellMar>
        <w:tblLook w:val="0000"/>
      </w:tblPr>
      <w:tblGrid>
        <w:gridCol w:w="9462"/>
      </w:tblGrid>
      <w:tr w:rsidTr="00733C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t>This section describes the skills and knowledge required for this unit.</w:t>
            </w:r>
          </w:p>
        </w:tc>
      </w:tr>
      <w:tr w:rsidTr="00733C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rPr>
                <w:rStyle w:val="SpecialBold"/>
              </w:rPr>
              <w:t>Required skills</w:t>
            </w:r>
          </w:p>
        </w:tc>
      </w:tr>
      <w:tr w:rsidTr="00733CE5">
        <w:tblPrEx>
          <w:tblW w:w="9462" w:type="dxa"/>
          <w:tblLayout w:type="fixed"/>
          <w:tblCellMar>
            <w:left w:w="62" w:type="dxa"/>
            <w:right w:w="62" w:type="dxa"/>
          </w:tblCellMar>
          <w:tblLook w:val="0000"/>
        </w:tblPrEx>
        <w:trPr>
          <w:trHeight w:val="1250"/>
        </w:trPr>
        <w:tc>
          <w:tcPr>
            <w:tcW w:w="9462"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Required skills include:</w:t>
            </w:r>
          </w:p>
          <w:p w:rsidR="00000000" w:rsidRPr="00733CE5" w:rsidP="00733CE5">
            <w:pPr>
              <w:pStyle w:val="ListBullet"/>
            </w:pPr>
            <w:r w:rsidRPr="00733CE5">
              <w:t xml:space="preserve">determining parameters and context of tasks </w:t>
            </w:r>
          </w:p>
          <w:p w:rsidR="00000000" w:rsidRPr="00733CE5" w:rsidP="00733CE5">
            <w:pPr>
              <w:pStyle w:val="ListBullet"/>
            </w:pPr>
            <w:r w:rsidRPr="00733CE5">
              <w:t xml:space="preserve">identifying WHS and regulatory requirements </w:t>
            </w:r>
          </w:p>
          <w:p w:rsidR="00000000" w:rsidRPr="00733CE5" w:rsidP="00733CE5">
            <w:pPr>
              <w:pStyle w:val="ListBullet"/>
            </w:pPr>
            <w:r w:rsidRPr="00733CE5">
              <w:t>identifying risk management and organisational procedures</w:t>
            </w:r>
          </w:p>
          <w:p w:rsidR="00000000" w:rsidRPr="00733CE5" w:rsidP="00733CE5">
            <w:pPr>
              <w:pStyle w:val="ListBullet"/>
            </w:pPr>
            <w:r w:rsidRPr="00733CE5">
              <w:t>investigating and reviewing sustainability implications, features and functions of thermodynamic systems and</w:t>
            </w:r>
            <w:r w:rsidRPr="00733CE5">
              <w:t xml:space="preserve"> components</w:t>
            </w:r>
          </w:p>
          <w:p w:rsidR="00000000" w:rsidRPr="00733CE5" w:rsidP="00733CE5">
            <w:pPr>
              <w:pStyle w:val="ListBullet"/>
            </w:pPr>
            <w:r w:rsidRPr="00733CE5">
              <w:t>identifying thermodynamic principles and techniques, analysis techniques, software and software validation techniques</w:t>
            </w:r>
          </w:p>
          <w:p w:rsidR="00000000" w:rsidRPr="00733CE5" w:rsidP="00733CE5">
            <w:pPr>
              <w:pStyle w:val="ListBullet"/>
            </w:pPr>
            <w:r w:rsidRPr="00733CE5">
              <w:t>evaluating components, combustion, steam, air compression, refrigeration and air conditioning processes</w:t>
            </w:r>
          </w:p>
          <w:p w:rsidR="00000000" w:rsidRPr="00733CE5" w:rsidP="00733CE5">
            <w:pPr>
              <w:pStyle w:val="ListBullet"/>
            </w:pPr>
            <w:r w:rsidRPr="00733CE5">
              <w:t>system compatibility w</w:t>
            </w:r>
            <w:r w:rsidRPr="00733CE5">
              <w:t>ith fluid properties, pumps, turbines, piping forces and thermodynamic performance of components</w:t>
            </w:r>
          </w:p>
          <w:p w:rsidR="00000000" w:rsidRPr="00733CE5" w:rsidP="00733CE5">
            <w:pPr>
              <w:pStyle w:val="ListBullet"/>
            </w:pPr>
            <w:r w:rsidRPr="00733CE5">
              <w:t>selecting equipment and instruments for use in evaluation considering properties and compatibility</w:t>
            </w:r>
          </w:p>
          <w:p w:rsidR="00000000" w:rsidP="00733CE5">
            <w:pPr>
              <w:pStyle w:val="ListBullet"/>
              <w:rPr>
                <w:lang w:val="en-NZ"/>
              </w:rPr>
            </w:pPr>
            <w:r w:rsidRPr="00733CE5">
              <w:t>reporting and documenting results of scoping, principles and</w:t>
            </w:r>
            <w:r w:rsidRPr="00733CE5">
              <w:t xml:space="preserve"> techniques identification, evaluation of applications, calculations, component and system layouts, and functional diagrams and thermodynamic cycle diagrams</w:t>
            </w:r>
          </w:p>
        </w:tc>
      </w:tr>
      <w:tr w:rsidTr="00733C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3CE5" w:rsidP="00733CE5">
            <w:pPr>
              <w:pStyle w:val="BodyText"/>
            </w:pPr>
          </w:p>
          <w:p w:rsidR="00000000" w:rsidP="00733CE5">
            <w:pPr>
              <w:pStyle w:val="BodyText"/>
              <w:rPr>
                <w:lang w:val="en-NZ"/>
              </w:rPr>
            </w:pPr>
            <w:r w:rsidRPr="00733CE5">
              <w:rPr>
                <w:rStyle w:val="SpecialBold"/>
              </w:rPr>
              <w:t>Required knowledge</w:t>
            </w:r>
          </w:p>
        </w:tc>
      </w:tr>
      <w:tr w:rsidTr="00733C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Required knowledge includes:</w:t>
            </w:r>
          </w:p>
          <w:p w:rsidR="00000000" w:rsidRPr="00733CE5" w:rsidP="00733CE5">
            <w:pPr>
              <w:pStyle w:val="ListBullet"/>
            </w:pPr>
            <w:r w:rsidRPr="00733CE5">
              <w:t>WHS and regulatory requirements, codes of pr</w:t>
            </w:r>
            <w:r w:rsidRPr="00733CE5">
              <w:t>actice, standards and risk management requirements</w:t>
            </w:r>
          </w:p>
          <w:p w:rsidR="00000000" w:rsidRPr="00733CE5" w:rsidP="00733CE5">
            <w:pPr>
              <w:pStyle w:val="ListBullet"/>
            </w:pPr>
            <w:r w:rsidRPr="00733CE5">
              <w:t xml:space="preserve">availability of professional and technical assistance </w:t>
            </w:r>
          </w:p>
          <w:p w:rsidR="00000000" w:rsidRPr="00733CE5" w:rsidP="00733CE5">
            <w:pPr>
              <w:pStyle w:val="ListBullet"/>
            </w:pPr>
            <w:r w:rsidRPr="00733CE5">
              <w:t>current options and trends in performance analysis software, including underpinning program techniques and software validation techniques</w:t>
            </w:r>
          </w:p>
          <w:p w:rsidR="00000000" w:rsidRPr="00733CE5" w:rsidP="00733CE5">
            <w:pPr>
              <w:pStyle w:val="ListBullet"/>
            </w:pPr>
            <w:r w:rsidRPr="00733CE5">
              <w:t>descriptions</w:t>
            </w:r>
            <w:r w:rsidRPr="00733CE5">
              <w:t xml:space="preserve"> of thermodynamic devices and systems, such as boilers, turbines, refrigerators, gas-turbines and rockets</w:t>
            </w:r>
          </w:p>
          <w:p w:rsidR="00000000" w:rsidRPr="00733CE5" w:rsidP="00733CE5">
            <w:pPr>
              <w:pStyle w:val="ListBullet"/>
            </w:pPr>
            <w:r w:rsidRPr="00733CE5">
              <w:t>concepts related to thermodynamics, such as:</w:t>
            </w:r>
          </w:p>
          <w:p w:rsidR="00000000" w:rsidRPr="00733CE5" w:rsidP="00733CE5">
            <w:pPr>
              <w:pStyle w:val="ListBullet2"/>
            </w:pPr>
            <w:r w:rsidRPr="00733CE5">
              <w:t>properties, process and state</w:t>
            </w:r>
          </w:p>
          <w:p w:rsidR="00000000" w:rsidRPr="00733CE5" w:rsidP="00733CE5">
            <w:pPr>
              <w:pStyle w:val="ListBullet2"/>
            </w:pPr>
            <w:r w:rsidRPr="00733CE5">
              <w:t>mass, conservation of mass, specific volume and density, force, weight, pressure and temperature</w:t>
            </w:r>
          </w:p>
          <w:p w:rsidR="00000000" w:rsidRPr="00733CE5" w:rsidP="00733CE5">
            <w:pPr>
              <w:pStyle w:val="ListBullet2"/>
            </w:pPr>
            <w:r w:rsidRPr="00733CE5">
              <w:t>systems, cycles and steady state</w:t>
            </w:r>
          </w:p>
          <w:p w:rsidR="00000000" w:rsidRPr="00733CE5" w:rsidP="00733CE5">
            <w:pPr>
              <w:pStyle w:val="ListBullet"/>
            </w:pPr>
            <w:r w:rsidRPr="00733CE5">
              <w:t>energy forms</w:t>
            </w:r>
          </w:p>
          <w:p w:rsidR="00000000" w:rsidRPr="00733CE5" w:rsidP="00733CE5">
            <w:pPr>
              <w:pStyle w:val="ListBullet"/>
            </w:pPr>
            <w:r w:rsidRPr="00733CE5">
              <w:t>effects of heating of solids and liquids</w:t>
            </w:r>
          </w:p>
          <w:p w:rsidR="00000000" w:rsidRPr="00733CE5" w:rsidP="00733CE5">
            <w:pPr>
              <w:pStyle w:val="ListBullet"/>
            </w:pPr>
            <w:r w:rsidRPr="00733CE5">
              <w:t xml:space="preserve">heat transfer, conduction, convection and radiation, including related </w:t>
            </w:r>
            <w:r w:rsidRPr="00733CE5">
              <w:t>laws and calculations</w:t>
            </w:r>
          </w:p>
          <w:p w:rsidR="00000000" w:rsidRPr="00733CE5" w:rsidP="00733CE5">
            <w:pPr>
              <w:pStyle w:val="ListBullet"/>
            </w:pPr>
            <w:r w:rsidRPr="00733CE5">
              <w:t>typical thermodynamic devices and engines, and thermal cycles</w:t>
            </w:r>
          </w:p>
          <w:p w:rsidR="00000000" w:rsidRPr="00733CE5" w:rsidP="00733CE5">
            <w:pPr>
              <w:pStyle w:val="ListBullet"/>
            </w:pPr>
            <w:r w:rsidRPr="00733CE5">
              <w:t>closed and open systems:</w:t>
            </w:r>
          </w:p>
          <w:p w:rsidR="00000000" w:rsidRPr="00733CE5" w:rsidP="00733CE5">
            <w:pPr>
              <w:pStyle w:val="ListBullet2"/>
            </w:pPr>
            <w:r w:rsidRPr="00733CE5">
              <w:t>non-flow, internal energy</w:t>
            </w:r>
          </w:p>
          <w:p w:rsidR="00000000" w:rsidRPr="00733CE5" w:rsidP="00733CE5">
            <w:pPr>
              <w:pStyle w:val="ListBullet2"/>
            </w:pPr>
            <w:r w:rsidRPr="00733CE5">
              <w:t>flow systems, mass and volumetric flow and continuity of flow</w:t>
            </w:r>
          </w:p>
          <w:p w:rsidR="00000000" w:rsidRPr="00733CE5" w:rsidP="00733CE5">
            <w:pPr>
              <w:pStyle w:val="ListBullet"/>
            </w:pPr>
            <w:r w:rsidRPr="00733CE5">
              <w:t xml:space="preserve">steady flow and enthalpy, turbines, compressors, boilers </w:t>
            </w:r>
            <w:r w:rsidRPr="00733CE5">
              <w:t>and heat exchanger applications</w:t>
            </w:r>
          </w:p>
          <w:p w:rsidR="00000000" w:rsidRPr="00733CE5" w:rsidP="00733CE5">
            <w:pPr>
              <w:pStyle w:val="ListBullet"/>
            </w:pPr>
            <w:r w:rsidRPr="00733CE5">
              <w:t>zeroth and first laws in detail and second law (conceptual)</w:t>
            </w:r>
          </w:p>
          <w:p w:rsidR="00000000" w:rsidRPr="00733CE5" w:rsidP="00733CE5">
            <w:pPr>
              <w:pStyle w:val="ListBullet"/>
            </w:pPr>
            <w:r w:rsidRPr="00733CE5">
              <w:t>gas laws and characteristics</w:t>
            </w:r>
          </w:p>
          <w:p w:rsidR="00000000" w:rsidRPr="00733CE5" w:rsidP="00733CE5">
            <w:pPr>
              <w:pStyle w:val="ListBullet"/>
            </w:pPr>
            <w:r w:rsidRPr="00733CE5">
              <w:t>gas compression effects, measurements and calculations</w:t>
            </w:r>
          </w:p>
          <w:p w:rsidR="00000000" w:rsidRPr="00733CE5" w:rsidP="00733CE5">
            <w:pPr>
              <w:pStyle w:val="ListBullet"/>
            </w:pPr>
            <w:r w:rsidRPr="00733CE5">
              <w:t>compressor types and characteristics heat engines, including types, cycles, performance and efficiency fuels and combustion steam plant and processes for steam generation, heat transfer and power production, including:</w:t>
            </w:r>
          </w:p>
          <w:p w:rsidR="00000000" w:rsidRPr="00733CE5" w:rsidP="00733CE5">
            <w:pPr>
              <w:pStyle w:val="ListBullet2"/>
            </w:pPr>
            <w:r w:rsidRPr="00733CE5">
              <w:t>steam saturation steam tables</w:t>
            </w:r>
          </w:p>
          <w:p w:rsidR="00000000" w:rsidRPr="00733CE5" w:rsidP="00733CE5">
            <w:pPr>
              <w:pStyle w:val="ListBullet"/>
            </w:pPr>
            <w:r w:rsidRPr="00733CE5">
              <w:t>air c</w:t>
            </w:r>
            <w:r w:rsidRPr="00733CE5">
              <w:t>onditioning, refrigeration and heat pumping plant and processes</w:t>
            </w:r>
          </w:p>
        </w:tc>
      </w:tr>
    </w:tbl>
    <w:p w:rsidR="00000000" w:rsidRPr="00733CE5" w:rsidP="00733CE5">
      <w:pPr>
        <w:pStyle w:val="BodyText"/>
      </w:pPr>
    </w:p>
    <w:p w:rsidR="00000000" w:rsidRPr="00733CE5" w:rsidP="00733CE5">
      <w:pPr>
        <w:pStyle w:val="AllowPageBreak"/>
      </w:pPr>
    </w:p>
    <w:p w:rsidR="00000000" w:rsidRPr="00733CE5" w:rsidP="00733CE5">
      <w:pPr>
        <w:pStyle w:val="Heading1"/>
      </w:pPr>
      <w:bookmarkStart w:id="10" w:name="O_519656"/>
      <w:bookmarkEnd w:id="10"/>
      <w:r w:rsidRPr="00733CE5">
        <w:t>Evidence Guide</w:t>
      </w:r>
    </w:p>
    <w:tbl>
      <w:tblPr>
        <w:tblW w:w="9462" w:type="dxa"/>
        <w:tblLayout w:type="fixed"/>
        <w:tblCellMar>
          <w:left w:w="62" w:type="dxa"/>
          <w:right w:w="62" w:type="dxa"/>
        </w:tblCellMar>
        <w:tblLook w:val="0000"/>
      </w:tblPr>
      <w:tblGrid>
        <w:gridCol w:w="3800"/>
        <w:gridCol w:w="5662"/>
      </w:tblGrid>
      <w:tr w:rsidTr="00733CE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3CE5">
            <w:pPr>
              <w:pStyle w:val="BodyText"/>
              <w:rPr>
                <w:lang w:val="en-NZ"/>
              </w:rPr>
            </w:pPr>
            <w:r w:rsidRPr="00733CE5">
              <w:t xml:space="preserve">The evidence guide provides advice on assessment and must be read in conjunction with the performance criteria, required skills and knowledge, </w:t>
            </w:r>
            <w:r w:rsidRPr="00733CE5">
              <w:t>range statement and the Assessment Guidelines for the Training Package.</w:t>
            </w:r>
          </w:p>
        </w:tc>
      </w:tr>
      <w:tr w:rsidTr="00733C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t>A person who demonstrates competency in this unit must be able to evaluate thermodynamic systems, including evaluation of system performance and selection of c</w:t>
            </w:r>
            <w:r w:rsidRPr="00733CE5">
              <w:t>omponents.</w:t>
            </w:r>
          </w:p>
        </w:tc>
      </w:tr>
      <w:tr w:rsidTr="00733C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Assessors must be satisfied that the candidate can competently and consistently:</w:t>
            </w:r>
          </w:p>
          <w:p w:rsidR="00000000" w:rsidRPr="00733CE5" w:rsidP="00733CE5">
            <w:pPr>
              <w:pStyle w:val="ListBullet"/>
            </w:pPr>
            <w:r w:rsidRPr="00733CE5">
              <w:t>determine parameters and context of evaluation task</w:t>
            </w:r>
          </w:p>
          <w:p w:rsidR="00000000" w:rsidRPr="00733CE5" w:rsidP="00733CE5">
            <w:pPr>
              <w:pStyle w:val="ListBullet"/>
            </w:pPr>
            <w:r w:rsidRPr="00733CE5">
              <w:t>determine WHS, regulatory requirements, risk management and organisational procedures</w:t>
            </w:r>
          </w:p>
          <w:p w:rsidR="00000000" w:rsidRPr="00733CE5" w:rsidP="00733CE5">
            <w:pPr>
              <w:pStyle w:val="ListBullet"/>
            </w:pPr>
            <w:r w:rsidRPr="00733CE5">
              <w:t>identify features, functions and components of a range of thermodynamic dynamic systems and components</w:t>
            </w:r>
          </w:p>
          <w:p w:rsidR="00000000" w:rsidRPr="00733CE5" w:rsidP="00733CE5">
            <w:pPr>
              <w:pStyle w:val="ListBullet"/>
            </w:pPr>
            <w:r w:rsidRPr="00733CE5">
              <w:t>investigate and review sustainability implications, features and fu</w:t>
            </w:r>
            <w:r w:rsidRPr="00733CE5">
              <w:t>nctions of thermodynamic systems and components</w:t>
            </w:r>
          </w:p>
          <w:p w:rsidR="00000000" w:rsidRPr="00733CE5" w:rsidP="00733CE5">
            <w:pPr>
              <w:pStyle w:val="ListBullet"/>
            </w:pPr>
            <w:r w:rsidRPr="00733CE5">
              <w:t xml:space="preserve">evaluate components and systems to determine safety, efficiency and fitness for purpose </w:t>
            </w:r>
          </w:p>
          <w:p w:rsidR="00000000" w:rsidRPr="00733CE5" w:rsidP="00733CE5">
            <w:pPr>
              <w:pStyle w:val="ListBullet"/>
            </w:pPr>
            <w:r w:rsidRPr="00733CE5">
              <w:t xml:space="preserve">evaluate combustion, steam, air compression and refrigeration and air conditioning processes </w:t>
            </w:r>
          </w:p>
          <w:p w:rsidR="00000000" w:rsidRPr="00733CE5" w:rsidP="00733CE5">
            <w:pPr>
              <w:pStyle w:val="ListBullet"/>
            </w:pPr>
            <w:r w:rsidRPr="00733CE5">
              <w:t>determine system performa</w:t>
            </w:r>
            <w:r w:rsidRPr="00733CE5">
              <w:t xml:space="preserve">nce and heat transfer </w:t>
            </w:r>
          </w:p>
          <w:p w:rsidR="00000000" w:rsidP="00733CE5">
            <w:pPr>
              <w:pStyle w:val="ListBullet"/>
              <w:rPr>
                <w:lang w:val="en-NZ"/>
              </w:rPr>
            </w:pPr>
            <w:r w:rsidRPr="00733CE5">
              <w:t>report and document results.</w:t>
            </w:r>
          </w:p>
        </w:tc>
      </w:tr>
      <w:tr w:rsidTr="00733C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ListBullet"/>
            </w:pPr>
            <w:r w:rsidRPr="00733CE5">
              <w:t>This unit may be assessed on the job, off the job or a combination of both on and off the job. Where assessment occurs off the job, then a simulated work</w:t>
            </w:r>
            <w:r w:rsidRPr="00733CE5">
              <w:t xml:space="preserve">ing environment must be used where the range of conditions reflects realistic workplace situations. The competencies covered by this unit would be demonstrated by an individual working alone or as part of a team. </w:t>
            </w:r>
          </w:p>
          <w:p w:rsidR="00000000" w:rsidRPr="00733CE5" w:rsidP="00733CE5">
            <w:pPr>
              <w:pStyle w:val="ListBullet"/>
            </w:pPr>
            <w:r w:rsidRPr="00733CE5">
              <w:t>Where applicable, reasonable adjustment mu</w:t>
            </w:r>
            <w:r w:rsidRPr="00733CE5">
              <w:t>st be made to work environments and training situations to accommodate ethnicity, age, gender, demographics and disability.</w:t>
            </w:r>
          </w:p>
          <w:p w:rsidR="00000000" w:rsidP="00733CE5">
            <w:pPr>
              <w:pStyle w:val="ListBullet"/>
              <w:rPr>
                <w:lang w:val="en-NZ"/>
              </w:rPr>
            </w:pPr>
            <w:r w:rsidRPr="00733CE5">
              <w:t>Access must be provided to appropriate learning and/or assessment support when required. Where applicable, physical resources should</w:t>
            </w:r>
            <w:r w:rsidRPr="00733CE5">
              <w:t xml:space="preserve"> include equipment modified for people with disabilities.</w:t>
            </w:r>
          </w:p>
        </w:tc>
      </w:tr>
      <w:tr w:rsidTr="00733C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ListBullet"/>
            </w:pPr>
            <w:r w:rsidRPr="00733CE5">
              <w:t>Assessment must satisfy the endorsed Assessment Guidelines of the MEM05 Metal and Engineering Training Package.</w:t>
            </w:r>
          </w:p>
          <w:p w:rsidR="00000000" w:rsidRPr="00733CE5" w:rsidP="00733CE5">
            <w:pPr>
              <w:pStyle w:val="ListBullet"/>
            </w:pPr>
            <w:r w:rsidRPr="00733CE5">
              <w:t>Assessment methods must confirm consistency and accuracy of performance (over time and in a range of workplace relevant contexts) together with application of underpinning knowledge.</w:t>
            </w:r>
          </w:p>
          <w:p w:rsidR="00000000" w:rsidRPr="00733CE5" w:rsidP="00733CE5">
            <w:pPr>
              <w:pStyle w:val="ListBullet"/>
            </w:pPr>
            <w:r w:rsidRPr="00733CE5">
              <w:t>Assessment methods must be by direct observation of tasks and include que</w:t>
            </w:r>
            <w:r w:rsidRPr="00733CE5">
              <w:t>stioning on underpinning knowledge to ensure correct interpretation and application.</w:t>
            </w:r>
          </w:p>
          <w:p w:rsidR="00000000" w:rsidRPr="00733CE5" w:rsidP="00733CE5">
            <w:pPr>
              <w:pStyle w:val="ListBullet"/>
            </w:pPr>
            <w:r w:rsidRPr="00733CE5">
              <w:t>Assessment may be applied under project-related conditions (real or simulated) and require evidence of process.</w:t>
            </w:r>
          </w:p>
          <w:p w:rsidR="00000000" w:rsidRPr="00733CE5" w:rsidP="00733CE5">
            <w:pPr>
              <w:pStyle w:val="ListBullet"/>
            </w:pPr>
            <w:r w:rsidRPr="00733CE5">
              <w:t>Assessment must confirm a reasonable inference that compete</w:t>
            </w:r>
            <w:r w:rsidRPr="00733CE5">
              <w:t xml:space="preserve">ncy is not only able to be satisfied under the particular circumstance, but is able to be transferred to </w:t>
            </w:r>
            <w:r w:rsidRPr="00733CE5">
              <w:t>other circumstances.</w:t>
            </w:r>
          </w:p>
          <w:p w:rsidR="00000000" w:rsidP="00733CE5">
            <w:pPr>
              <w:pStyle w:val="ListBullet"/>
              <w:rPr>
                <w:lang w:val="en-NZ"/>
              </w:rPr>
            </w:pPr>
            <w:r w:rsidRPr="00733CE5">
              <w:t>Assessment may be in conjunction with assessment of other units of competency where required.</w:t>
            </w:r>
          </w:p>
        </w:tc>
      </w:tr>
      <w:tr w:rsidTr="00733C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Assessment processes and techniques must be culturally appropriate and appropriate to the language and literacy capacity of the candidate and the work being performed.</w:t>
            </w:r>
          </w:p>
        </w:tc>
      </w:tr>
    </w:tbl>
    <w:p w:rsidR="00F75DF5" w:rsidP="00733CE5">
      <w:pPr>
        <w:pStyle w:val="BodyText"/>
      </w:pPr>
    </w:p>
    <w:p w:rsidR="00F75DF5" w:rsidP="00733CE5">
      <w:pPr>
        <w:pStyle w:val="BodyText"/>
      </w:pPr>
    </w:p>
    <w:p w:rsidR="00000000" w:rsidRPr="00733CE5" w:rsidP="00733CE5">
      <w:pPr>
        <w:pStyle w:val="Heading1"/>
      </w:pPr>
      <w:bookmarkStart w:id="11" w:name="O_519655"/>
      <w:bookmarkEnd w:id="11"/>
      <w:r w:rsidRPr="00733CE5">
        <w:t>Range Statement</w:t>
      </w:r>
    </w:p>
    <w:tbl>
      <w:tblPr>
        <w:tblW w:w="9570" w:type="dxa"/>
        <w:tblLayout w:type="fixed"/>
        <w:tblCellMar>
          <w:left w:w="62" w:type="dxa"/>
          <w:right w:w="62" w:type="dxa"/>
        </w:tblCellMar>
        <w:tblLook w:val="0000"/>
      </w:tblPr>
      <w:tblGrid>
        <w:gridCol w:w="2867"/>
        <w:gridCol w:w="6703"/>
      </w:tblGrid>
      <w:tr w:rsidTr="00733CE5">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3CE5">
            <w:pPr>
              <w:pStyle w:val="BodyText"/>
              <w:rPr>
                <w:lang w:val="en-NZ"/>
              </w:rPr>
            </w:pPr>
            <w:r w:rsidRPr="00733CE5">
              <w:t>The range statement relates to the unit of competen</w:t>
            </w:r>
            <w:r w:rsidRPr="00733CE5">
              <w:t>cy as a whole. It allows for different work environments and situations that may affect performance. Bold italicised wording, if used in the performance criteria, is detailed below. Essential operating conditions that may be present with training and asses</w:t>
            </w:r>
            <w:r w:rsidRPr="00733CE5">
              <w:t>sment (depending on the work situation, needs of the candidate, accessibility of the item, and local industry and regional contexts) may also be included.</w:t>
            </w:r>
          </w:p>
        </w:tc>
      </w:tr>
      <w:tr w:rsidTr="00733CE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Sustainability</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Sustainability is used to mean the entire sustainable performance of the organisation/plant, including:</w:t>
            </w:r>
          </w:p>
          <w:p w:rsidR="00000000" w:rsidRPr="00733CE5" w:rsidP="00733CE5">
            <w:pPr>
              <w:pStyle w:val="ListBullet"/>
            </w:pPr>
            <w:r w:rsidRPr="00733CE5">
              <w:t>meeting all regulatory requirements</w:t>
            </w:r>
          </w:p>
          <w:p w:rsidR="00000000" w:rsidRPr="00733CE5" w:rsidP="00733CE5">
            <w:pPr>
              <w:pStyle w:val="ListBullet"/>
            </w:pPr>
            <w:r w:rsidRPr="00733CE5">
              <w:t>conforming to all industry covenants, protocols and best practice guides</w:t>
            </w:r>
          </w:p>
          <w:p w:rsidR="00000000" w:rsidRPr="00733CE5" w:rsidP="00733CE5">
            <w:pPr>
              <w:pStyle w:val="ListBullet"/>
            </w:pPr>
            <w:r w:rsidRPr="00733CE5">
              <w:t>minimising ecological and environmental fo</w:t>
            </w:r>
            <w:r w:rsidRPr="00733CE5">
              <w:t>otprint of process, plant and product</w:t>
            </w:r>
          </w:p>
          <w:p w:rsidR="00000000" w:rsidRPr="00733CE5" w:rsidP="00733CE5">
            <w:pPr>
              <w:pStyle w:val="ListBullet"/>
            </w:pPr>
            <w:r w:rsidRPr="00733CE5">
              <w:t>maximising economic benefit of process plant and product to the organisation and the community</w:t>
            </w:r>
          </w:p>
          <w:p w:rsidR="00000000" w:rsidP="00733CE5">
            <w:pPr>
              <w:pStyle w:val="ListBullet"/>
              <w:rPr>
                <w:lang w:val="en-NZ"/>
              </w:rPr>
            </w:pPr>
            <w:r w:rsidRPr="00733CE5">
              <w:t>minimising the negative WHS impact on employees, community and customer</w:t>
            </w:r>
          </w:p>
        </w:tc>
      </w:tr>
      <w:tr w:rsidTr="00733CE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Appropriate licensed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Appropriate technical and professional assistance may include:</w:t>
            </w:r>
          </w:p>
          <w:p w:rsidR="00000000" w:rsidRPr="00733CE5" w:rsidP="00733CE5">
            <w:pPr>
              <w:pStyle w:val="ListBullet"/>
            </w:pPr>
            <w:r w:rsidRPr="00733CE5">
              <w:t>technical support and advice relating to elements which have intrinsic dangers, such as:</w:t>
            </w:r>
          </w:p>
          <w:p w:rsidR="00000000" w:rsidRPr="00733CE5" w:rsidP="00733CE5">
            <w:pPr>
              <w:pStyle w:val="ListBullet2"/>
            </w:pPr>
            <w:r w:rsidRPr="00733CE5">
              <w:t>high pressure</w:t>
            </w:r>
          </w:p>
          <w:p w:rsidR="00000000" w:rsidRPr="00733CE5" w:rsidP="00733CE5">
            <w:pPr>
              <w:pStyle w:val="ListBullet2"/>
            </w:pPr>
            <w:r w:rsidRPr="00733CE5">
              <w:t>energised fluid vessels</w:t>
            </w:r>
          </w:p>
          <w:p w:rsidR="00000000" w:rsidRPr="00733CE5" w:rsidP="00733CE5">
            <w:pPr>
              <w:pStyle w:val="ListBullet2"/>
            </w:pPr>
            <w:r w:rsidRPr="00733CE5">
              <w:t xml:space="preserve">high </w:t>
            </w:r>
            <w:r w:rsidRPr="00733CE5">
              <w:t>temperatures and heat energy capacity</w:t>
            </w:r>
          </w:p>
          <w:p w:rsidR="00000000" w:rsidRPr="00733CE5" w:rsidP="00733CE5">
            <w:pPr>
              <w:pStyle w:val="ListBullet2"/>
            </w:pPr>
            <w:r w:rsidRPr="00733CE5">
              <w:t>wiring with high current control voltages above extra low voltage</w:t>
            </w:r>
          </w:p>
          <w:p w:rsidR="00000000" w:rsidRPr="00733CE5" w:rsidP="00733CE5">
            <w:pPr>
              <w:pStyle w:val="ListBullet"/>
            </w:pPr>
            <w:r w:rsidRPr="00733CE5">
              <w:t>professional support for technologies, such as:</w:t>
            </w:r>
          </w:p>
          <w:p w:rsidR="00000000" w:rsidRPr="00733CE5" w:rsidP="00733CE5">
            <w:pPr>
              <w:pStyle w:val="ListBullet2"/>
            </w:pPr>
            <w:r w:rsidRPr="00733CE5">
              <w:t>specialist electric motor drives and controllers</w:t>
            </w:r>
          </w:p>
          <w:p w:rsidR="00000000" w:rsidRPr="00733CE5" w:rsidP="00733CE5">
            <w:pPr>
              <w:pStyle w:val="ListBullet2"/>
            </w:pPr>
            <w:r w:rsidRPr="00733CE5">
              <w:t>specialist materials, plastics, metal alloys and nano materials</w:t>
            </w:r>
          </w:p>
          <w:p w:rsidR="00000000" w:rsidP="00733CE5">
            <w:pPr>
              <w:pStyle w:val="ListBullet2"/>
              <w:rPr>
                <w:lang w:val="en-NZ"/>
              </w:rPr>
            </w:pPr>
            <w:r w:rsidRPr="00733CE5">
              <w:t>special processes, foundry, alloy welding, heat treatment, sealing and fastening</w:t>
            </w:r>
          </w:p>
        </w:tc>
      </w:tr>
      <w:tr w:rsidTr="00733CE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WHS, regulatory requirements and enterprise procedures may include:</w:t>
            </w:r>
          </w:p>
          <w:p w:rsidR="00000000" w:rsidRPr="00733CE5" w:rsidP="00733CE5">
            <w:pPr>
              <w:pStyle w:val="ListBullet"/>
            </w:pPr>
            <w:r w:rsidRPr="00733CE5">
              <w:t>WHS Acts and regulations</w:t>
            </w:r>
          </w:p>
          <w:p w:rsidR="00000000" w:rsidRPr="00733CE5" w:rsidP="00733CE5">
            <w:pPr>
              <w:pStyle w:val="ListBullet"/>
            </w:pPr>
            <w:r w:rsidRPr="00733CE5">
              <w:t>relevant standards</w:t>
            </w:r>
          </w:p>
          <w:p w:rsidR="00000000" w:rsidRPr="00733CE5" w:rsidP="00733CE5">
            <w:pPr>
              <w:pStyle w:val="ListBullet"/>
            </w:pPr>
            <w:r w:rsidRPr="00733CE5">
              <w:t>codes of practice from Australian and overseas engineering and technical associations and societies</w:t>
            </w:r>
          </w:p>
          <w:p w:rsidR="00000000" w:rsidRPr="00733CE5" w:rsidP="00733CE5">
            <w:pPr>
              <w:pStyle w:val="ListBullet"/>
            </w:pPr>
            <w:r w:rsidRPr="00733CE5">
              <w:t>ministerial directives</w:t>
            </w:r>
          </w:p>
          <w:p w:rsidR="00000000" w:rsidRPr="00733CE5" w:rsidP="00733CE5">
            <w:pPr>
              <w:pStyle w:val="ListBullet"/>
            </w:pPr>
            <w:r w:rsidRPr="00733CE5">
              <w:t>risk assessments</w:t>
            </w:r>
          </w:p>
          <w:p w:rsidR="00000000" w:rsidRPr="00733CE5" w:rsidP="00733CE5">
            <w:pPr>
              <w:pStyle w:val="ListBullet"/>
            </w:pPr>
            <w:r w:rsidRPr="00733CE5">
              <w:t>saf</w:t>
            </w:r>
            <w:r w:rsidRPr="00733CE5">
              <w:t>e work practices</w:t>
            </w:r>
          </w:p>
          <w:p w:rsidR="00000000" w:rsidP="00733CE5">
            <w:pPr>
              <w:pStyle w:val="ListBullet"/>
              <w:rPr>
                <w:lang w:val="en-NZ"/>
              </w:rPr>
            </w:pPr>
            <w:r w:rsidRPr="00733CE5">
              <w:t>state and territory regulatory requirements applying to electrical work</w:t>
            </w:r>
          </w:p>
        </w:tc>
      </w:tr>
      <w:tr w:rsidTr="00733CE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CE5">
            <w:pPr>
              <w:pStyle w:val="BodyText"/>
              <w:rPr>
                <w:lang w:val="en-NZ"/>
              </w:rPr>
            </w:pPr>
            <w:r w:rsidRPr="00733CE5">
              <w:rPr>
                <w:rStyle w:val="SpecialBold"/>
              </w:rPr>
              <w:t>Standards and codes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CE5" w:rsidP="00733CE5">
            <w:pPr>
              <w:pStyle w:val="BodyText"/>
            </w:pPr>
            <w:r w:rsidRPr="00733CE5">
              <w:t>Standards and codes refer to all relevant Australian and international standards and codes applicable to a particular thermodynamic system task</w:t>
            </w:r>
          </w:p>
        </w:tc>
      </w:tr>
    </w:tbl>
    <w:p w:rsidR="00F75DF5" w:rsidP="00733CE5">
      <w:pPr>
        <w:pStyle w:val="BodyText"/>
      </w:pPr>
    </w:p>
    <w:p w:rsidR="00F75DF5" w:rsidP="00733CE5">
      <w:pPr>
        <w:pStyle w:val="BodyText"/>
      </w:pPr>
    </w:p>
    <w:p w:rsidR="00000000" w:rsidRPr="00733CE5" w:rsidP="00733CE5">
      <w:pPr>
        <w:pStyle w:val="Heading1"/>
      </w:pPr>
      <w:bookmarkStart w:id="12" w:name="O_519654"/>
      <w:bookmarkEnd w:id="12"/>
      <w:r w:rsidRPr="00733CE5">
        <w:t>Unit Sector(s)</w:t>
      </w:r>
    </w:p>
    <w:tbl>
      <w:tblPr>
        <w:tblW w:w="0" w:type="auto"/>
        <w:tblCellMar>
          <w:left w:w="62" w:type="dxa"/>
          <w:right w:w="62" w:type="dxa"/>
        </w:tblCellMar>
        <w:tblLook w:val="0000"/>
      </w:tblPr>
      <w:tblGrid>
        <w:gridCol w:w="2576"/>
        <w:gridCol w:w="6620"/>
      </w:tblGrid>
      <w:tr w:rsidTr="00F75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33CE5">
            <w:pPr>
              <w:pStyle w:val="BodyText"/>
              <w:rPr>
                <w:lang w:val="en-NZ"/>
              </w:rPr>
            </w:pPr>
          </w:p>
        </w:tc>
      </w:tr>
      <w:tr w:rsidTr="00F75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CE5">
            <w:pPr>
              <w:pStyle w:val="BodyText"/>
              <w:rPr>
                <w:lang w:val="en-NZ"/>
              </w:rPr>
            </w:pPr>
            <w:r w:rsidRPr="00733CE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33CE5" w:rsidP="00733CE5">
            <w:pPr>
              <w:pStyle w:val="BodyText"/>
            </w:pPr>
            <w:r w:rsidRPr="00733CE5">
              <w:t>Engineering science</w:t>
            </w:r>
          </w:p>
        </w:tc>
      </w:tr>
    </w:tbl>
    <w:p w:rsidR="00000000" w:rsidRPr="00733CE5" w:rsidP="00733CE5">
      <w:pPr>
        <w:pStyle w:val="BodyText"/>
      </w:pPr>
    </w:p>
    <w:p w:rsidR="00000000" w:rsidRPr="00733CE5" w:rsidP="00733CE5">
      <w:pPr>
        <w:pStyle w:val="AllowPageBreak"/>
      </w:pPr>
    </w:p>
    <w:p w:rsidR="00000000" w:rsidRPr="00733CE5" w:rsidP="00733CE5">
      <w:pPr>
        <w:pStyle w:val="Heading1"/>
      </w:pPr>
      <w:bookmarkStart w:id="13" w:name="O_519653"/>
      <w:bookmarkEnd w:id="13"/>
      <w:r w:rsidRPr="00733CE5">
        <w:t>Custom Content Section</w:t>
      </w:r>
    </w:p>
    <w:p w:rsidR="00000000" w:rsidRPr="00733CE5" w:rsidP="00733CE5">
      <w:pPr>
        <w:pStyle w:val="BodyText"/>
      </w:pPr>
      <w:r w:rsidRPr="00733CE5">
        <w:t>Not applicable.</w:t>
      </w:r>
    </w:p>
    <w:p w:rsidR="00000000" w:rsidRPr="00733CE5" w:rsidP="00733CE5"/>
    <w:sectPr w:rsidSect="00733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rsidRPr="00F75DF5" w:rsidP="00F75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5" w:rsidP="00733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5DF5" w:rsidP="00733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5DF5" w:rsidP="00733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rsidRPr="00F75DF5" w:rsidP="00F75D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5" w:rsidRPr="002D2AF8" w:rsidP="00733CE5">
    <w:pPr>
      <w:pStyle w:val="Header"/>
      <w:framePr w:wrap="around"/>
    </w:pPr>
    <w:r>
      <w:fldChar w:fldCharType="begin"/>
    </w:r>
    <w:r>
      <w:instrText xml:space="preserve"> TITLE   \* MERGEFORMAT </w:instrText>
    </w:r>
    <w:r>
      <w:fldChar w:fldCharType="separate"/>
    </w:r>
    <w:r>
      <w:t>MEM23114A Evaluate thermodynamic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F75DF5" w:rsidP="00733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2A1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2B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60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CE5"/>
    <w:pPr>
      <w:spacing w:before="360" w:after="60"/>
      <w:outlineLvl w:val="0"/>
    </w:pPr>
    <w:rPr>
      <w:sz w:val="32"/>
    </w:rPr>
  </w:style>
  <w:style w:type="paragraph" w:styleId="Heading2">
    <w:name w:val="heading 2"/>
    <w:basedOn w:val="HeadingBase"/>
    <w:next w:val="BodyText"/>
    <w:link w:val="Heading2Char"/>
    <w:qFormat/>
    <w:rsid w:val="00733CE5"/>
    <w:pPr>
      <w:keepLines/>
      <w:spacing w:before="240" w:after="120"/>
      <w:outlineLvl w:val="1"/>
    </w:pPr>
    <w:rPr>
      <w:sz w:val="28"/>
      <w:szCs w:val="40"/>
    </w:rPr>
  </w:style>
  <w:style w:type="paragraph" w:styleId="Heading3">
    <w:name w:val="heading 3"/>
    <w:basedOn w:val="HeadingBase"/>
    <w:next w:val="BodyText"/>
    <w:link w:val="Heading3Char"/>
    <w:qFormat/>
    <w:rsid w:val="00733CE5"/>
    <w:pPr>
      <w:spacing w:before="180" w:after="120"/>
      <w:outlineLvl w:val="2"/>
    </w:pPr>
    <w:rPr>
      <w:spacing w:val="-10"/>
      <w:kern w:val="32"/>
    </w:rPr>
  </w:style>
  <w:style w:type="paragraph" w:styleId="Heading4">
    <w:name w:val="heading 4"/>
    <w:basedOn w:val="HeadingBase"/>
    <w:next w:val="BodyText"/>
    <w:link w:val="Heading4Char"/>
    <w:qFormat/>
    <w:rsid w:val="00733CE5"/>
    <w:pPr>
      <w:spacing w:before="160" w:after="120"/>
      <w:outlineLvl w:val="3"/>
    </w:pPr>
    <w:rPr>
      <w:sz w:val="22"/>
    </w:rPr>
  </w:style>
  <w:style w:type="paragraph" w:styleId="Heading5">
    <w:name w:val="heading 5"/>
    <w:basedOn w:val="HeadingBase"/>
    <w:next w:val="Normal"/>
    <w:link w:val="Heading5Char"/>
    <w:qFormat/>
    <w:rsid w:val="00733CE5"/>
    <w:pPr>
      <w:spacing w:before="80"/>
      <w:outlineLvl w:val="4"/>
    </w:pPr>
    <w:rPr>
      <w:color w:val="918585"/>
      <w:sz w:val="20"/>
    </w:rPr>
  </w:style>
  <w:style w:type="paragraph" w:styleId="Heading6">
    <w:name w:val="heading 6"/>
    <w:basedOn w:val="HeadingBase"/>
    <w:next w:val="Normal"/>
    <w:link w:val="Heading6Char"/>
    <w:qFormat/>
    <w:rsid w:val="00733CE5"/>
    <w:pPr>
      <w:spacing w:before="60"/>
      <w:outlineLvl w:val="5"/>
    </w:pPr>
    <w:rPr>
      <w:color w:val="918585"/>
      <w:sz w:val="20"/>
    </w:rPr>
  </w:style>
  <w:style w:type="paragraph" w:styleId="Heading7">
    <w:name w:val="heading 7"/>
    <w:basedOn w:val="Normal"/>
    <w:next w:val="Normal"/>
    <w:link w:val="Heading7Char"/>
    <w:qFormat/>
    <w:rsid w:val="00733CE5"/>
    <w:pPr>
      <w:ind w:left="720"/>
      <w:outlineLvl w:val="6"/>
    </w:pPr>
    <w:rPr>
      <w:i/>
    </w:rPr>
  </w:style>
  <w:style w:type="paragraph" w:styleId="Heading8">
    <w:name w:val="heading 8"/>
    <w:basedOn w:val="Normal"/>
    <w:next w:val="Normal"/>
    <w:link w:val="Heading8Char"/>
    <w:qFormat/>
    <w:rsid w:val="00733CE5"/>
    <w:pPr>
      <w:ind w:left="720"/>
      <w:outlineLvl w:val="7"/>
    </w:pPr>
    <w:rPr>
      <w:i/>
    </w:rPr>
  </w:style>
  <w:style w:type="paragraph" w:styleId="Heading9">
    <w:name w:val="heading 9"/>
    <w:basedOn w:val="Normal"/>
    <w:next w:val="Normal"/>
    <w:link w:val="Heading9Char"/>
    <w:qFormat/>
    <w:rsid w:val="00733CE5"/>
    <w:pPr>
      <w:ind w:left="720"/>
      <w:outlineLvl w:val="8"/>
    </w:pPr>
    <w:rPr>
      <w:i/>
    </w:rPr>
  </w:style>
  <w:style w:type="character" w:default="1" w:styleId="DefaultParagraphFont">
    <w:name w:val="Default Paragraph Font"/>
    <w:uiPriority w:val="1"/>
    <w:unhideWhenUsed/>
    <w:rsid w:val="00733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CE5"/>
  </w:style>
  <w:style w:type="character" w:customStyle="1" w:styleId="Heading1Char">
    <w:name w:val="Heading 1 Char"/>
    <w:basedOn w:val="DefaultParagraphFont"/>
    <w:link w:val="Heading1"/>
    <w:rsid w:val="00733CE5"/>
    <w:rPr>
      <w:rFonts w:ascii="Times New Roman" w:eastAsia="Times New Roman" w:hAnsi="Times New Roman" w:cs="Times New Roman"/>
      <w:b/>
      <w:sz w:val="32"/>
      <w:szCs w:val="20"/>
      <w:lang w:eastAsia="en-US"/>
    </w:rPr>
  </w:style>
  <w:style w:type="paragraph" w:styleId="BodyText">
    <w:name w:val="Body Text"/>
    <w:basedOn w:val="Normal"/>
    <w:link w:val="BodyTextChar"/>
    <w:rsid w:val="00733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CE5"/>
    <w:rPr>
      <w:rFonts w:ascii="Times New Roman" w:eastAsia="Times New Roman" w:hAnsi="Times New Roman" w:cs="Times New Roman"/>
      <w:sz w:val="24"/>
      <w:lang w:eastAsia="en-US"/>
    </w:rPr>
  </w:style>
  <w:style w:type="paragraph" w:styleId="ListBullet">
    <w:name w:val="List Bullet"/>
    <w:basedOn w:val="List"/>
    <w:rsid w:val="00733CE5"/>
    <w:pPr>
      <w:numPr>
        <w:numId w:val="13"/>
      </w:numPr>
      <w:tabs>
        <w:tab w:val="clear" w:pos="340"/>
      </w:tabs>
      <w:spacing w:before="40" w:after="40"/>
    </w:pPr>
  </w:style>
  <w:style w:type="character" w:customStyle="1" w:styleId="SpecialBold">
    <w:name w:val="Special Bold"/>
    <w:basedOn w:val="DefaultParagraphFont"/>
    <w:rsid w:val="00733CE5"/>
    <w:rPr>
      <w:b/>
      <w:spacing w:val="0"/>
    </w:rPr>
  </w:style>
  <w:style w:type="paragraph" w:styleId="ListBullet2">
    <w:name w:val="List Bullet 2"/>
    <w:basedOn w:val="List2"/>
    <w:rsid w:val="00733CE5"/>
    <w:pPr>
      <w:numPr>
        <w:numId w:val="14"/>
      </w:numPr>
      <w:tabs>
        <w:tab w:val="clear" w:pos="680"/>
      </w:tabs>
    </w:pPr>
  </w:style>
  <w:style w:type="paragraph" w:customStyle="1" w:styleId="SuperHeading">
    <w:name w:val="SuperHeading"/>
    <w:basedOn w:val="Normal"/>
    <w:rsid w:val="00733CE5"/>
    <w:pPr>
      <w:spacing w:before="240" w:after="120"/>
      <w:outlineLvl w:val="0"/>
    </w:pPr>
    <w:rPr>
      <w:rFonts w:ascii="Times New Roman" w:hAnsi="Times New Roman"/>
      <w:b/>
      <w:sz w:val="32"/>
    </w:rPr>
  </w:style>
  <w:style w:type="paragraph" w:customStyle="1" w:styleId="AllowPageBreak">
    <w:name w:val="AllowPageBreak"/>
    <w:rsid w:val="00733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CE5"/>
    <w:rPr>
      <w:rFonts w:ascii="Courier New" w:eastAsia="Times New Roman" w:hAnsi="Courier New" w:cs="Times New Roman"/>
      <w:i/>
      <w:szCs w:val="20"/>
      <w:lang w:eastAsia="en-US"/>
    </w:rPr>
  </w:style>
  <w:style w:type="paragraph" w:customStyle="1" w:styleId="HeadingBase">
    <w:name w:val="Heading Base"/>
    <w:rsid w:val="00733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CE5"/>
    <w:pPr>
      <w:tabs>
        <w:tab w:val="right" w:leader="dot" w:pos="9072"/>
      </w:tabs>
      <w:ind w:left="567"/>
    </w:pPr>
    <w:rPr>
      <w:szCs w:val="22"/>
    </w:rPr>
  </w:style>
  <w:style w:type="paragraph" w:customStyle="1" w:styleId="TOCBase">
    <w:name w:val="TOC Base"/>
    <w:rsid w:val="00733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CE5"/>
    <w:pPr>
      <w:tabs>
        <w:tab w:val="right" w:leader="dot" w:pos="9072"/>
      </w:tabs>
      <w:spacing w:before="40" w:after="40"/>
      <w:ind w:left="284"/>
    </w:pPr>
    <w:rPr>
      <w:rFonts w:ascii="Times New Roman" w:hAnsi="Times New Roman"/>
    </w:rPr>
  </w:style>
  <w:style w:type="paragraph" w:styleId="TOC1">
    <w:name w:val="toc 1"/>
    <w:basedOn w:val="TOCBase"/>
    <w:next w:val="Normal"/>
    <w:rsid w:val="00733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CE5"/>
    <w:rPr>
      <w:rFonts w:ascii="Times New Roman" w:eastAsia="Times New Roman" w:hAnsi="Times New Roman" w:cs="Times New Roman"/>
      <w:sz w:val="16"/>
      <w:lang w:eastAsia="en-US"/>
    </w:rPr>
  </w:style>
  <w:style w:type="paragraph" w:styleId="Title">
    <w:name w:val="Title"/>
    <w:basedOn w:val="HeadingBase"/>
    <w:link w:val="TitleChar"/>
    <w:qFormat/>
    <w:rsid w:val="00733CE5"/>
    <w:pPr>
      <w:spacing w:before="5040"/>
      <w:jc w:val="center"/>
    </w:pPr>
    <w:rPr>
      <w:sz w:val="48"/>
      <w:szCs w:val="72"/>
      <w:lang w:val="en-US"/>
    </w:rPr>
  </w:style>
  <w:style w:type="character" w:customStyle="1" w:styleId="TitleChar">
    <w:name w:val="Title Char"/>
    <w:basedOn w:val="DefaultParagraphFont"/>
    <w:link w:val="Title"/>
    <w:rsid w:val="00733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CE5"/>
    <w:pPr>
      <w:tabs>
        <w:tab w:val="left" w:pos="3600"/>
        <w:tab w:val="left" w:pos="3958"/>
      </w:tabs>
    </w:pPr>
  </w:style>
  <w:style w:type="paragraph" w:styleId="List">
    <w:name w:val="List"/>
    <w:basedOn w:val="BodyText"/>
    <w:next w:val="BodyText"/>
    <w:rsid w:val="00733CE5"/>
    <w:pPr>
      <w:tabs>
        <w:tab w:val="left" w:pos="340"/>
      </w:tabs>
      <w:spacing w:before="60" w:after="60"/>
      <w:ind w:left="340" w:hanging="340"/>
    </w:pPr>
  </w:style>
  <w:style w:type="paragraph" w:customStyle="1" w:styleId="Note">
    <w:name w:val="Note"/>
    <w:basedOn w:val="BodyText"/>
    <w:rsid w:val="00733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CE5"/>
    <w:pPr>
      <w:framePr w:wrap="auto" w:hAnchor="text" w:y="6049"/>
    </w:pPr>
    <w:rPr>
      <w:color w:val="000000"/>
      <w:sz w:val="40"/>
    </w:rPr>
  </w:style>
  <w:style w:type="paragraph" w:customStyle="1" w:styleId="TOCTitle">
    <w:name w:val="TOCTitle"/>
    <w:basedOn w:val="Heading1"/>
    <w:rsid w:val="00733CE5"/>
    <w:pPr>
      <w:spacing w:after="240"/>
      <w:jc w:val="center"/>
      <w:outlineLvl w:val="9"/>
    </w:pPr>
    <w:rPr>
      <w:caps/>
    </w:rPr>
  </w:style>
  <w:style w:type="paragraph" w:customStyle="1" w:styleId="Version">
    <w:name w:val="Version"/>
    <w:rsid w:val="00733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CE5"/>
    <w:pPr>
      <w:keepNext w:val="0"/>
      <w:tabs>
        <w:tab w:val="right" w:pos="4176"/>
      </w:tabs>
      <w:ind w:left="198" w:hanging="198"/>
    </w:pPr>
    <w:rPr>
      <w:rFonts w:ascii="Garamond" w:hAnsi="Garamond"/>
    </w:rPr>
  </w:style>
  <w:style w:type="paragraph" w:styleId="IndexHeading">
    <w:name w:val="index heading"/>
    <w:basedOn w:val="Normal"/>
    <w:next w:val="Index1"/>
    <w:semiHidden/>
    <w:rsid w:val="00733CE5"/>
    <w:pPr>
      <w:spacing w:before="120" w:after="120"/>
    </w:pPr>
    <w:rPr>
      <w:rFonts w:ascii="Arial" w:hAnsi="Arial"/>
      <w:b/>
      <w:color w:val="918585"/>
      <w:sz w:val="24"/>
    </w:rPr>
  </w:style>
  <w:style w:type="paragraph" w:styleId="Header">
    <w:name w:val="header"/>
    <w:basedOn w:val="Normal"/>
    <w:link w:val="HeaderChar"/>
    <w:rsid w:val="00733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CE5"/>
    <w:rPr>
      <w:rFonts w:ascii="Times New Roman" w:eastAsia="Times New Roman" w:hAnsi="Times New Roman" w:cs="Times New Roman"/>
      <w:sz w:val="16"/>
      <w:szCs w:val="20"/>
      <w:lang w:val="en-GB" w:eastAsia="en-US"/>
    </w:rPr>
  </w:style>
  <w:style w:type="paragraph" w:customStyle="1" w:styleId="Chapter">
    <w:name w:val="Chapter"/>
    <w:basedOn w:val="Normal"/>
    <w:rsid w:val="00733CE5"/>
    <w:pPr>
      <w:spacing w:before="240"/>
    </w:pPr>
    <w:rPr>
      <w:rFonts w:ascii="Times New Roman" w:hAnsi="Times New Roman"/>
      <w:smallCaps/>
      <w:spacing w:val="80"/>
      <w:sz w:val="28"/>
    </w:rPr>
  </w:style>
  <w:style w:type="paragraph" w:customStyle="1" w:styleId="InChapter">
    <w:name w:val="InChapter"/>
    <w:basedOn w:val="Heading3"/>
    <w:rsid w:val="00733CE5"/>
    <w:pPr>
      <w:spacing w:after="240"/>
      <w:outlineLvl w:val="9"/>
    </w:pPr>
    <w:rPr>
      <w:noProof/>
    </w:rPr>
  </w:style>
  <w:style w:type="paragraph" w:styleId="Index2">
    <w:name w:val="index 2"/>
    <w:basedOn w:val="Normal"/>
    <w:next w:val="Normal"/>
    <w:semiHidden/>
    <w:rsid w:val="00733CE5"/>
    <w:pPr>
      <w:tabs>
        <w:tab w:val="right" w:pos="4176"/>
      </w:tabs>
      <w:ind w:left="568" w:hanging="284"/>
    </w:pPr>
    <w:rPr>
      <w:rFonts w:ascii="Garamond" w:hAnsi="Garamond"/>
    </w:rPr>
  </w:style>
  <w:style w:type="paragraph" w:customStyle="1" w:styleId="Byline">
    <w:name w:val="Byline"/>
    <w:rsid w:val="00733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CE5"/>
    <w:pPr>
      <w:tabs>
        <w:tab w:val="clear" w:pos="3600"/>
        <w:tab w:val="clear" w:pos="3958"/>
      </w:tabs>
      <w:jc w:val="right"/>
    </w:pPr>
  </w:style>
  <w:style w:type="character" w:styleId="Emphasis">
    <w:name w:val="Emphasis"/>
    <w:basedOn w:val="DefaultParagraphFont"/>
    <w:qFormat/>
    <w:rsid w:val="00733CE5"/>
    <w:rPr>
      <w:i/>
    </w:rPr>
  </w:style>
  <w:style w:type="paragraph" w:styleId="Caption">
    <w:name w:val="caption"/>
    <w:basedOn w:val="BodyText"/>
    <w:next w:val="Normal"/>
    <w:qFormat/>
    <w:rsid w:val="00733CE5"/>
    <w:pPr>
      <w:framePr w:w="2268" w:hSpace="181" w:vSpace="181" w:wrap="around" w:vAnchor="text" w:hAnchor="page" w:x="1135" w:y="285" w:anchorLock="1"/>
    </w:pPr>
    <w:rPr>
      <w:i/>
    </w:rPr>
  </w:style>
  <w:style w:type="paragraph" w:customStyle="1" w:styleId="MiniTOCTitle">
    <w:name w:val="MiniTOCTitle"/>
    <w:basedOn w:val="Heading4"/>
    <w:rsid w:val="00733CE5"/>
    <w:pPr>
      <w:spacing w:before="240"/>
      <w:outlineLvl w:val="9"/>
    </w:pPr>
    <w:rPr>
      <w:noProof/>
      <w:sz w:val="24"/>
    </w:rPr>
  </w:style>
  <w:style w:type="paragraph" w:customStyle="1" w:styleId="MiniTOCItem">
    <w:name w:val="MiniTOCItem"/>
    <w:basedOn w:val="ListBullet"/>
    <w:rsid w:val="00733CE5"/>
    <w:pPr>
      <w:numPr>
        <w:numId w:val="0"/>
      </w:numPr>
      <w:tabs>
        <w:tab w:val="right" w:leader="dot" w:pos="6521"/>
      </w:tabs>
      <w:spacing w:before="0" w:after="0"/>
    </w:pPr>
  </w:style>
  <w:style w:type="paragraph" w:customStyle="1" w:styleId="TOFTitle">
    <w:name w:val="TOFTitle"/>
    <w:basedOn w:val="TOCTitle"/>
    <w:rsid w:val="00733CE5"/>
  </w:style>
  <w:style w:type="paragraph" w:styleId="TableofFigures">
    <w:name w:val="table of figures"/>
    <w:basedOn w:val="Normal"/>
    <w:next w:val="Normal"/>
    <w:semiHidden/>
    <w:rsid w:val="00733CE5"/>
    <w:pPr>
      <w:tabs>
        <w:tab w:val="right" w:leader="dot" w:pos="9072"/>
      </w:tabs>
      <w:ind w:left="970" w:hanging="403"/>
    </w:pPr>
    <w:rPr>
      <w:rFonts w:ascii="Times New Roman" w:hAnsi="Times New Roman"/>
      <w:b/>
    </w:rPr>
  </w:style>
  <w:style w:type="paragraph" w:styleId="ListNumber">
    <w:name w:val="List Number"/>
    <w:basedOn w:val="List"/>
    <w:rsid w:val="00733CE5"/>
    <w:pPr>
      <w:numPr>
        <w:numId w:val="11"/>
      </w:numPr>
    </w:pPr>
  </w:style>
  <w:style w:type="character" w:customStyle="1" w:styleId="WingdingSymbols">
    <w:name w:val="Wingding Symbols"/>
    <w:rsid w:val="00733CE5"/>
    <w:rPr>
      <w:rFonts w:ascii="Wingdings" w:hAnsi="Wingdings"/>
    </w:rPr>
  </w:style>
  <w:style w:type="paragraph" w:customStyle="1" w:styleId="TableHeading">
    <w:name w:val="Table Heading"/>
    <w:basedOn w:val="HeadingBase"/>
    <w:rsid w:val="00733CE5"/>
    <w:pPr>
      <w:keepLines/>
      <w:pBdr>
        <w:bottom w:val="single" w:sz="6" w:space="1" w:color="918585"/>
      </w:pBdr>
      <w:spacing w:before="240"/>
    </w:pPr>
  </w:style>
  <w:style w:type="character" w:customStyle="1" w:styleId="HotSpot">
    <w:name w:val="HotSpot"/>
    <w:rsid w:val="00733CE5"/>
    <w:rPr>
      <w:color w:val="0033CC"/>
      <w:u w:val="none"/>
    </w:rPr>
  </w:style>
  <w:style w:type="paragraph" w:customStyle="1" w:styleId="BodyTextRight">
    <w:name w:val="Body Text Right"/>
    <w:basedOn w:val="BodyText"/>
    <w:rsid w:val="00733CE5"/>
    <w:pPr>
      <w:spacing w:before="0" w:after="0"/>
      <w:jc w:val="right"/>
    </w:pPr>
  </w:style>
  <w:style w:type="paragraph" w:styleId="Index3">
    <w:name w:val="index 3"/>
    <w:basedOn w:val="ListNumber2"/>
    <w:next w:val="Normal"/>
    <w:semiHidden/>
    <w:rsid w:val="00733CE5"/>
    <w:pPr>
      <w:numPr>
        <w:numId w:val="0"/>
      </w:numPr>
      <w:tabs>
        <w:tab w:val="right" w:leader="dot" w:pos="4176"/>
      </w:tabs>
    </w:pPr>
  </w:style>
  <w:style w:type="paragraph" w:styleId="ListNumber2">
    <w:name w:val="List Number 2"/>
    <w:basedOn w:val="List2"/>
    <w:rsid w:val="00733CE5"/>
    <w:pPr>
      <w:numPr>
        <w:numId w:val="10"/>
      </w:numPr>
      <w:tabs>
        <w:tab w:val="clear" w:pos="1060"/>
      </w:tabs>
    </w:pPr>
  </w:style>
  <w:style w:type="paragraph" w:customStyle="1" w:styleId="MarginNote">
    <w:name w:val="Margin Note"/>
    <w:basedOn w:val="BodyText"/>
    <w:rsid w:val="00733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CE5"/>
    <w:rPr>
      <w:sz w:val="32"/>
    </w:rPr>
  </w:style>
  <w:style w:type="paragraph" w:customStyle="1" w:styleId="HeadingProcedure">
    <w:name w:val="Heading Procedure"/>
    <w:basedOn w:val="HeadingBase"/>
    <w:next w:val="Normal"/>
    <w:rsid w:val="00733CE5"/>
    <w:pPr>
      <w:tabs>
        <w:tab w:val="left" w:pos="0"/>
      </w:tabs>
      <w:spacing w:before="120" w:after="60"/>
    </w:pPr>
    <w:rPr>
      <w:i/>
      <w:color w:val="918585"/>
      <w:sz w:val="22"/>
    </w:rPr>
  </w:style>
  <w:style w:type="paragraph" w:customStyle="1" w:styleId="TableBodyText">
    <w:name w:val="Table Body Text"/>
    <w:basedOn w:val="BodyText"/>
    <w:rsid w:val="00733CE5"/>
    <w:pPr>
      <w:spacing w:before="60" w:after="60"/>
    </w:pPr>
  </w:style>
  <w:style w:type="paragraph" w:styleId="ListContinue">
    <w:name w:val="List Continue"/>
    <w:basedOn w:val="List"/>
    <w:rsid w:val="00733CE5"/>
    <w:pPr>
      <w:ind w:firstLine="0"/>
    </w:pPr>
  </w:style>
  <w:style w:type="paragraph" w:customStyle="1" w:styleId="ListNote">
    <w:name w:val="List Note"/>
    <w:basedOn w:val="List"/>
    <w:rsid w:val="00733CE5"/>
    <w:pPr>
      <w:pBdr>
        <w:top w:val="single" w:sz="6" w:space="2" w:color="918585"/>
        <w:bottom w:val="single" w:sz="6" w:space="2" w:color="918585"/>
      </w:pBdr>
      <w:tabs>
        <w:tab w:val="left" w:pos="1021"/>
      </w:tabs>
      <w:ind w:firstLine="0"/>
    </w:pPr>
  </w:style>
  <w:style w:type="paragraph" w:customStyle="1" w:styleId="Warning">
    <w:name w:val="Warning"/>
    <w:basedOn w:val="BodyText"/>
    <w:rsid w:val="00733CE5"/>
    <w:pPr>
      <w:shd w:val="clear" w:color="auto" w:fill="D9D9D9"/>
      <w:tabs>
        <w:tab w:val="left" w:pos="992"/>
      </w:tabs>
      <w:ind w:left="119" w:right="119"/>
    </w:pPr>
    <w:rPr>
      <w:sz w:val="20"/>
    </w:rPr>
  </w:style>
  <w:style w:type="paragraph" w:customStyle="1" w:styleId="MarginIcons">
    <w:name w:val="Margin Icons"/>
    <w:basedOn w:val="BodyText"/>
    <w:rsid w:val="00733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CE5"/>
    <w:rPr>
      <w:rFonts w:ascii="Courier New" w:hAnsi="Courier New"/>
    </w:rPr>
  </w:style>
  <w:style w:type="paragraph" w:customStyle="1" w:styleId="NoteBullet">
    <w:name w:val="Note Bullet"/>
    <w:basedOn w:val="Note"/>
    <w:rsid w:val="00733CE5"/>
    <w:pPr>
      <w:tabs>
        <w:tab w:val="clear" w:pos="680"/>
      </w:tabs>
      <w:spacing w:before="60" w:after="60"/>
    </w:pPr>
  </w:style>
  <w:style w:type="paragraph" w:customStyle="1" w:styleId="SubHeading2">
    <w:name w:val="SubHeading2"/>
    <w:basedOn w:val="HeadingBase"/>
    <w:rsid w:val="00733CE5"/>
    <w:pPr>
      <w:spacing w:before="240" w:after="60"/>
    </w:pPr>
    <w:rPr>
      <w:sz w:val="20"/>
    </w:rPr>
  </w:style>
  <w:style w:type="paragraph" w:customStyle="1" w:styleId="SubHeading1">
    <w:name w:val="SubHeading1"/>
    <w:basedOn w:val="HeadingBase"/>
    <w:rsid w:val="00733CE5"/>
    <w:pPr>
      <w:spacing w:before="240" w:after="60"/>
    </w:pPr>
    <w:rPr>
      <w:color w:val="918585"/>
      <w:sz w:val="22"/>
    </w:rPr>
  </w:style>
  <w:style w:type="paragraph" w:customStyle="1" w:styleId="SideHeading">
    <w:name w:val="Side Heading"/>
    <w:basedOn w:val="HeadingBase"/>
    <w:rsid w:val="00733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CE5"/>
    <w:pPr>
      <w:numPr>
        <w:numId w:val="12"/>
      </w:numPr>
    </w:pPr>
  </w:style>
  <w:style w:type="paragraph" w:styleId="PlainText">
    <w:name w:val="Plain Text"/>
    <w:basedOn w:val="Normal"/>
    <w:link w:val="PlainTextChar"/>
    <w:rsid w:val="00733CE5"/>
    <w:rPr>
      <w:sz w:val="20"/>
    </w:rPr>
  </w:style>
  <w:style w:type="character" w:customStyle="1" w:styleId="PlainTextChar">
    <w:name w:val="Plain Text Char"/>
    <w:basedOn w:val="DefaultParagraphFont"/>
    <w:link w:val="PlainText"/>
    <w:rsid w:val="00733CE5"/>
    <w:rPr>
      <w:rFonts w:ascii="Courier New" w:eastAsia="Times New Roman" w:hAnsi="Courier New" w:cs="Times New Roman"/>
      <w:sz w:val="20"/>
      <w:szCs w:val="20"/>
      <w:lang w:eastAsia="en-US"/>
    </w:rPr>
  </w:style>
  <w:style w:type="character" w:customStyle="1" w:styleId="MenuOption">
    <w:name w:val="Menu Option"/>
    <w:basedOn w:val="DefaultParagraphFont"/>
    <w:rsid w:val="00733CE5"/>
    <w:rPr>
      <w:b/>
      <w:smallCaps/>
    </w:rPr>
  </w:style>
  <w:style w:type="paragraph" w:customStyle="1" w:styleId="TableListNumber">
    <w:name w:val="Table List Number"/>
    <w:basedOn w:val="ListNumber"/>
    <w:rsid w:val="00733CE5"/>
    <w:pPr>
      <w:numPr>
        <w:numId w:val="0"/>
      </w:numPr>
    </w:pPr>
  </w:style>
  <w:style w:type="paragraph" w:styleId="TOC4">
    <w:name w:val="toc 4"/>
    <w:basedOn w:val="TOCBase"/>
    <w:next w:val="Normal"/>
    <w:semiHidden/>
    <w:rsid w:val="00733CE5"/>
    <w:pPr>
      <w:tabs>
        <w:tab w:val="right" w:leader="dot" w:pos="9071"/>
      </w:tabs>
      <w:ind w:left="1701"/>
    </w:pPr>
  </w:style>
  <w:style w:type="paragraph" w:customStyle="1" w:styleId="ListAlpha">
    <w:name w:val="List Alpha"/>
    <w:basedOn w:val="List"/>
    <w:rsid w:val="00733CE5"/>
    <w:pPr>
      <w:numPr>
        <w:numId w:val="9"/>
      </w:numPr>
    </w:pPr>
  </w:style>
  <w:style w:type="paragraph" w:customStyle="1" w:styleId="ListAlpha2">
    <w:name w:val="List Alpha 2"/>
    <w:basedOn w:val="List2"/>
    <w:rsid w:val="00733CE5"/>
    <w:pPr>
      <w:numPr>
        <w:numId w:val="8"/>
      </w:numPr>
    </w:pPr>
  </w:style>
  <w:style w:type="paragraph" w:styleId="List2">
    <w:name w:val="List 2"/>
    <w:basedOn w:val="BodyText"/>
    <w:rsid w:val="00733CE5"/>
    <w:pPr>
      <w:tabs>
        <w:tab w:val="left" w:pos="680"/>
      </w:tabs>
      <w:spacing w:before="60" w:after="60"/>
      <w:ind w:left="680" w:hanging="340"/>
    </w:pPr>
  </w:style>
  <w:style w:type="paragraph" w:styleId="List3">
    <w:name w:val="List 3"/>
    <w:basedOn w:val="BodyText"/>
    <w:rsid w:val="00733CE5"/>
    <w:pPr>
      <w:tabs>
        <w:tab w:val="left" w:pos="1021"/>
      </w:tabs>
      <w:spacing w:before="60" w:after="60"/>
      <w:ind w:left="1020" w:hanging="340"/>
    </w:pPr>
  </w:style>
  <w:style w:type="paragraph" w:styleId="List4">
    <w:name w:val="List 4"/>
    <w:basedOn w:val="BodyText"/>
    <w:rsid w:val="00733CE5"/>
    <w:pPr>
      <w:tabs>
        <w:tab w:val="left" w:pos="1361"/>
      </w:tabs>
      <w:spacing w:before="60" w:after="60"/>
      <w:ind w:left="1361" w:hanging="340"/>
    </w:pPr>
  </w:style>
  <w:style w:type="paragraph" w:styleId="List5">
    <w:name w:val="List 5"/>
    <w:basedOn w:val="BodyText"/>
    <w:rsid w:val="00733CE5"/>
    <w:pPr>
      <w:tabs>
        <w:tab w:val="left" w:pos="1701"/>
      </w:tabs>
      <w:spacing w:before="60" w:after="60"/>
      <w:ind w:left="1701" w:hanging="340"/>
    </w:pPr>
  </w:style>
  <w:style w:type="paragraph" w:styleId="ListBullet3">
    <w:name w:val="List Bullet 3"/>
    <w:basedOn w:val="List3"/>
    <w:rsid w:val="00733CE5"/>
    <w:pPr>
      <w:numPr>
        <w:numId w:val="15"/>
      </w:numPr>
      <w:tabs>
        <w:tab w:val="clear" w:pos="1021"/>
      </w:tabs>
      <w:ind w:left="1037" w:hanging="357"/>
    </w:pPr>
  </w:style>
  <w:style w:type="paragraph" w:styleId="ListBullet4">
    <w:name w:val="List Bullet 4"/>
    <w:basedOn w:val="List4"/>
    <w:rsid w:val="00733CE5"/>
    <w:pPr>
      <w:numPr>
        <w:numId w:val="3"/>
      </w:numPr>
    </w:pPr>
  </w:style>
  <w:style w:type="paragraph" w:styleId="ListBullet5">
    <w:name w:val="List Bullet 5"/>
    <w:basedOn w:val="List5"/>
    <w:rsid w:val="00733CE5"/>
    <w:pPr>
      <w:numPr>
        <w:numId w:val="4"/>
      </w:numPr>
    </w:pPr>
  </w:style>
  <w:style w:type="paragraph" w:styleId="ListContinue2">
    <w:name w:val="List Continue 2"/>
    <w:basedOn w:val="List2"/>
    <w:rsid w:val="00733CE5"/>
    <w:pPr>
      <w:ind w:firstLine="0"/>
    </w:pPr>
  </w:style>
  <w:style w:type="paragraph" w:styleId="ListContinue3">
    <w:name w:val="List Continue 3"/>
    <w:basedOn w:val="List3"/>
    <w:rsid w:val="00733CE5"/>
    <w:pPr>
      <w:ind w:left="1021" w:firstLine="0"/>
    </w:pPr>
  </w:style>
  <w:style w:type="paragraph" w:styleId="ListContinue4">
    <w:name w:val="List Continue 4"/>
    <w:basedOn w:val="List4"/>
    <w:rsid w:val="00733CE5"/>
    <w:pPr>
      <w:ind w:firstLine="0"/>
    </w:pPr>
  </w:style>
  <w:style w:type="paragraph" w:styleId="ListContinue5">
    <w:name w:val="List Continue 5"/>
    <w:basedOn w:val="List5"/>
    <w:rsid w:val="00733CE5"/>
    <w:pPr>
      <w:ind w:firstLine="0"/>
    </w:pPr>
  </w:style>
  <w:style w:type="paragraph" w:styleId="ListNumber3">
    <w:name w:val="List Number 3"/>
    <w:basedOn w:val="List3"/>
    <w:rsid w:val="00733CE5"/>
    <w:pPr>
      <w:numPr>
        <w:numId w:val="5"/>
      </w:numPr>
    </w:pPr>
  </w:style>
  <w:style w:type="paragraph" w:styleId="ListNumber4">
    <w:name w:val="List Number 4"/>
    <w:basedOn w:val="List4"/>
    <w:rsid w:val="00733CE5"/>
    <w:pPr>
      <w:numPr>
        <w:numId w:val="6"/>
      </w:numPr>
    </w:pPr>
  </w:style>
  <w:style w:type="paragraph" w:styleId="ListNumber5">
    <w:name w:val="List Number 5"/>
    <w:basedOn w:val="List5"/>
    <w:rsid w:val="00733CE5"/>
    <w:pPr>
      <w:numPr>
        <w:numId w:val="7"/>
      </w:numPr>
    </w:pPr>
  </w:style>
  <w:style w:type="paragraph" w:styleId="BlockText">
    <w:name w:val="Block Text"/>
    <w:basedOn w:val="Normal"/>
    <w:rsid w:val="00733CE5"/>
    <w:pPr>
      <w:spacing w:after="120"/>
      <w:ind w:left="1440" w:right="1440"/>
    </w:pPr>
  </w:style>
  <w:style w:type="character" w:customStyle="1" w:styleId="Subscript">
    <w:name w:val="Subscript"/>
    <w:basedOn w:val="DefaultParagraphFont"/>
    <w:rsid w:val="00733CE5"/>
    <w:rPr>
      <w:sz w:val="16"/>
      <w:vertAlign w:val="subscript"/>
    </w:rPr>
  </w:style>
  <w:style w:type="character" w:customStyle="1" w:styleId="Superscript">
    <w:name w:val="Superscript"/>
    <w:basedOn w:val="DefaultParagraphFont"/>
    <w:rsid w:val="00733CE5"/>
    <w:rPr>
      <w:sz w:val="16"/>
      <w:vertAlign w:val="superscript"/>
    </w:rPr>
  </w:style>
  <w:style w:type="character" w:customStyle="1" w:styleId="Symbols">
    <w:name w:val="Symbols"/>
    <w:basedOn w:val="DefaultParagraphFont"/>
    <w:rsid w:val="00733CE5"/>
    <w:rPr>
      <w:rFonts w:ascii="Symbol" w:hAnsi="Symbol"/>
    </w:rPr>
  </w:style>
  <w:style w:type="character" w:customStyle="1" w:styleId="MenuOptions">
    <w:name w:val="Menu Options"/>
    <w:basedOn w:val="DefaultParagraphFont"/>
    <w:rsid w:val="00733CE5"/>
    <w:rPr>
      <w:rFonts w:ascii="Arial Narrow" w:hAnsi="Arial Narrow"/>
      <w:smallCaps/>
    </w:rPr>
  </w:style>
  <w:style w:type="character" w:customStyle="1" w:styleId="Buttons">
    <w:name w:val="Buttons"/>
    <w:basedOn w:val="DefaultParagraphFont"/>
    <w:rsid w:val="00733CE5"/>
    <w:rPr>
      <w:b/>
    </w:rPr>
  </w:style>
  <w:style w:type="character" w:customStyle="1" w:styleId="Underlined">
    <w:name w:val="Underlined"/>
    <w:basedOn w:val="DefaultParagraphFont"/>
    <w:rsid w:val="00733CE5"/>
    <w:rPr>
      <w:u w:val="single"/>
    </w:rPr>
  </w:style>
  <w:style w:type="paragraph" w:customStyle="1" w:styleId="TableBodyTextRight">
    <w:name w:val="Table Body Text Right"/>
    <w:basedOn w:val="TableBodyText"/>
    <w:rsid w:val="00733CE5"/>
    <w:pPr>
      <w:widowControl w:val="0"/>
      <w:autoSpaceDE w:val="0"/>
      <w:autoSpaceDN w:val="0"/>
      <w:adjustRightInd w:val="0"/>
      <w:jc w:val="right"/>
    </w:pPr>
    <w:rPr>
      <w:rFonts w:cs="Arial"/>
      <w:szCs w:val="18"/>
    </w:rPr>
  </w:style>
  <w:style w:type="paragraph" w:customStyle="1" w:styleId="CopyrightText">
    <w:name w:val="Copyright Text"/>
    <w:basedOn w:val="BodyText"/>
    <w:rsid w:val="00733CE5"/>
    <w:rPr>
      <w:sz w:val="18"/>
    </w:rPr>
  </w:style>
  <w:style w:type="paragraph" w:customStyle="1" w:styleId="BodySmallRight">
    <w:name w:val="Body Small Right"/>
    <w:basedOn w:val="BodyTextRight"/>
    <w:rsid w:val="00733CE5"/>
    <w:rPr>
      <w:sz w:val="18"/>
      <w:szCs w:val="18"/>
    </w:rPr>
  </w:style>
  <w:style w:type="paragraph" w:customStyle="1" w:styleId="MarginEdition">
    <w:name w:val="Margin Edition"/>
    <w:basedOn w:val="MarginNote"/>
    <w:rsid w:val="00733CE5"/>
    <w:pPr>
      <w:spacing w:before="0" w:after="0"/>
    </w:pPr>
    <w:rPr>
      <w:rFonts w:ascii="Times New Roman" w:hAnsi="Times New Roman"/>
      <w:color w:val="999999"/>
    </w:rPr>
  </w:style>
  <w:style w:type="paragraph" w:customStyle="1" w:styleId="Spacer">
    <w:name w:val="Spacer"/>
    <w:basedOn w:val="Normal"/>
    <w:rsid w:val="00733CE5"/>
    <w:rPr>
      <w:sz w:val="2"/>
      <w:szCs w:val="2"/>
    </w:rPr>
  </w:style>
  <w:style w:type="character" w:customStyle="1" w:styleId="Small">
    <w:name w:val="Small"/>
    <w:basedOn w:val="DefaultParagraphFont"/>
    <w:rsid w:val="00733CE5"/>
    <w:rPr>
      <w:sz w:val="16"/>
    </w:rPr>
  </w:style>
  <w:style w:type="paragraph" w:customStyle="1" w:styleId="WideTable">
    <w:name w:val="Wide Table"/>
    <w:basedOn w:val="Normal"/>
    <w:rsid w:val="00733CE5"/>
    <w:pPr>
      <w:ind w:left="-1418"/>
    </w:pPr>
    <w:rPr>
      <w:sz w:val="2"/>
      <w:szCs w:val="2"/>
    </w:rPr>
  </w:style>
  <w:style w:type="character" w:styleId="PageNumber">
    <w:name w:val="page number"/>
    <w:basedOn w:val="DefaultParagraphFont"/>
    <w:rsid w:val="00733CE5"/>
  </w:style>
  <w:style w:type="paragraph" w:styleId="Quote">
    <w:name w:val="Quote"/>
    <w:basedOn w:val="Heading1"/>
    <w:link w:val="QuoteChar"/>
    <w:qFormat/>
    <w:rsid w:val="00733CE5"/>
    <w:rPr>
      <w:b w:val="0"/>
      <w:sz w:val="72"/>
      <w:szCs w:val="72"/>
      <w:lang w:val="en-NZ"/>
    </w:rPr>
  </w:style>
  <w:style w:type="character" w:customStyle="1" w:styleId="QuoteChar">
    <w:name w:val="Quote Char"/>
    <w:basedOn w:val="DefaultParagraphFont"/>
    <w:link w:val="Quote"/>
    <w:rsid w:val="00733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CE5"/>
    <w:pPr>
      <w:pageBreakBefore/>
    </w:pPr>
  </w:style>
  <w:style w:type="paragraph" w:customStyle="1" w:styleId="Border">
    <w:name w:val="Border"/>
    <w:basedOn w:val="Normal"/>
    <w:qFormat/>
    <w:rsid w:val="00733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CE5"/>
    <w:rPr>
      <w:b/>
      <w:bCs/>
      <w:i/>
      <w:iCs/>
      <w:color w:val="auto"/>
    </w:rPr>
  </w:style>
  <w:style w:type="paragraph" w:styleId="IntenseQuote">
    <w:name w:val="Intense Quote"/>
    <w:basedOn w:val="Normal"/>
    <w:next w:val="Normal"/>
    <w:link w:val="IntenseQuoteChar"/>
    <w:uiPriority w:val="30"/>
    <w:qFormat/>
    <w:rsid w:val="00733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CE5"/>
    <w:rPr>
      <w:smallCaps/>
      <w:color w:val="auto"/>
      <w:u w:val="single"/>
    </w:rPr>
  </w:style>
  <w:style w:type="character" w:styleId="IntenseReference">
    <w:name w:val="Intense Reference"/>
    <w:basedOn w:val="DefaultParagraphFont"/>
    <w:uiPriority w:val="32"/>
    <w:qFormat/>
    <w:rsid w:val="00733CE5"/>
    <w:rPr>
      <w:b/>
      <w:bCs/>
      <w:smallCaps/>
      <w:color w:val="auto"/>
      <w:spacing w:val="5"/>
      <w:u w:val="single"/>
    </w:rPr>
  </w:style>
  <w:style w:type="paragraph" w:customStyle="1" w:styleId="2ColumnHeading">
    <w:name w:val="2Column Heading"/>
    <w:basedOn w:val="BodyText"/>
    <w:qFormat/>
    <w:rsid w:val="00733CE5"/>
    <w:pPr>
      <w:spacing w:after="60"/>
      <w:ind w:left="-2268"/>
    </w:pPr>
    <w:rPr>
      <w:b/>
    </w:rPr>
  </w:style>
  <w:style w:type="paragraph" w:customStyle="1" w:styleId="Heading1TOC">
    <w:name w:val="Heading1 TOC"/>
    <w:basedOn w:val="Normal"/>
    <w:qFormat/>
    <w:rsid w:val="00733CE5"/>
    <w:pPr>
      <w:spacing w:before="240" w:after="120"/>
    </w:pPr>
    <w:rPr>
      <w:rFonts w:ascii="Times New Roman" w:hAnsi="Times New Roman"/>
      <w:b/>
      <w:sz w:val="32"/>
    </w:rPr>
  </w:style>
  <w:style w:type="paragraph" w:customStyle="1" w:styleId="Heading2TOC">
    <w:name w:val="Heading2 TOC"/>
    <w:basedOn w:val="Normal"/>
    <w:qFormat/>
    <w:rsid w:val="00733CE5"/>
    <w:pPr>
      <w:spacing w:before="240" w:after="60"/>
    </w:pPr>
    <w:rPr>
      <w:rFonts w:ascii="Times New Roman" w:hAnsi="Times New Roman"/>
      <w:b/>
      <w:sz w:val="28"/>
    </w:rPr>
  </w:style>
  <w:style w:type="character" w:customStyle="1" w:styleId="Underline">
    <w:name w:val="Underline"/>
    <w:basedOn w:val="DefaultParagraphFont"/>
    <w:qFormat/>
    <w:rsid w:val="00733CE5"/>
    <w:rPr>
      <w:u w:val="single"/>
    </w:rPr>
  </w:style>
  <w:style w:type="character" w:customStyle="1" w:styleId="BoldandItalics">
    <w:name w:val="Bold and Italics"/>
    <w:qFormat/>
    <w:rsid w:val="00733CE5"/>
    <w:rPr>
      <w:b/>
      <w:i/>
      <w:u w:val="none"/>
    </w:rPr>
  </w:style>
  <w:style w:type="paragraph" w:styleId="BalloonText">
    <w:name w:val="Balloon Text"/>
    <w:basedOn w:val="Normal"/>
    <w:link w:val="BalloonTextChar"/>
    <w:rsid w:val="00733CE5"/>
    <w:rPr>
      <w:rFonts w:ascii="Tahoma" w:hAnsi="Tahoma" w:cs="Tahoma"/>
      <w:sz w:val="16"/>
      <w:szCs w:val="16"/>
    </w:rPr>
  </w:style>
  <w:style w:type="character" w:customStyle="1" w:styleId="BalloonTextChar">
    <w:name w:val="Balloon Text Char"/>
    <w:basedOn w:val="DefaultParagraphFont"/>
    <w:link w:val="BalloonText"/>
    <w:rsid w:val="00733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CE5"/>
    <w:rPr>
      <w:b/>
      <w:color w:val="660033"/>
      <w:spacing w:val="0"/>
    </w:rPr>
  </w:style>
  <w:style w:type="paragraph" w:customStyle="1" w:styleId="Nameditemlist">
    <w:name w:val="Named item list"/>
    <w:basedOn w:val="BodyText"/>
    <w:qFormat/>
    <w:rsid w:val="00733C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9215</Characters>
  <Application>Microsoft Office Word</Application>
  <DocSecurity>0</DocSecurity>
  <Lines>326</Lines>
  <Paragraphs>163</Paragraphs>
  <ScaleCrop>false</ScaleCrop>
  <Company>Author-it Software Corporation Ltd.</Company>
  <LinksUpToDate>false</LinksUpToDate>
  <CharactersWithSpaces>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MEM23114A Evaluate thermodynamic systems and components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2012-12-20T04:28:00Z</dcterms:created>
  <dcterms:modified xsi:type="dcterms:W3CDTF">2012-12-20T04:28:00Z</dcterms:modified>
</cp:coreProperties>
</file>