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97EF7" w:rsidP="00397EF7">
      <w:pPr>
        <w:pStyle w:val="Title"/>
      </w:pPr>
      <w:r>
        <w:fldChar w:fldCharType="begin"/>
      </w:r>
      <w:r>
        <w:instrText xml:space="preserve"> TITLE   \* MERGEFORMAT </w:instrText>
      </w:r>
      <w:r>
        <w:fldChar w:fldCharType="separate"/>
      </w:r>
      <w:r>
        <w:t>MEM23007A Apply calculus to engineering tasks</w:t>
      </w:r>
      <w:r>
        <w:fldChar w:fldCharType="end"/>
      </w:r>
    </w:p>
    <w:p w:rsidR="00397EF7" w:rsidP="00397EF7">
      <w:pPr>
        <w:pStyle w:val="Version"/>
        <w:sectPr w:rsidSect="007C71D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C71DC" w:rsidP="007C71DC">
      <w:pPr>
        <w:pStyle w:val="SuperHeading"/>
      </w:pPr>
      <w:r w:rsidRPr="007C71DC">
        <w:t>MEM23007A Apply calculus to engineering tasks</w:t>
      </w:r>
    </w:p>
    <w:p w:rsidR="00000000" w:rsidRPr="007C71DC" w:rsidP="007C71DC">
      <w:pPr>
        <w:pStyle w:val="Heading1"/>
      </w:pPr>
      <w:bookmarkStart w:id="1" w:name="O_519268"/>
      <w:bookmarkEnd w:id="1"/>
      <w:r w:rsidRPr="007C71DC">
        <w:t>Modification History</w:t>
      </w:r>
    </w:p>
    <w:p w:rsidR="00397EF7" w:rsidP="007C71DC">
      <w:pPr>
        <w:pStyle w:val="BodyText"/>
      </w:pPr>
      <w:r w:rsidRPr="007C71DC">
        <w:t>Release 1 - New unit.  Replaces MEM23002A, but not equivalent.</w:t>
      </w:r>
    </w:p>
    <w:p w:rsidR="00397EF7" w:rsidP="007C71DC">
      <w:pPr>
        <w:pStyle w:val="BodyText"/>
      </w:pPr>
    </w:p>
    <w:p w:rsidR="00000000" w:rsidRPr="007C71DC" w:rsidP="007C71DC">
      <w:pPr>
        <w:pStyle w:val="Heading1"/>
      </w:pPr>
      <w:bookmarkStart w:id="2" w:name="O_519280"/>
      <w:bookmarkEnd w:id="2"/>
      <w:r w:rsidRPr="007C71DC">
        <w:t>Unit Descriptor</w:t>
      </w:r>
    </w:p>
    <w:p w:rsidR="00397EF7" w:rsidP="007C71DC">
      <w:pPr>
        <w:pStyle w:val="BodyText"/>
      </w:pPr>
      <w:r w:rsidRPr="007C71DC">
        <w:t>This unit of competency covers the application of calculus, including differentiation and integration techniques to engineering ap</w:t>
      </w:r>
      <w:r w:rsidRPr="007C71DC">
        <w:t>plications. It includes the use and application of standard differentiation and integration rules, finding maximum and minimum values of curves, application to rates of change and slope, finding definite integrals, using method of substitution, using trigo</w:t>
      </w:r>
      <w:r w:rsidRPr="007C71DC">
        <w:t>nometric identities and finding areas under curves.</w:t>
      </w:r>
    </w:p>
    <w:p w:rsidR="00397EF7" w:rsidP="007C71DC">
      <w:pPr>
        <w:pStyle w:val="BodyText"/>
      </w:pPr>
    </w:p>
    <w:p w:rsidR="00000000" w:rsidRPr="007C71DC" w:rsidP="007C71DC">
      <w:pPr>
        <w:pStyle w:val="Heading1"/>
      </w:pPr>
      <w:bookmarkStart w:id="3" w:name="O_519279"/>
      <w:bookmarkEnd w:id="3"/>
      <w:r w:rsidRPr="007C71DC">
        <w:t>Application of the Unit</w:t>
      </w:r>
    </w:p>
    <w:p w:rsidR="00397EF7" w:rsidP="007C71DC">
      <w:pPr>
        <w:pStyle w:val="BodyText"/>
      </w:pPr>
      <w:r w:rsidRPr="007C71DC">
        <w:t>The unit applies to engineering or related activities requiring the application of mathematical techniques using calculus. It is suitable for people giving techni</w:t>
      </w:r>
      <w:r w:rsidRPr="007C71DC">
        <w:t>cal support to design, operations or maintenance activities and those pursuing technical qualifications and careers at paraprofessional or technician level.</w:t>
      </w:r>
    </w:p>
    <w:p w:rsidR="00397EF7" w:rsidP="007C71DC">
      <w:pPr>
        <w:pStyle w:val="BodyText"/>
      </w:pPr>
    </w:p>
    <w:p w:rsidR="00000000" w:rsidRPr="007C71DC" w:rsidP="007C71DC">
      <w:pPr>
        <w:pStyle w:val="Heading1"/>
      </w:pPr>
      <w:bookmarkStart w:id="4" w:name="O_519278"/>
      <w:bookmarkEnd w:id="4"/>
      <w:r w:rsidRPr="007C71DC">
        <w:t>Licensing/Regulatory Information</w:t>
      </w:r>
    </w:p>
    <w:p w:rsidR="00000000" w:rsidRPr="007C71DC" w:rsidP="007C71DC">
      <w:pPr>
        <w:pStyle w:val="BodyText"/>
      </w:pPr>
      <w:r w:rsidRPr="007C71DC">
        <w:t>Not applicable.</w:t>
      </w:r>
    </w:p>
    <w:p w:rsidR="00000000" w:rsidRPr="007C71DC" w:rsidP="007C71DC">
      <w:pPr>
        <w:pStyle w:val="AllowPageBreak"/>
      </w:pPr>
    </w:p>
    <w:p w:rsidR="00000000" w:rsidRPr="007C71DC" w:rsidP="007C71DC">
      <w:pPr>
        <w:pStyle w:val="Heading1"/>
      </w:pPr>
      <w:bookmarkStart w:id="5" w:name="O_519277"/>
      <w:bookmarkEnd w:id="5"/>
      <w:r w:rsidRPr="007C71DC">
        <w:t>Pre-Requisites</w:t>
      </w:r>
    </w:p>
    <w:tbl>
      <w:tblPr>
        <w:tblW w:w="9354" w:type="dxa"/>
        <w:tblLayout w:type="fixed"/>
        <w:tblCellMar>
          <w:left w:w="62" w:type="dxa"/>
          <w:right w:w="62" w:type="dxa"/>
        </w:tblCellMar>
        <w:tblLook w:val="0000"/>
      </w:tblPr>
      <w:tblGrid>
        <w:gridCol w:w="2592"/>
        <w:gridCol w:w="6762"/>
      </w:tblGrid>
      <w:tr w:rsidTr="007C71DC">
        <w:tblPrEx>
          <w:tblW w:w="9354" w:type="dxa"/>
          <w:tblLayout w:type="fixed"/>
          <w:tblCellMar>
            <w:left w:w="62" w:type="dxa"/>
            <w:right w:w="62" w:type="dxa"/>
          </w:tblCellMar>
          <w:tblLook w:val="0000"/>
        </w:tblPrEx>
        <w:tc>
          <w:tcPr>
            <w:tcW w:w="2592" w:type="dxa"/>
            <w:tcBorders>
              <w:top w:val="nil"/>
              <w:left w:val="nil"/>
              <w:bottom w:val="nil"/>
              <w:right w:val="nil"/>
            </w:tcBorders>
            <w:tcMar>
              <w:top w:w="0" w:type="dxa"/>
              <w:left w:w="62" w:type="dxa"/>
              <w:bottom w:w="0" w:type="dxa"/>
              <w:right w:w="62" w:type="dxa"/>
            </w:tcMar>
          </w:tcPr>
          <w:p w:rsidR="00000000" w:rsidP="007C71DC">
            <w:pPr>
              <w:pStyle w:val="BodyText"/>
              <w:rPr>
                <w:lang w:val="en-NZ"/>
              </w:rPr>
            </w:pPr>
            <w:r w:rsidRPr="007C71DC">
              <w:t>MEM23004A</w:t>
            </w:r>
          </w:p>
        </w:tc>
        <w:tc>
          <w:tcPr>
            <w:tcW w:w="6762" w:type="dxa"/>
            <w:tcBorders>
              <w:top w:val="nil"/>
              <w:left w:val="nil"/>
              <w:bottom w:val="nil"/>
              <w:right w:val="nil"/>
            </w:tcBorders>
            <w:tcMar>
              <w:top w:w="0" w:type="dxa"/>
              <w:left w:w="62" w:type="dxa"/>
              <w:bottom w:w="0" w:type="dxa"/>
              <w:right w:w="62" w:type="dxa"/>
            </w:tcMar>
          </w:tcPr>
          <w:p w:rsidR="00000000" w:rsidRPr="007C71DC" w:rsidP="007C71DC">
            <w:pPr>
              <w:pStyle w:val="BodyText"/>
            </w:pPr>
            <w:r w:rsidRPr="007C71DC">
              <w:t>Apply technical mathematics</w:t>
            </w:r>
          </w:p>
        </w:tc>
      </w:tr>
    </w:tbl>
    <w:p w:rsidR="00000000" w:rsidRPr="007C71DC" w:rsidP="007C71DC">
      <w:pPr>
        <w:pStyle w:val="BodyText"/>
      </w:pPr>
    </w:p>
    <w:p w:rsidR="00000000" w:rsidRPr="007C71DC" w:rsidP="007C71DC">
      <w:pPr>
        <w:pStyle w:val="AllowPageBreak"/>
      </w:pPr>
    </w:p>
    <w:p w:rsidR="00000000" w:rsidRPr="007C71DC" w:rsidP="007C71DC">
      <w:pPr>
        <w:pStyle w:val="Heading1"/>
      </w:pPr>
      <w:bookmarkStart w:id="6" w:name="O_519276"/>
      <w:bookmarkEnd w:id="6"/>
      <w:r w:rsidRPr="007C71DC">
        <w:t>Employability Skills Information</w:t>
      </w:r>
    </w:p>
    <w:p w:rsidR="00397EF7" w:rsidP="007C71DC">
      <w:pPr>
        <w:pStyle w:val="BodyText"/>
      </w:pPr>
      <w:r w:rsidRPr="007C71DC">
        <w:t>This unit contains employability skills.</w:t>
      </w:r>
    </w:p>
    <w:p w:rsidR="00397EF7" w:rsidP="007C71DC">
      <w:pPr>
        <w:pStyle w:val="BodyText"/>
      </w:pPr>
    </w:p>
    <w:p w:rsidR="00000000" w:rsidRPr="007C71DC" w:rsidP="007C71DC">
      <w:pPr>
        <w:pStyle w:val="Heading1"/>
      </w:pPr>
      <w:bookmarkStart w:id="7" w:name="O_519275"/>
      <w:bookmarkEnd w:id="7"/>
      <w:r w:rsidRPr="007C71DC">
        <w:t>Elements and Performance Criteria Pre-Content</w:t>
      </w:r>
    </w:p>
    <w:tbl>
      <w:tblPr>
        <w:tblW w:w="0" w:type="auto"/>
        <w:tblCellMar>
          <w:left w:w="62" w:type="dxa"/>
          <w:right w:w="62" w:type="dxa"/>
        </w:tblCellMar>
        <w:tblLook w:val="0000"/>
      </w:tblPr>
      <w:tblGrid>
        <w:gridCol w:w="2576"/>
        <w:gridCol w:w="6620"/>
      </w:tblGrid>
      <w:tr w:rsidTr="00397EF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C71DC">
            <w:pPr>
              <w:pStyle w:val="BodyText"/>
              <w:rPr>
                <w:lang w:val="en-NZ"/>
              </w:rPr>
            </w:pPr>
            <w:r w:rsidRPr="007C71DC">
              <w:t>Elements desc</w:t>
            </w:r>
            <w:r w:rsidRPr="007C71DC">
              <w:t>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RPr="007C71DC" w:rsidP="007C71DC">
            <w:pPr>
              <w:pStyle w:val="BodyText"/>
            </w:pPr>
            <w:r w:rsidRPr="007C71DC">
              <w:t xml:space="preserve">Performance criteria describe the performance needed to demonstrate achievement of the element. </w:t>
            </w:r>
          </w:p>
        </w:tc>
      </w:tr>
    </w:tbl>
    <w:p w:rsidR="00397EF7" w:rsidP="007C71DC">
      <w:pPr>
        <w:pStyle w:val="BodyText"/>
      </w:pPr>
    </w:p>
    <w:p w:rsidR="00397EF7" w:rsidP="007C71DC">
      <w:pPr>
        <w:pStyle w:val="BodyText"/>
      </w:pPr>
    </w:p>
    <w:p w:rsidR="00000000" w:rsidRPr="007C71DC" w:rsidP="007C71DC">
      <w:pPr>
        <w:pStyle w:val="Heading1"/>
      </w:pPr>
      <w:bookmarkStart w:id="8" w:name="O_519274"/>
      <w:bookmarkEnd w:id="8"/>
      <w:r w:rsidRPr="007C71DC">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7C71D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7C71DC">
            <w:pPr>
              <w:pStyle w:val="BodyText"/>
              <w:rPr>
                <w:lang w:val="en-NZ"/>
              </w:rPr>
            </w:pPr>
            <w:r w:rsidRPr="007C71DC">
              <w:t>1</w:t>
            </w:r>
          </w:p>
        </w:tc>
        <w:tc>
          <w:tcPr>
            <w:tcW w:w="1962" w:type="dxa"/>
            <w:vMerge w:val="restart"/>
            <w:tcBorders>
              <w:top w:val="nil"/>
              <w:left w:val="nil"/>
              <w:bottom w:val="nil"/>
              <w:right w:val="nil"/>
            </w:tcBorders>
            <w:tcMar>
              <w:top w:w="0" w:type="dxa"/>
              <w:left w:w="62" w:type="dxa"/>
              <w:bottom w:w="0" w:type="dxa"/>
              <w:right w:w="62" w:type="dxa"/>
            </w:tcMar>
          </w:tcPr>
          <w:p w:rsidR="00000000" w:rsidP="007C71DC">
            <w:pPr>
              <w:pStyle w:val="BodyText"/>
              <w:rPr>
                <w:lang w:val="en-NZ"/>
              </w:rPr>
            </w:pPr>
            <w:r w:rsidRPr="007C71DC">
              <w:t>Determine scope of calculus techniques required</w:t>
            </w:r>
            <w:r w:rsidRPr="007C71DC">
              <w:t xml:space="preserve"> for an engineering application</w:t>
            </w:r>
          </w:p>
        </w:tc>
        <w:tc>
          <w:tcPr>
            <w:tcW w:w="770" w:type="dxa"/>
            <w:tcBorders>
              <w:top w:val="nil"/>
              <w:left w:val="nil"/>
              <w:bottom w:val="nil"/>
              <w:right w:val="nil"/>
            </w:tcBorders>
            <w:tcMar>
              <w:top w:w="0" w:type="dxa"/>
              <w:left w:w="62" w:type="dxa"/>
              <w:bottom w:w="0" w:type="dxa"/>
              <w:right w:w="62" w:type="dxa"/>
            </w:tcMar>
          </w:tcPr>
          <w:p w:rsidR="00000000" w:rsidP="007C71DC">
            <w:pPr>
              <w:pStyle w:val="BodyText"/>
              <w:rPr>
                <w:lang w:val="en-NZ"/>
              </w:rPr>
            </w:pPr>
            <w:r w:rsidRPr="007C71DC">
              <w:t>1.1</w:t>
            </w:r>
          </w:p>
        </w:tc>
        <w:tc>
          <w:tcPr>
            <w:tcW w:w="5610" w:type="dxa"/>
            <w:tcBorders>
              <w:top w:val="nil"/>
              <w:left w:val="nil"/>
              <w:bottom w:val="nil"/>
              <w:right w:val="nil"/>
            </w:tcBorders>
            <w:tcMar>
              <w:top w:w="0" w:type="dxa"/>
              <w:left w:w="62" w:type="dxa"/>
              <w:bottom w:w="0" w:type="dxa"/>
              <w:right w:w="62" w:type="dxa"/>
            </w:tcMar>
          </w:tcPr>
          <w:p w:rsidR="00000000" w:rsidP="007C71DC">
            <w:pPr>
              <w:pStyle w:val="BodyText"/>
              <w:rPr>
                <w:lang w:val="en-NZ"/>
              </w:rPr>
            </w:pPr>
            <w:r w:rsidRPr="007C71DC">
              <w:t>Analyse an engineering application for required calculus tasks</w:t>
            </w:r>
          </w:p>
        </w:tc>
      </w:tr>
      <w:tr w:rsidTr="007C71D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C71DC">
            <w:pPr>
              <w:pStyle w:val="BodyText"/>
              <w:rPr>
                <w:lang w:val="en-NZ"/>
              </w:rPr>
            </w:pPr>
            <w:r w:rsidRPr="007C71DC">
              <w:t>1.2</w:t>
            </w:r>
          </w:p>
        </w:tc>
        <w:tc>
          <w:tcPr>
            <w:tcW w:w="5610" w:type="dxa"/>
            <w:tcBorders>
              <w:top w:val="nil"/>
              <w:left w:val="nil"/>
              <w:bottom w:val="nil"/>
              <w:right w:val="nil"/>
            </w:tcBorders>
            <w:tcMar>
              <w:top w:w="0" w:type="dxa"/>
              <w:left w:w="62" w:type="dxa"/>
              <w:bottom w:w="0" w:type="dxa"/>
              <w:right w:w="62" w:type="dxa"/>
            </w:tcMar>
          </w:tcPr>
          <w:p w:rsidR="00000000" w:rsidP="007C71DC">
            <w:pPr>
              <w:pStyle w:val="BodyText"/>
              <w:rPr>
                <w:lang w:val="en-NZ"/>
              </w:rPr>
            </w:pPr>
            <w:r w:rsidRPr="007C71DC">
              <w:t>Develop systematic methods for layout and solution validation, including any required external sign-off of solution</w:t>
            </w:r>
          </w:p>
        </w:tc>
      </w:tr>
      <w:tr w:rsidTr="007C71D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C71DC">
            <w:pPr>
              <w:pStyle w:val="BodyText"/>
              <w:rPr>
                <w:lang w:val="en-NZ"/>
              </w:rPr>
            </w:pPr>
            <w:r w:rsidRPr="007C71DC">
              <w:t>1.3</w:t>
            </w:r>
          </w:p>
        </w:tc>
        <w:tc>
          <w:tcPr>
            <w:tcW w:w="5610" w:type="dxa"/>
            <w:tcBorders>
              <w:top w:val="nil"/>
              <w:left w:val="nil"/>
              <w:bottom w:val="nil"/>
              <w:right w:val="nil"/>
            </w:tcBorders>
            <w:tcMar>
              <w:top w:w="0" w:type="dxa"/>
              <w:left w:w="62" w:type="dxa"/>
              <w:bottom w:w="0" w:type="dxa"/>
              <w:right w:w="62" w:type="dxa"/>
            </w:tcMar>
          </w:tcPr>
          <w:p w:rsidR="00000000" w:rsidP="007C71DC">
            <w:pPr>
              <w:pStyle w:val="BodyText"/>
              <w:rPr>
                <w:lang w:val="en-NZ"/>
              </w:rPr>
            </w:pPr>
            <w:r w:rsidRPr="007C71DC">
              <w:t>Identify calculus technique and any software required for analysis and resolution of identified engineering application tasks</w:t>
            </w:r>
          </w:p>
        </w:tc>
      </w:tr>
      <w:tr w:rsidTr="007C71D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C71DC">
            <w:pPr>
              <w:pStyle w:val="BodyText"/>
              <w:rPr>
                <w:lang w:val="en-NZ"/>
              </w:rPr>
            </w:pPr>
            <w:r w:rsidRPr="007C71DC">
              <w:t>1.4</w:t>
            </w:r>
          </w:p>
        </w:tc>
        <w:tc>
          <w:tcPr>
            <w:tcW w:w="5610" w:type="dxa"/>
            <w:tcBorders>
              <w:top w:val="nil"/>
              <w:left w:val="nil"/>
              <w:bottom w:val="nil"/>
              <w:right w:val="nil"/>
            </w:tcBorders>
            <w:tcMar>
              <w:top w:w="0" w:type="dxa"/>
              <w:left w:w="62" w:type="dxa"/>
              <w:bottom w:w="0" w:type="dxa"/>
              <w:right w:w="62" w:type="dxa"/>
            </w:tcMar>
          </w:tcPr>
          <w:p w:rsidR="00000000" w:rsidRPr="007C71DC" w:rsidP="007C71DC">
            <w:pPr>
              <w:pStyle w:val="BodyText"/>
            </w:pPr>
            <w:r w:rsidRPr="007C71DC">
              <w:t>Identify sources for professional and technical assistance, if required</w:t>
            </w:r>
          </w:p>
        </w:tc>
      </w:tr>
    </w:tbl>
    <w:p w:rsidR="00000000" w:rsidRPr="007C71DC" w:rsidP="007C71DC">
      <w:pPr>
        <w:pStyle w:val="BodyText"/>
      </w:pPr>
    </w:p>
    <w:tbl>
      <w:tblPr>
        <w:tblW w:w="0" w:type="auto"/>
        <w:tblLayout w:type="fixed"/>
        <w:tblCellMar>
          <w:left w:w="62" w:type="dxa"/>
          <w:right w:w="62" w:type="dxa"/>
        </w:tblCellMar>
        <w:tblLook w:val="0000"/>
      </w:tblPr>
      <w:tblGrid>
        <w:gridCol w:w="678"/>
        <w:gridCol w:w="1962"/>
        <w:gridCol w:w="770"/>
        <w:gridCol w:w="5610"/>
      </w:tblGrid>
      <w:tr w:rsidTr="007C71D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7C71DC">
            <w:pPr>
              <w:pStyle w:val="BodyText"/>
              <w:rPr>
                <w:lang w:val="en-NZ"/>
              </w:rPr>
            </w:pPr>
            <w:r w:rsidRPr="007C71DC">
              <w:t>2</w:t>
            </w:r>
          </w:p>
        </w:tc>
        <w:tc>
          <w:tcPr>
            <w:tcW w:w="1962" w:type="dxa"/>
            <w:vMerge w:val="restart"/>
            <w:tcBorders>
              <w:top w:val="nil"/>
              <w:left w:val="nil"/>
              <w:bottom w:val="nil"/>
              <w:right w:val="nil"/>
            </w:tcBorders>
            <w:tcMar>
              <w:top w:w="0" w:type="dxa"/>
              <w:left w:w="62" w:type="dxa"/>
              <w:bottom w:w="0" w:type="dxa"/>
              <w:right w:w="62" w:type="dxa"/>
            </w:tcMar>
          </w:tcPr>
          <w:p w:rsidR="00000000" w:rsidP="007C71DC">
            <w:pPr>
              <w:pStyle w:val="BodyText"/>
              <w:rPr>
                <w:lang w:val="en-NZ"/>
              </w:rPr>
            </w:pPr>
            <w:r w:rsidRPr="007C71DC">
              <w:t>Apply differential techniques to engineering applications</w:t>
            </w:r>
          </w:p>
        </w:tc>
        <w:tc>
          <w:tcPr>
            <w:tcW w:w="770" w:type="dxa"/>
            <w:tcBorders>
              <w:top w:val="nil"/>
              <w:left w:val="nil"/>
              <w:bottom w:val="nil"/>
              <w:right w:val="nil"/>
            </w:tcBorders>
            <w:tcMar>
              <w:top w:w="0" w:type="dxa"/>
              <w:left w:w="62" w:type="dxa"/>
              <w:bottom w:w="0" w:type="dxa"/>
              <w:right w:w="62" w:type="dxa"/>
            </w:tcMar>
          </w:tcPr>
          <w:p w:rsidR="00000000" w:rsidP="007C71DC">
            <w:pPr>
              <w:pStyle w:val="BodyText"/>
              <w:rPr>
                <w:lang w:val="en-NZ"/>
              </w:rPr>
            </w:pPr>
            <w:r w:rsidRPr="007C71DC">
              <w:t>2.1</w:t>
            </w:r>
          </w:p>
        </w:tc>
        <w:tc>
          <w:tcPr>
            <w:tcW w:w="5610" w:type="dxa"/>
            <w:tcBorders>
              <w:top w:val="nil"/>
              <w:left w:val="nil"/>
              <w:bottom w:val="nil"/>
              <w:right w:val="nil"/>
            </w:tcBorders>
            <w:tcMar>
              <w:top w:w="0" w:type="dxa"/>
              <w:left w:w="62" w:type="dxa"/>
              <w:bottom w:w="0" w:type="dxa"/>
              <w:right w:w="62" w:type="dxa"/>
            </w:tcMar>
          </w:tcPr>
          <w:p w:rsidR="00000000" w:rsidP="007C71DC">
            <w:pPr>
              <w:pStyle w:val="BodyText"/>
              <w:rPr>
                <w:lang w:val="en-NZ"/>
              </w:rPr>
            </w:pPr>
            <w:r w:rsidRPr="007C71DC">
              <w:t>Apply standard differentiation rules to solve engineering problems</w:t>
            </w:r>
          </w:p>
        </w:tc>
      </w:tr>
      <w:tr w:rsidTr="007C71D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C71DC">
            <w:pPr>
              <w:pStyle w:val="BodyText"/>
              <w:rPr>
                <w:lang w:val="en-NZ"/>
              </w:rPr>
            </w:pPr>
            <w:r w:rsidRPr="007C71DC">
              <w:t>2.2</w:t>
            </w:r>
          </w:p>
        </w:tc>
        <w:tc>
          <w:tcPr>
            <w:tcW w:w="5610" w:type="dxa"/>
            <w:tcBorders>
              <w:top w:val="nil"/>
              <w:left w:val="nil"/>
              <w:bottom w:val="nil"/>
              <w:right w:val="nil"/>
            </w:tcBorders>
            <w:tcMar>
              <w:top w:w="0" w:type="dxa"/>
              <w:left w:w="62" w:type="dxa"/>
              <w:bottom w:w="0" w:type="dxa"/>
              <w:right w:w="62" w:type="dxa"/>
            </w:tcMar>
          </w:tcPr>
          <w:p w:rsidR="00000000" w:rsidP="007C71DC">
            <w:pPr>
              <w:pStyle w:val="BodyText"/>
              <w:rPr>
                <w:lang w:val="en-NZ"/>
              </w:rPr>
            </w:pPr>
            <w:r w:rsidRPr="007C71DC">
              <w:t xml:space="preserve">Check solution is laid out correctly and is error free  </w:t>
            </w:r>
          </w:p>
        </w:tc>
      </w:tr>
      <w:tr w:rsidTr="007C71D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C71DC">
            <w:pPr>
              <w:pStyle w:val="BodyText"/>
              <w:rPr>
                <w:lang w:val="en-NZ"/>
              </w:rPr>
            </w:pPr>
            <w:r w:rsidRPr="007C71DC">
              <w:t>2.3</w:t>
            </w:r>
          </w:p>
        </w:tc>
        <w:tc>
          <w:tcPr>
            <w:tcW w:w="5610" w:type="dxa"/>
            <w:tcBorders>
              <w:top w:val="nil"/>
              <w:left w:val="nil"/>
              <w:bottom w:val="nil"/>
              <w:right w:val="nil"/>
            </w:tcBorders>
            <w:tcMar>
              <w:top w:w="0" w:type="dxa"/>
              <w:left w:w="62" w:type="dxa"/>
              <w:bottom w:w="0" w:type="dxa"/>
              <w:right w:w="62" w:type="dxa"/>
            </w:tcMar>
          </w:tcPr>
          <w:p w:rsidR="00000000" w:rsidP="007C71DC">
            <w:pPr>
              <w:pStyle w:val="BodyText"/>
              <w:rPr>
                <w:lang w:val="en-NZ"/>
              </w:rPr>
            </w:pPr>
            <w:r w:rsidRPr="007C71DC">
              <w:t>Review solution to ensure it provides information releva</w:t>
            </w:r>
            <w:r w:rsidRPr="007C71DC">
              <w:t xml:space="preserve">nt to resolution of engineering application task </w:t>
            </w:r>
          </w:p>
        </w:tc>
      </w:tr>
      <w:tr w:rsidTr="007C71D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C71DC">
            <w:pPr>
              <w:pStyle w:val="BodyText"/>
              <w:rPr>
                <w:lang w:val="en-NZ"/>
              </w:rPr>
            </w:pPr>
            <w:r w:rsidRPr="007C71DC">
              <w:t>2.4</w:t>
            </w:r>
          </w:p>
        </w:tc>
        <w:tc>
          <w:tcPr>
            <w:tcW w:w="5610" w:type="dxa"/>
            <w:tcBorders>
              <w:top w:val="nil"/>
              <w:left w:val="nil"/>
              <w:bottom w:val="nil"/>
              <w:right w:val="nil"/>
            </w:tcBorders>
            <w:tcMar>
              <w:top w:w="0" w:type="dxa"/>
              <w:left w:w="62" w:type="dxa"/>
              <w:bottom w:w="0" w:type="dxa"/>
              <w:right w:w="62" w:type="dxa"/>
            </w:tcMar>
          </w:tcPr>
          <w:p w:rsidR="00000000" w:rsidRPr="007C71DC" w:rsidP="007C71DC">
            <w:pPr>
              <w:pStyle w:val="BodyText"/>
            </w:pPr>
            <w:r w:rsidRPr="007C71DC">
              <w:t>Report results and document calculations, graphs and analysis</w:t>
            </w:r>
          </w:p>
        </w:tc>
      </w:tr>
    </w:tbl>
    <w:p w:rsidR="00000000" w:rsidRPr="007C71DC" w:rsidP="007C71DC">
      <w:pPr>
        <w:pStyle w:val="BodyText"/>
      </w:pPr>
    </w:p>
    <w:tbl>
      <w:tblPr>
        <w:tblW w:w="0" w:type="auto"/>
        <w:tblLayout w:type="fixed"/>
        <w:tblCellMar>
          <w:left w:w="62" w:type="dxa"/>
          <w:right w:w="62" w:type="dxa"/>
        </w:tblCellMar>
        <w:tblLook w:val="0000"/>
      </w:tblPr>
      <w:tblGrid>
        <w:gridCol w:w="678"/>
        <w:gridCol w:w="1962"/>
        <w:gridCol w:w="770"/>
        <w:gridCol w:w="5610"/>
      </w:tblGrid>
      <w:tr w:rsidTr="007C71D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7C71DC">
            <w:pPr>
              <w:pStyle w:val="BodyText"/>
              <w:rPr>
                <w:lang w:val="en-NZ"/>
              </w:rPr>
            </w:pPr>
            <w:r w:rsidRPr="007C71DC">
              <w:t>3</w:t>
            </w:r>
          </w:p>
        </w:tc>
        <w:tc>
          <w:tcPr>
            <w:tcW w:w="1962" w:type="dxa"/>
            <w:vMerge w:val="restart"/>
            <w:tcBorders>
              <w:top w:val="nil"/>
              <w:left w:val="nil"/>
              <w:bottom w:val="nil"/>
              <w:right w:val="nil"/>
            </w:tcBorders>
            <w:tcMar>
              <w:top w:w="0" w:type="dxa"/>
              <w:left w:w="62" w:type="dxa"/>
              <w:bottom w:w="0" w:type="dxa"/>
              <w:right w:w="62" w:type="dxa"/>
            </w:tcMar>
          </w:tcPr>
          <w:p w:rsidR="00000000" w:rsidP="007C71DC">
            <w:pPr>
              <w:pStyle w:val="BodyText"/>
              <w:rPr>
                <w:lang w:val="en-NZ"/>
              </w:rPr>
            </w:pPr>
            <w:r w:rsidRPr="007C71DC">
              <w:t xml:space="preserve">Apply integration techniques to engineering </w:t>
            </w:r>
            <w:r w:rsidRPr="007C71DC">
              <w:t>applications</w:t>
            </w:r>
          </w:p>
        </w:tc>
        <w:tc>
          <w:tcPr>
            <w:tcW w:w="770" w:type="dxa"/>
            <w:tcBorders>
              <w:top w:val="nil"/>
              <w:left w:val="nil"/>
              <w:bottom w:val="nil"/>
              <w:right w:val="nil"/>
            </w:tcBorders>
            <w:tcMar>
              <w:top w:w="0" w:type="dxa"/>
              <w:left w:w="62" w:type="dxa"/>
              <w:bottom w:w="0" w:type="dxa"/>
              <w:right w:w="62" w:type="dxa"/>
            </w:tcMar>
          </w:tcPr>
          <w:p w:rsidR="00000000" w:rsidP="007C71DC">
            <w:pPr>
              <w:pStyle w:val="BodyText"/>
              <w:rPr>
                <w:lang w:val="en-NZ"/>
              </w:rPr>
            </w:pPr>
            <w:r w:rsidRPr="007C71DC">
              <w:t>3.1</w:t>
            </w:r>
          </w:p>
        </w:tc>
        <w:tc>
          <w:tcPr>
            <w:tcW w:w="5610" w:type="dxa"/>
            <w:tcBorders>
              <w:top w:val="nil"/>
              <w:left w:val="nil"/>
              <w:bottom w:val="nil"/>
              <w:right w:val="nil"/>
            </w:tcBorders>
            <w:tcMar>
              <w:top w:w="0" w:type="dxa"/>
              <w:left w:w="62" w:type="dxa"/>
              <w:bottom w:w="0" w:type="dxa"/>
              <w:right w:w="62" w:type="dxa"/>
            </w:tcMar>
          </w:tcPr>
          <w:p w:rsidR="00000000" w:rsidP="007C71DC">
            <w:pPr>
              <w:pStyle w:val="BodyText"/>
              <w:rPr>
                <w:lang w:val="en-NZ"/>
              </w:rPr>
            </w:pPr>
            <w:r w:rsidRPr="007C71DC">
              <w:t>Apply standard integration rules to solve engineering problems</w:t>
            </w:r>
          </w:p>
        </w:tc>
      </w:tr>
      <w:tr w:rsidTr="007C71D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C71DC">
            <w:pPr>
              <w:pStyle w:val="BodyText"/>
              <w:rPr>
                <w:lang w:val="en-NZ"/>
              </w:rPr>
            </w:pPr>
            <w:r w:rsidRPr="007C71DC">
              <w:t>3.2</w:t>
            </w:r>
          </w:p>
        </w:tc>
        <w:tc>
          <w:tcPr>
            <w:tcW w:w="5610" w:type="dxa"/>
            <w:tcBorders>
              <w:top w:val="nil"/>
              <w:left w:val="nil"/>
              <w:bottom w:val="nil"/>
              <w:right w:val="nil"/>
            </w:tcBorders>
            <w:tcMar>
              <w:top w:w="0" w:type="dxa"/>
              <w:left w:w="62" w:type="dxa"/>
              <w:bottom w:w="0" w:type="dxa"/>
              <w:right w:w="62" w:type="dxa"/>
            </w:tcMar>
          </w:tcPr>
          <w:p w:rsidR="00000000" w:rsidP="007C71DC">
            <w:pPr>
              <w:pStyle w:val="BodyText"/>
              <w:rPr>
                <w:lang w:val="en-NZ"/>
              </w:rPr>
            </w:pPr>
            <w:r w:rsidRPr="007C71DC">
              <w:t xml:space="preserve">Check solution is laid out correctly and is error free  </w:t>
            </w:r>
          </w:p>
        </w:tc>
      </w:tr>
      <w:tr w:rsidTr="007C71D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C71DC">
            <w:pPr>
              <w:pStyle w:val="BodyText"/>
              <w:rPr>
                <w:lang w:val="en-NZ"/>
              </w:rPr>
            </w:pPr>
            <w:r w:rsidRPr="007C71DC">
              <w:t>3.3</w:t>
            </w:r>
          </w:p>
        </w:tc>
        <w:tc>
          <w:tcPr>
            <w:tcW w:w="5610" w:type="dxa"/>
            <w:tcBorders>
              <w:top w:val="nil"/>
              <w:left w:val="nil"/>
              <w:bottom w:val="nil"/>
              <w:right w:val="nil"/>
            </w:tcBorders>
            <w:tcMar>
              <w:top w:w="0" w:type="dxa"/>
              <w:left w:w="62" w:type="dxa"/>
              <w:bottom w:w="0" w:type="dxa"/>
              <w:right w:w="62" w:type="dxa"/>
            </w:tcMar>
          </w:tcPr>
          <w:p w:rsidR="00000000" w:rsidP="007C71DC">
            <w:pPr>
              <w:pStyle w:val="BodyText"/>
              <w:rPr>
                <w:lang w:val="en-NZ"/>
              </w:rPr>
            </w:pPr>
            <w:r w:rsidRPr="007C71DC">
              <w:t xml:space="preserve">Review solution to ensure it provides information relevant to resolution of engineering application task </w:t>
            </w:r>
          </w:p>
        </w:tc>
      </w:tr>
      <w:tr w:rsidTr="007C71D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C71DC">
            <w:pPr>
              <w:pStyle w:val="BodyText"/>
              <w:rPr>
                <w:lang w:val="en-NZ"/>
              </w:rPr>
            </w:pPr>
            <w:r w:rsidRPr="007C71DC">
              <w:t>3.4</w:t>
            </w:r>
          </w:p>
        </w:tc>
        <w:tc>
          <w:tcPr>
            <w:tcW w:w="5610" w:type="dxa"/>
            <w:tcBorders>
              <w:top w:val="nil"/>
              <w:left w:val="nil"/>
              <w:bottom w:val="nil"/>
              <w:right w:val="nil"/>
            </w:tcBorders>
            <w:tcMar>
              <w:top w:w="0" w:type="dxa"/>
              <w:left w:w="62" w:type="dxa"/>
              <w:bottom w:w="0" w:type="dxa"/>
              <w:right w:w="62" w:type="dxa"/>
            </w:tcMar>
          </w:tcPr>
          <w:p w:rsidR="00000000" w:rsidRPr="007C71DC" w:rsidP="007C71DC">
            <w:pPr>
              <w:pStyle w:val="BodyText"/>
            </w:pPr>
            <w:r w:rsidRPr="007C71DC">
              <w:t>Report results and document calculations, graphs and analysis</w:t>
            </w:r>
          </w:p>
        </w:tc>
      </w:tr>
    </w:tbl>
    <w:p w:rsidR="00397EF7" w:rsidP="007C71DC">
      <w:pPr>
        <w:pStyle w:val="BodyText"/>
      </w:pPr>
    </w:p>
    <w:p w:rsidR="00397EF7" w:rsidP="007C71DC">
      <w:pPr>
        <w:pStyle w:val="BodyText"/>
      </w:pPr>
    </w:p>
    <w:p w:rsidR="00000000" w:rsidRPr="007C71DC" w:rsidP="007C71DC">
      <w:pPr>
        <w:pStyle w:val="Heading1"/>
      </w:pPr>
      <w:bookmarkStart w:id="9" w:name="O_519273"/>
      <w:bookmarkEnd w:id="9"/>
      <w:r w:rsidRPr="007C71DC">
        <w:t>Required Skills and Knowledge</w:t>
      </w:r>
    </w:p>
    <w:tbl>
      <w:tblPr>
        <w:tblW w:w="9462" w:type="dxa"/>
        <w:tblLayout w:type="fixed"/>
        <w:tblCellMar>
          <w:left w:w="62" w:type="dxa"/>
          <w:right w:w="62" w:type="dxa"/>
        </w:tblCellMar>
        <w:tblLook w:val="0000"/>
      </w:tblPr>
      <w:tblGrid>
        <w:gridCol w:w="9462"/>
      </w:tblGrid>
      <w:tr w:rsidTr="007C71DC">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7C71DC">
            <w:pPr>
              <w:pStyle w:val="BodyText"/>
              <w:rPr>
                <w:lang w:val="en-NZ"/>
              </w:rPr>
            </w:pPr>
            <w:r w:rsidRPr="007C71DC">
              <w:t>This section describes the skills and knowledge required for this unit.</w:t>
            </w:r>
          </w:p>
        </w:tc>
      </w:tr>
      <w:tr w:rsidTr="007C71DC">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7C71DC">
            <w:pPr>
              <w:pStyle w:val="BodyText"/>
              <w:rPr>
                <w:lang w:val="en-NZ"/>
              </w:rPr>
            </w:pPr>
            <w:r w:rsidRPr="007C71DC">
              <w:rPr>
                <w:rStyle w:val="SpecialBold"/>
              </w:rPr>
              <w:t>Required skills</w:t>
            </w:r>
          </w:p>
        </w:tc>
      </w:tr>
      <w:tr w:rsidTr="007C71DC">
        <w:tblPrEx>
          <w:tblW w:w="9462" w:type="dxa"/>
          <w:tblLayout w:type="fixed"/>
          <w:tblCellMar>
            <w:left w:w="62" w:type="dxa"/>
            <w:right w:w="62" w:type="dxa"/>
          </w:tblCellMar>
          <w:tblLook w:val="0000"/>
        </w:tblPrEx>
        <w:trPr>
          <w:trHeight w:val="1050"/>
        </w:trPr>
        <w:tc>
          <w:tcPr>
            <w:tcW w:w="9462" w:type="dxa"/>
            <w:tcBorders>
              <w:top w:val="nil"/>
              <w:left w:val="nil"/>
              <w:bottom w:val="nil"/>
              <w:right w:val="nil"/>
            </w:tcBorders>
            <w:tcMar>
              <w:top w:w="0" w:type="dxa"/>
              <w:left w:w="62" w:type="dxa"/>
              <w:bottom w:w="0" w:type="dxa"/>
              <w:right w:w="62" w:type="dxa"/>
            </w:tcMar>
          </w:tcPr>
          <w:p w:rsidR="00000000" w:rsidRPr="007C71DC" w:rsidP="007C71DC">
            <w:pPr>
              <w:pStyle w:val="BodyText"/>
            </w:pPr>
            <w:r w:rsidRPr="007C71DC">
              <w:t>Required skills include:</w:t>
            </w:r>
          </w:p>
          <w:p w:rsidR="00000000" w:rsidRPr="007C71DC" w:rsidP="007C71DC">
            <w:pPr>
              <w:pStyle w:val="ListBullet"/>
            </w:pPr>
            <w:r w:rsidRPr="007C71DC">
              <w:t>analysing engineering applications to determine relevant calculus techniques</w:t>
            </w:r>
          </w:p>
          <w:p w:rsidR="00000000" w:rsidRPr="007C71DC" w:rsidP="007C71DC">
            <w:pPr>
              <w:pStyle w:val="ListBullet"/>
            </w:pPr>
            <w:r w:rsidRPr="007C71DC">
              <w:t>applying relevant differentiation and integration concepts and tools to engineering applications</w:t>
            </w:r>
          </w:p>
          <w:p w:rsidR="00000000" w:rsidRPr="007C71DC" w:rsidP="007C71DC">
            <w:pPr>
              <w:pStyle w:val="ListBullet"/>
            </w:pPr>
            <w:r w:rsidRPr="007C71DC">
              <w:t xml:space="preserve">using appropriate software and/or scientific calculators to generate solutions to statistical and probability-related engineering problems  </w:t>
            </w:r>
          </w:p>
          <w:p w:rsidR="00000000" w:rsidRPr="007C71DC" w:rsidP="007C71DC">
            <w:pPr>
              <w:pStyle w:val="ListBullet"/>
            </w:pPr>
            <w:r w:rsidRPr="007C71DC">
              <w:t>using differentiat</w:t>
            </w:r>
            <w:r w:rsidRPr="007C71DC">
              <w:t>ion to find rates of change</w:t>
            </w:r>
          </w:p>
          <w:p w:rsidR="00000000" w:rsidRPr="007C71DC" w:rsidP="007C71DC">
            <w:pPr>
              <w:pStyle w:val="ListBullet"/>
            </w:pPr>
            <w:r w:rsidRPr="007C71DC">
              <w:t xml:space="preserve">applying special calculus techniques to solve more complex integrals, such as: </w:t>
            </w:r>
          </w:p>
          <w:p w:rsidR="00000000" w:rsidRPr="007C71DC" w:rsidP="007C71DC">
            <w:pPr>
              <w:pStyle w:val="ListBullet2"/>
            </w:pPr>
            <w:r w:rsidRPr="007C71DC">
              <w:t>method of substitution</w:t>
            </w:r>
          </w:p>
          <w:p w:rsidR="00000000" w:rsidRPr="007C71DC" w:rsidP="007C71DC">
            <w:pPr>
              <w:pStyle w:val="ListBullet2"/>
            </w:pPr>
            <w:r w:rsidRPr="007C71DC">
              <w:t>using trigonometric identities</w:t>
            </w:r>
          </w:p>
          <w:p w:rsidR="00000000" w:rsidRPr="007C71DC" w:rsidP="007C71DC">
            <w:pPr>
              <w:pStyle w:val="ListBullet"/>
            </w:pPr>
            <w:r w:rsidRPr="007C71DC">
              <w:t>identifying and solving simple first and second order differential equations</w:t>
            </w:r>
          </w:p>
          <w:p w:rsidR="00000000" w:rsidRPr="007C71DC" w:rsidP="007C71DC">
            <w:pPr>
              <w:pStyle w:val="ListBullet"/>
            </w:pPr>
            <w:r w:rsidRPr="007C71DC">
              <w:t>identifying key points to find constants of integration</w:t>
            </w:r>
          </w:p>
          <w:p w:rsidR="00000000" w:rsidRPr="007C71DC" w:rsidP="007C71DC">
            <w:pPr>
              <w:pStyle w:val="ListBullet"/>
            </w:pPr>
            <w:r w:rsidRPr="007C71DC">
              <w:t>finding integrals of algebraic, trigonometric and exponential functions</w:t>
            </w:r>
          </w:p>
          <w:p w:rsidR="00000000" w:rsidRPr="007C71DC" w:rsidP="007C71DC">
            <w:pPr>
              <w:pStyle w:val="ListBullet"/>
            </w:pPr>
            <w:r w:rsidRPr="007C71DC">
              <w:t>establishing appropriate procedures for checking and validating solutions</w:t>
            </w:r>
          </w:p>
          <w:p w:rsidR="00000000" w:rsidRPr="007C71DC" w:rsidP="007C71DC">
            <w:pPr>
              <w:pStyle w:val="ListBullet"/>
            </w:pPr>
            <w:r w:rsidRPr="007C71DC">
              <w:t>logical layout and presentation of data developed usin</w:t>
            </w:r>
            <w:r w:rsidRPr="007C71DC">
              <w:t>g calculus</w:t>
            </w:r>
          </w:p>
          <w:p w:rsidR="00000000" w:rsidP="007C71DC">
            <w:pPr>
              <w:pStyle w:val="ListBullet"/>
              <w:rPr>
                <w:lang w:val="en-NZ"/>
              </w:rPr>
            </w:pPr>
            <w:r w:rsidRPr="007C71DC">
              <w:t>reporting and effectively communicating the results of calculus-based analysis</w:t>
            </w:r>
          </w:p>
        </w:tc>
      </w:tr>
      <w:tr w:rsidTr="007C71DC">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7C71DC" w:rsidP="007C71DC">
            <w:pPr>
              <w:pStyle w:val="BodyText"/>
            </w:pPr>
          </w:p>
          <w:p w:rsidR="00000000" w:rsidP="007C71DC">
            <w:pPr>
              <w:pStyle w:val="BodyText"/>
              <w:rPr>
                <w:lang w:val="en-NZ"/>
              </w:rPr>
            </w:pPr>
            <w:r w:rsidRPr="007C71DC">
              <w:rPr>
                <w:rStyle w:val="SpecialBold"/>
              </w:rPr>
              <w:t>Required knowledge</w:t>
            </w:r>
          </w:p>
        </w:tc>
      </w:tr>
      <w:tr w:rsidTr="007C71DC">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7C71DC" w:rsidP="007C71DC">
            <w:pPr>
              <w:pStyle w:val="BodyText"/>
            </w:pPr>
            <w:r w:rsidRPr="007C71DC">
              <w:t>Required knowledge includes:</w:t>
            </w:r>
          </w:p>
          <w:p w:rsidR="00000000" w:rsidRPr="007C71DC" w:rsidP="007C71DC">
            <w:pPr>
              <w:pStyle w:val="ListBullet"/>
            </w:pPr>
            <w:r w:rsidRPr="007C71DC">
              <w:t>identifying appropriate limits and applying to engineering problems being</w:t>
            </w:r>
            <w:r w:rsidRPr="007C71DC">
              <w:rPr>
                <w:rStyle w:val="Emphasis"/>
              </w:rPr>
              <w:t xml:space="preserve"> </w:t>
            </w:r>
            <w:r w:rsidRPr="007C71DC">
              <w:t>solved with calculus techniques</w:t>
            </w:r>
          </w:p>
          <w:p w:rsidR="00000000" w:rsidRPr="007C71DC" w:rsidP="007C71DC">
            <w:pPr>
              <w:pStyle w:val="ListBullet"/>
            </w:pPr>
            <w:r w:rsidRPr="007C71DC">
              <w:t>differentiation rules and techniques</w:t>
            </w:r>
          </w:p>
          <w:p w:rsidR="00000000" w:rsidRPr="007C71DC" w:rsidP="007C71DC">
            <w:pPr>
              <w:pStyle w:val="ListBullet"/>
            </w:pPr>
            <w:r w:rsidRPr="007C71DC">
              <w:t xml:space="preserve">partial differentiation  </w:t>
            </w:r>
          </w:p>
          <w:p w:rsidR="00000000" w:rsidRPr="007C71DC" w:rsidP="007C71DC">
            <w:pPr>
              <w:pStyle w:val="ListBullet"/>
            </w:pPr>
            <w:r w:rsidRPr="007C71DC">
              <w:t>relationship between differentiation and attributes of mathematical curves and graphs</w:t>
            </w:r>
          </w:p>
          <w:p w:rsidR="00000000" w:rsidRPr="007C71DC" w:rsidP="007C71DC">
            <w:pPr>
              <w:pStyle w:val="ListBullet"/>
            </w:pPr>
            <w:r w:rsidRPr="007C71DC">
              <w:t>optimisation of variables based on maximum and minimum values of mathematical curves and graphs</w:t>
            </w:r>
          </w:p>
          <w:p w:rsidR="00000000" w:rsidRPr="007C71DC" w:rsidP="007C71DC">
            <w:pPr>
              <w:pStyle w:val="ListBullet"/>
            </w:pPr>
            <w:r w:rsidRPr="007C71DC">
              <w:t>integration</w:t>
            </w:r>
            <w:r w:rsidRPr="007C71DC">
              <w:t xml:space="preserve"> as the reverse of differentiation</w:t>
            </w:r>
          </w:p>
          <w:p w:rsidR="00000000" w:rsidRPr="007C71DC" w:rsidP="007C71DC">
            <w:pPr>
              <w:pStyle w:val="ListBullet"/>
            </w:pPr>
            <w:r w:rsidRPr="007C71DC">
              <w:t xml:space="preserve">integration rules and techniques </w:t>
            </w:r>
          </w:p>
          <w:p w:rsidR="00000000" w:rsidRPr="007C71DC" w:rsidP="007C71DC">
            <w:pPr>
              <w:pStyle w:val="ListBullet"/>
            </w:pPr>
            <w:r w:rsidRPr="007C71DC">
              <w:t>the definite integral</w:t>
            </w:r>
          </w:p>
        </w:tc>
      </w:tr>
    </w:tbl>
    <w:p w:rsidR="00000000" w:rsidRPr="007C71DC" w:rsidP="007C71DC">
      <w:pPr>
        <w:pStyle w:val="BodyText"/>
      </w:pPr>
    </w:p>
    <w:p w:rsidR="00000000" w:rsidRPr="007C71DC" w:rsidP="007C71DC">
      <w:pPr>
        <w:pStyle w:val="AllowPageBreak"/>
      </w:pPr>
    </w:p>
    <w:p w:rsidR="00000000" w:rsidRPr="007C71DC" w:rsidP="007C71DC">
      <w:pPr>
        <w:pStyle w:val="Heading1"/>
      </w:pPr>
      <w:bookmarkStart w:id="10" w:name="O_519272"/>
      <w:bookmarkEnd w:id="10"/>
      <w:r w:rsidRPr="007C71DC">
        <w:t>Evidence Guide</w:t>
      </w:r>
    </w:p>
    <w:tbl>
      <w:tblPr>
        <w:tblW w:w="9462" w:type="dxa"/>
        <w:tblLayout w:type="fixed"/>
        <w:tblCellMar>
          <w:left w:w="62" w:type="dxa"/>
          <w:right w:w="62" w:type="dxa"/>
        </w:tblCellMar>
        <w:tblLook w:val="0000"/>
      </w:tblPr>
      <w:tblGrid>
        <w:gridCol w:w="2552"/>
        <w:gridCol w:w="6910"/>
      </w:tblGrid>
      <w:tr w:rsidTr="007C71DC">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7C71DC">
            <w:pPr>
              <w:pStyle w:val="BodyText"/>
              <w:rPr>
                <w:lang w:val="en-NZ"/>
              </w:rPr>
            </w:pPr>
            <w:r w:rsidRPr="007C71DC">
              <w:t>The evidence guide provides advice on assessment and must be read in conjunction with the performance criteria, required skills and knowledge, range statement and the Assessment Guidelines for the Training Package.</w:t>
            </w:r>
          </w:p>
        </w:tc>
      </w:tr>
      <w:tr w:rsidTr="007C71DC">
        <w:tblPrEx>
          <w:tblW w:w="9462" w:type="dxa"/>
          <w:tblLayout w:type="fixed"/>
          <w:tblCellMar>
            <w:left w:w="62" w:type="dxa"/>
            <w:right w:w="62" w:type="dxa"/>
          </w:tblCellMar>
          <w:tblLook w:val="0000"/>
        </w:tblPrEx>
        <w:tc>
          <w:tcPr>
            <w:tcW w:w="25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71DC">
            <w:pPr>
              <w:pStyle w:val="BodyText"/>
              <w:rPr>
                <w:lang w:val="en-NZ"/>
              </w:rPr>
            </w:pPr>
            <w:r w:rsidRPr="007C71DC">
              <w:rPr>
                <w:rStyle w:val="SpecialBold"/>
              </w:rPr>
              <w:t>Overview of assessment</w:t>
            </w:r>
          </w:p>
        </w:tc>
        <w:tc>
          <w:tcPr>
            <w:tcW w:w="69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71DC">
            <w:pPr>
              <w:pStyle w:val="BodyText"/>
              <w:rPr>
                <w:lang w:val="en-NZ"/>
              </w:rPr>
            </w:pPr>
            <w:r w:rsidRPr="007C71DC">
              <w:t>A person who demonstrates competency in this unit must be able to apply calculus techniques to engineering and related problems within the context of specified engineering applications and solution validation and technical oversight procedures. The candida</w:t>
            </w:r>
            <w:r w:rsidRPr="007C71DC">
              <w:t xml:space="preserve">te may demonstrate competence through either working individually or as part of a team.  </w:t>
            </w:r>
          </w:p>
        </w:tc>
      </w:tr>
      <w:tr w:rsidTr="007C71DC">
        <w:tblPrEx>
          <w:tblW w:w="9462" w:type="dxa"/>
          <w:tblLayout w:type="fixed"/>
          <w:tblCellMar>
            <w:left w:w="62" w:type="dxa"/>
            <w:right w:w="62" w:type="dxa"/>
          </w:tblCellMar>
          <w:tblLook w:val="0000"/>
        </w:tblPrEx>
        <w:tc>
          <w:tcPr>
            <w:tcW w:w="25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71DC">
            <w:pPr>
              <w:pStyle w:val="BodyText"/>
              <w:rPr>
                <w:lang w:val="en-NZ"/>
              </w:rPr>
            </w:pPr>
            <w:r w:rsidRPr="007C71DC">
              <w:rPr>
                <w:rStyle w:val="SpecialBold"/>
              </w:rPr>
              <w:t>Critical aspects for assessment and evidence required to demonstrate competency in this unit</w:t>
            </w:r>
          </w:p>
        </w:tc>
        <w:tc>
          <w:tcPr>
            <w:tcW w:w="69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71DC" w:rsidP="007C71DC">
            <w:pPr>
              <w:pStyle w:val="BodyText"/>
            </w:pPr>
            <w:r w:rsidRPr="007C71DC">
              <w:t>Assessors must be satisfied that the candidate can competently and consi</w:t>
            </w:r>
            <w:r w:rsidRPr="007C71DC">
              <w:t>stently:</w:t>
            </w:r>
          </w:p>
          <w:p w:rsidR="00000000" w:rsidRPr="007C71DC" w:rsidP="007C71DC">
            <w:pPr>
              <w:pStyle w:val="ListBullet"/>
            </w:pPr>
            <w:r w:rsidRPr="007C71DC">
              <w:t>solve mathematical problems related to engineering and manufacturing using calculus techniques</w:t>
            </w:r>
          </w:p>
          <w:p w:rsidR="00000000" w:rsidRPr="007C71DC" w:rsidP="007C71DC">
            <w:pPr>
              <w:pStyle w:val="ListBullet"/>
            </w:pPr>
            <w:r w:rsidRPr="007C71DC">
              <w:t>validate results of mathematical problems using calculus either analytically and/or graphically</w:t>
            </w:r>
          </w:p>
          <w:p w:rsidR="00000000" w:rsidRPr="007C71DC" w:rsidP="007C71DC">
            <w:pPr>
              <w:pStyle w:val="ListBullet"/>
            </w:pPr>
            <w:r w:rsidRPr="007C71DC">
              <w:t>manipulate engineering and manufacturing-related mathem</w:t>
            </w:r>
            <w:r w:rsidRPr="007C71DC">
              <w:t>atical functions and equations using calculus techniques</w:t>
            </w:r>
          </w:p>
          <w:p w:rsidR="00000000" w:rsidP="007C71DC">
            <w:pPr>
              <w:pStyle w:val="ListBullet"/>
              <w:rPr>
                <w:lang w:val="en-NZ"/>
              </w:rPr>
            </w:pPr>
            <w:r w:rsidRPr="007C71DC">
              <w:t>analyse mathematical problems by using appropriate calculus techniques to achieve engineering and manufacturing solutions.</w:t>
            </w:r>
          </w:p>
        </w:tc>
      </w:tr>
      <w:tr w:rsidTr="007C71DC">
        <w:tblPrEx>
          <w:tblW w:w="9462" w:type="dxa"/>
          <w:tblLayout w:type="fixed"/>
          <w:tblCellMar>
            <w:left w:w="62" w:type="dxa"/>
            <w:right w:w="62" w:type="dxa"/>
          </w:tblCellMar>
          <w:tblLook w:val="0000"/>
        </w:tblPrEx>
        <w:tc>
          <w:tcPr>
            <w:tcW w:w="25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71DC">
            <w:pPr>
              <w:pStyle w:val="BodyText"/>
              <w:rPr>
                <w:lang w:val="en-NZ"/>
              </w:rPr>
            </w:pPr>
            <w:r w:rsidRPr="007C71DC">
              <w:rPr>
                <w:rStyle w:val="SpecialBold"/>
              </w:rPr>
              <w:t>Context of and specific resources for assessment</w:t>
            </w:r>
          </w:p>
        </w:tc>
        <w:tc>
          <w:tcPr>
            <w:tcW w:w="69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71DC" w:rsidP="007C71DC">
            <w:pPr>
              <w:pStyle w:val="ListBullet"/>
            </w:pPr>
            <w:r w:rsidRPr="007C71DC">
              <w:t xml:space="preserve">This unit may be assessed on the job, off the job or a combination of both on and off the job. Where assessment occurs off the job then a simulated working environment must be used where the range of conditions reflects realistic workplace situations. The </w:t>
            </w:r>
            <w:r w:rsidRPr="007C71DC">
              <w:t xml:space="preserve">competencies covered by this unit would be demonstrated by an individual working alone or as part of a team. </w:t>
            </w:r>
          </w:p>
          <w:p w:rsidR="00000000" w:rsidRPr="007C71DC" w:rsidP="007C71DC">
            <w:pPr>
              <w:pStyle w:val="ListBullet"/>
            </w:pPr>
            <w:r w:rsidRPr="007C71DC">
              <w:t>Where applicable, reasonable adjustment must be made to work environments and training situations to accommodate ethnicity, age, gender, demograph</w:t>
            </w:r>
            <w:r w:rsidRPr="007C71DC">
              <w:t>ics and disability.</w:t>
            </w:r>
          </w:p>
          <w:p w:rsidR="00000000" w:rsidP="007C71DC">
            <w:pPr>
              <w:pStyle w:val="ListBullet"/>
              <w:rPr>
                <w:lang w:val="en-NZ"/>
              </w:rPr>
            </w:pPr>
            <w:r w:rsidRPr="007C71DC">
              <w:t>Access must be provided to appropriate learning and/or assessment support when required. Where applicable, physical resources should include equipment modified for people with disabilities.</w:t>
            </w:r>
          </w:p>
        </w:tc>
      </w:tr>
      <w:tr w:rsidTr="007C71DC">
        <w:tblPrEx>
          <w:tblW w:w="9462" w:type="dxa"/>
          <w:tblLayout w:type="fixed"/>
          <w:tblCellMar>
            <w:left w:w="62" w:type="dxa"/>
            <w:right w:w="62" w:type="dxa"/>
          </w:tblCellMar>
          <w:tblLook w:val="0000"/>
        </w:tblPrEx>
        <w:tc>
          <w:tcPr>
            <w:tcW w:w="25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71DC">
            <w:pPr>
              <w:pStyle w:val="BodyText"/>
              <w:rPr>
                <w:lang w:val="en-NZ"/>
              </w:rPr>
            </w:pPr>
            <w:r w:rsidRPr="007C71DC">
              <w:rPr>
                <w:rStyle w:val="SpecialBold"/>
              </w:rPr>
              <w:t>Method of assessment</w:t>
            </w:r>
          </w:p>
        </w:tc>
        <w:tc>
          <w:tcPr>
            <w:tcW w:w="69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71DC" w:rsidP="007C71DC">
            <w:pPr>
              <w:pStyle w:val="ListBullet"/>
            </w:pPr>
            <w:r w:rsidRPr="007C71DC">
              <w:t>Assessment must satisfy</w:t>
            </w:r>
            <w:r w:rsidRPr="007C71DC">
              <w:t xml:space="preserve"> the endorsed Assessment Guidelines of the MEM05 Metal and Engineering Training Package.</w:t>
            </w:r>
          </w:p>
          <w:p w:rsidR="00000000" w:rsidRPr="007C71DC" w:rsidP="007C71DC">
            <w:pPr>
              <w:pStyle w:val="ListBullet"/>
            </w:pPr>
            <w:r w:rsidRPr="007C71DC">
              <w:t>Assessment methods must confirm consistency and accuracy of performance (over time and in a range of workplace relevant contexts) together with application of underpin</w:t>
            </w:r>
            <w:r w:rsidRPr="007C71DC">
              <w:t>ning knowledge.</w:t>
            </w:r>
          </w:p>
          <w:p w:rsidR="00000000" w:rsidRPr="007C71DC" w:rsidP="007C71DC">
            <w:pPr>
              <w:pStyle w:val="ListBullet"/>
            </w:pPr>
            <w:r w:rsidRPr="007C71DC">
              <w:t>Assessment methods must be by direct observation of tasks and include questioning on underpinning knowledge to ensure correct interpretation and application.</w:t>
            </w:r>
          </w:p>
          <w:p w:rsidR="00000000" w:rsidRPr="007C71DC" w:rsidP="007C71DC">
            <w:pPr>
              <w:pStyle w:val="ListBullet"/>
            </w:pPr>
            <w:r w:rsidRPr="007C71DC">
              <w:t>Assessment may be applied under project-related conditions (real or simulated) and</w:t>
            </w:r>
            <w:r w:rsidRPr="007C71DC">
              <w:t xml:space="preserve"> require evidence of process.</w:t>
            </w:r>
          </w:p>
          <w:p w:rsidR="00000000" w:rsidRPr="007C71DC" w:rsidP="007C71DC">
            <w:pPr>
              <w:pStyle w:val="ListBullet"/>
            </w:pPr>
            <w:r w:rsidRPr="007C71DC">
              <w:t>Assessment must confirm a reasonable inference that competency is not only able to be satisfied under the particular circumstance, but is able to be transferred to other circumstances.</w:t>
            </w:r>
          </w:p>
          <w:p w:rsidR="00000000" w:rsidP="007C71DC">
            <w:pPr>
              <w:pStyle w:val="ListBullet"/>
              <w:rPr>
                <w:lang w:val="en-NZ"/>
              </w:rPr>
            </w:pPr>
            <w:r w:rsidRPr="007C71DC">
              <w:t>Assessment may be in conjunction with ass</w:t>
            </w:r>
            <w:r w:rsidRPr="007C71DC">
              <w:t>essment of other units of competency where required.</w:t>
            </w:r>
          </w:p>
        </w:tc>
      </w:tr>
      <w:tr w:rsidTr="007C71DC">
        <w:tblPrEx>
          <w:tblW w:w="9462" w:type="dxa"/>
          <w:tblLayout w:type="fixed"/>
          <w:tblCellMar>
            <w:left w:w="62" w:type="dxa"/>
            <w:right w:w="62" w:type="dxa"/>
          </w:tblCellMar>
          <w:tblLook w:val="0000"/>
        </w:tblPrEx>
        <w:tc>
          <w:tcPr>
            <w:tcW w:w="25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71DC">
            <w:pPr>
              <w:pStyle w:val="BodyText"/>
              <w:rPr>
                <w:lang w:val="en-NZ"/>
              </w:rPr>
            </w:pPr>
            <w:r w:rsidRPr="007C71DC">
              <w:rPr>
                <w:rStyle w:val="SpecialBold"/>
              </w:rPr>
              <w:t xml:space="preserve">Guidance information </w:t>
            </w:r>
            <w:r w:rsidRPr="007C71DC">
              <w:rPr>
                <w:rStyle w:val="SpecialBold"/>
              </w:rPr>
              <w:t>for assessment</w:t>
            </w:r>
          </w:p>
        </w:tc>
        <w:tc>
          <w:tcPr>
            <w:tcW w:w="69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71DC" w:rsidP="007C71DC">
            <w:pPr>
              <w:pStyle w:val="BodyText"/>
            </w:pPr>
            <w:r w:rsidRPr="007C71DC">
              <w:t xml:space="preserve">Assessment processes and techniques must be culturally appropriate and appropriate to the language and literacy capacity of the candidate and </w:t>
            </w:r>
            <w:r w:rsidRPr="007C71DC">
              <w:t xml:space="preserve">the </w:t>
            </w:r>
            <w:r w:rsidRPr="007C71DC">
              <w:t>work being performed.</w:t>
            </w:r>
          </w:p>
        </w:tc>
      </w:tr>
    </w:tbl>
    <w:p w:rsidR="00397EF7" w:rsidP="007C71DC">
      <w:pPr>
        <w:pStyle w:val="BodyText"/>
      </w:pPr>
    </w:p>
    <w:p w:rsidR="00397EF7" w:rsidP="007C71DC">
      <w:pPr>
        <w:pStyle w:val="BodyText"/>
      </w:pPr>
    </w:p>
    <w:p w:rsidR="00000000" w:rsidRPr="007C71DC" w:rsidP="007C71DC">
      <w:pPr>
        <w:pStyle w:val="Heading1"/>
      </w:pPr>
      <w:bookmarkStart w:id="11" w:name="O_519271"/>
      <w:bookmarkEnd w:id="11"/>
      <w:r w:rsidRPr="007C71DC">
        <w:t>Range Statement</w:t>
      </w:r>
    </w:p>
    <w:tbl>
      <w:tblPr>
        <w:tblW w:w="9462" w:type="dxa"/>
        <w:tblLayout w:type="fixed"/>
        <w:tblCellMar>
          <w:left w:w="62" w:type="dxa"/>
          <w:right w:w="62" w:type="dxa"/>
        </w:tblCellMar>
        <w:tblLook w:val="0000"/>
      </w:tblPr>
      <w:tblGrid>
        <w:gridCol w:w="2588"/>
        <w:gridCol w:w="6874"/>
      </w:tblGrid>
      <w:tr w:rsidTr="007C71DC">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7C71DC">
            <w:pPr>
              <w:pStyle w:val="BodyText"/>
              <w:rPr>
                <w:lang w:val="en-NZ"/>
              </w:rPr>
            </w:pPr>
            <w:r w:rsidRPr="007C71DC">
              <w:t xml:space="preserve">The range statement relates to the unit of competency as a whole. It allows for different work environments and situations that may affect </w:t>
            </w:r>
            <w:r w:rsidRPr="007C71DC">
              <w:t>performance. Bold italicised wording, if used in the performance criteria, is detailed below. Essential operating conditions that may be present with training and assessment (depending on the work situation, needs of the candidate, accessibility of the ite</w:t>
            </w:r>
            <w:r w:rsidRPr="007C71DC">
              <w:t>m, and local industry and regional contexts) may also be included.</w:t>
            </w:r>
          </w:p>
        </w:tc>
      </w:tr>
      <w:tr w:rsidTr="007C71DC">
        <w:tblPrEx>
          <w:tblW w:w="9462" w:type="dxa"/>
          <w:tblLayout w:type="fixed"/>
          <w:tblCellMar>
            <w:left w:w="62" w:type="dxa"/>
            <w:right w:w="62" w:type="dxa"/>
          </w:tblCellMar>
          <w:tblLook w:val="0000"/>
        </w:tblPrEx>
        <w:tc>
          <w:tcPr>
            <w:tcW w:w="2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71DC">
            <w:pPr>
              <w:pStyle w:val="BodyText"/>
              <w:rPr>
                <w:lang w:val="en-NZ"/>
              </w:rPr>
            </w:pPr>
            <w:r w:rsidRPr="007C71DC">
              <w:rPr>
                <w:rStyle w:val="SpecialBold"/>
              </w:rPr>
              <w:t>Engineering applications related to calculus techniques in this unit</w:t>
            </w:r>
          </w:p>
        </w:tc>
        <w:tc>
          <w:tcPr>
            <w:tcW w:w="68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71DC" w:rsidP="007C71DC">
            <w:pPr>
              <w:pStyle w:val="BodyText"/>
            </w:pPr>
            <w:r w:rsidRPr="007C71DC">
              <w:t>Most engineering disciplines will have applications supported by the calculus skills described in this unit, including</w:t>
            </w:r>
            <w:r w:rsidRPr="007C71DC">
              <w:t xml:space="preserve"> mechanical, manufacturing, maintenance and mechatronics engineering. Examples of engineering or manufacturing applications requiring calculus skills described in this unit may include:</w:t>
            </w:r>
          </w:p>
          <w:p w:rsidR="00000000" w:rsidRPr="007C71DC" w:rsidP="007C71DC">
            <w:pPr>
              <w:pStyle w:val="ListBullet"/>
            </w:pPr>
            <w:r w:rsidRPr="007C71DC">
              <w:t>determining the point of maximum bending moment, slope and deflection</w:t>
            </w:r>
            <w:r w:rsidRPr="007C71DC">
              <w:t xml:space="preserve"> for a beam</w:t>
            </w:r>
          </w:p>
          <w:p w:rsidR="00000000" w:rsidRPr="007C71DC" w:rsidP="007C71DC">
            <w:pPr>
              <w:pStyle w:val="ListBullet"/>
            </w:pPr>
            <w:r w:rsidRPr="007C71DC">
              <w:t xml:space="preserve">determining the depth of parabolic mirrors </w:t>
            </w:r>
          </w:p>
          <w:p w:rsidR="00000000" w:rsidRPr="007C71DC" w:rsidP="007C71DC">
            <w:pPr>
              <w:pStyle w:val="ListBullet"/>
            </w:pPr>
            <w:r w:rsidRPr="007C71DC">
              <w:t>determining moments of inertia of a range of engineering components</w:t>
            </w:r>
          </w:p>
          <w:p w:rsidR="00000000" w:rsidP="007C71DC">
            <w:pPr>
              <w:pStyle w:val="ListBullet"/>
              <w:rPr>
                <w:lang w:val="en-NZ"/>
              </w:rPr>
            </w:pPr>
            <w:r w:rsidRPr="007C71DC">
              <w:t>solving rectilinear motion problems</w:t>
            </w:r>
          </w:p>
        </w:tc>
      </w:tr>
      <w:tr w:rsidTr="007C71DC">
        <w:tblPrEx>
          <w:tblW w:w="9462" w:type="dxa"/>
          <w:tblLayout w:type="fixed"/>
          <w:tblCellMar>
            <w:left w:w="62" w:type="dxa"/>
            <w:right w:w="62" w:type="dxa"/>
          </w:tblCellMar>
          <w:tblLook w:val="0000"/>
        </w:tblPrEx>
        <w:tc>
          <w:tcPr>
            <w:tcW w:w="2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71DC">
            <w:pPr>
              <w:pStyle w:val="BodyText"/>
              <w:rPr>
                <w:lang w:val="en-NZ"/>
              </w:rPr>
            </w:pPr>
            <w:r w:rsidRPr="007C71DC">
              <w:rPr>
                <w:rStyle w:val="SpecialBold"/>
              </w:rPr>
              <w:t xml:space="preserve">Scope of calculus techniques </w:t>
            </w:r>
          </w:p>
        </w:tc>
        <w:tc>
          <w:tcPr>
            <w:tcW w:w="68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71DC" w:rsidP="007C71DC">
            <w:pPr>
              <w:pStyle w:val="BodyText"/>
            </w:pPr>
            <w:r w:rsidRPr="007C71DC">
              <w:t xml:space="preserve">The scope of calculus techniques required for an engineering or manufacturing application will vary and may include: </w:t>
            </w:r>
          </w:p>
          <w:p w:rsidR="00000000" w:rsidRPr="007C71DC" w:rsidP="007C71DC">
            <w:pPr>
              <w:pStyle w:val="ListBullet"/>
            </w:pPr>
            <w:r w:rsidRPr="007C71DC">
              <w:t>identification of appropriate limits</w:t>
            </w:r>
          </w:p>
          <w:p w:rsidR="00000000" w:rsidRPr="007C71DC" w:rsidP="007C71DC">
            <w:pPr>
              <w:pStyle w:val="ListBullet"/>
            </w:pPr>
            <w:r w:rsidRPr="007C71DC">
              <w:t>use of standard derivatives and rules</w:t>
            </w:r>
          </w:p>
          <w:p w:rsidR="00000000" w:rsidRPr="007C71DC" w:rsidP="007C71DC">
            <w:pPr>
              <w:pStyle w:val="ListBullet"/>
            </w:pPr>
            <w:r w:rsidRPr="007C71DC">
              <w:t>application of second and third derivatives</w:t>
            </w:r>
          </w:p>
          <w:p w:rsidR="00000000" w:rsidRPr="007C71DC" w:rsidP="007C71DC">
            <w:pPr>
              <w:pStyle w:val="ListBullet"/>
            </w:pPr>
            <w:r w:rsidRPr="007C71DC">
              <w:t>finding rates of c</w:t>
            </w:r>
            <w:r w:rsidRPr="007C71DC">
              <w:t>hange and slopes of curves</w:t>
            </w:r>
          </w:p>
          <w:p w:rsidR="00000000" w:rsidRPr="007C71DC" w:rsidP="007C71DC">
            <w:pPr>
              <w:pStyle w:val="ListBullet"/>
            </w:pPr>
            <w:r w:rsidRPr="007C71DC">
              <w:t>calculating maximum and minimum values of curves</w:t>
            </w:r>
          </w:p>
          <w:p w:rsidR="00000000" w:rsidRPr="007C71DC" w:rsidP="007C71DC">
            <w:pPr>
              <w:pStyle w:val="ListBullet"/>
            </w:pPr>
            <w:r w:rsidRPr="007C71DC">
              <w:t>solving first and second order differential equations</w:t>
            </w:r>
          </w:p>
          <w:p w:rsidR="00000000" w:rsidRPr="007C71DC" w:rsidP="007C71DC">
            <w:pPr>
              <w:pStyle w:val="ListBullet"/>
            </w:pPr>
            <w:r w:rsidRPr="007C71DC">
              <w:t>use of standard integrals and rules</w:t>
            </w:r>
          </w:p>
          <w:p w:rsidR="00000000" w:rsidRPr="007C71DC" w:rsidP="007C71DC">
            <w:pPr>
              <w:pStyle w:val="ListBullet"/>
            </w:pPr>
            <w:r w:rsidRPr="007C71DC">
              <w:t>finding constants of integration</w:t>
            </w:r>
          </w:p>
          <w:p w:rsidR="00000000" w:rsidRPr="007C71DC" w:rsidP="007C71DC">
            <w:pPr>
              <w:pStyle w:val="ListBullet"/>
            </w:pPr>
            <w:r w:rsidRPr="007C71DC">
              <w:t>finding areas under and between curves</w:t>
            </w:r>
          </w:p>
          <w:p w:rsidR="00000000" w:rsidRPr="007C71DC" w:rsidP="007C71DC">
            <w:pPr>
              <w:pStyle w:val="ListBullet"/>
            </w:pPr>
            <w:r w:rsidRPr="007C71DC">
              <w:t>integrating algebraic, trigonometric and exponential functions</w:t>
            </w:r>
          </w:p>
          <w:p w:rsidR="00000000" w:rsidRPr="007C71DC" w:rsidP="007C71DC">
            <w:pPr>
              <w:pStyle w:val="ListBullet"/>
            </w:pPr>
            <w:r w:rsidRPr="007C71DC">
              <w:t>the definite integral</w:t>
            </w:r>
          </w:p>
          <w:p w:rsidR="00000000" w:rsidRPr="007C71DC" w:rsidP="007C71DC">
            <w:pPr>
              <w:pStyle w:val="ListBullet"/>
            </w:pPr>
            <w:r w:rsidRPr="007C71DC">
              <w:t>identification of appropriate methods to solve more complex integration applications</w:t>
            </w:r>
          </w:p>
        </w:tc>
      </w:tr>
    </w:tbl>
    <w:p w:rsidR="00397EF7" w:rsidP="007C71DC">
      <w:pPr>
        <w:pStyle w:val="BodyText"/>
      </w:pPr>
    </w:p>
    <w:p w:rsidR="00397EF7" w:rsidP="007C71DC">
      <w:pPr>
        <w:pStyle w:val="BodyText"/>
      </w:pPr>
    </w:p>
    <w:p w:rsidR="00000000" w:rsidRPr="007C71DC" w:rsidP="007C71DC">
      <w:pPr>
        <w:pStyle w:val="Heading1"/>
      </w:pPr>
      <w:bookmarkStart w:id="12" w:name="O_519270"/>
      <w:bookmarkEnd w:id="12"/>
      <w:r w:rsidRPr="007C71DC">
        <w:t>Unit Sector(s)</w:t>
      </w:r>
    </w:p>
    <w:tbl>
      <w:tblPr>
        <w:tblW w:w="0" w:type="auto"/>
        <w:tblCellMar>
          <w:left w:w="62" w:type="dxa"/>
          <w:right w:w="62" w:type="dxa"/>
        </w:tblCellMar>
        <w:tblLook w:val="0000"/>
      </w:tblPr>
      <w:tblGrid>
        <w:gridCol w:w="2576"/>
        <w:gridCol w:w="6620"/>
      </w:tblGrid>
      <w:tr w:rsidTr="00397EF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C71DC">
            <w:pPr>
              <w:pStyle w:val="BodyText"/>
              <w:rPr>
                <w:lang w:val="en-NZ"/>
              </w:rPr>
            </w:pPr>
            <w:r w:rsidRPr="007C71DC">
              <w:rPr>
                <w:rStyle w:val="SpecialBold"/>
              </w:rPr>
              <w:t>Competency field</w:t>
            </w:r>
          </w:p>
        </w:tc>
        <w:tc>
          <w:tcPr>
            <w:tcW w:w="0" w:type="auto"/>
            <w:tcBorders>
              <w:top w:val="nil"/>
              <w:left w:val="nil"/>
              <w:bottom w:val="nil"/>
              <w:right w:val="nil"/>
            </w:tcBorders>
            <w:tcMar>
              <w:top w:w="0" w:type="dxa"/>
              <w:left w:w="62" w:type="dxa"/>
              <w:bottom w:w="0" w:type="dxa"/>
              <w:right w:w="62" w:type="dxa"/>
            </w:tcMar>
          </w:tcPr>
          <w:p w:rsidR="00000000" w:rsidP="007C71DC">
            <w:pPr>
              <w:pStyle w:val="BodyText"/>
              <w:rPr>
                <w:lang w:val="en-NZ"/>
              </w:rPr>
            </w:pPr>
          </w:p>
        </w:tc>
      </w:tr>
      <w:tr w:rsidTr="00397EF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C71DC">
            <w:pPr>
              <w:pStyle w:val="BodyText"/>
              <w:rPr>
                <w:lang w:val="en-NZ"/>
              </w:rPr>
            </w:pPr>
            <w:r w:rsidRPr="007C71DC">
              <w:rPr>
                <w:rStyle w:val="SpecialBold"/>
              </w:rPr>
              <w:t>Unit sector</w:t>
            </w:r>
          </w:p>
        </w:tc>
        <w:tc>
          <w:tcPr>
            <w:tcW w:w="0" w:type="auto"/>
            <w:tcBorders>
              <w:top w:val="nil"/>
              <w:left w:val="nil"/>
              <w:bottom w:val="nil"/>
              <w:right w:val="nil"/>
            </w:tcBorders>
            <w:tcMar>
              <w:top w:w="0" w:type="dxa"/>
              <w:left w:w="62" w:type="dxa"/>
              <w:bottom w:w="0" w:type="dxa"/>
              <w:right w:w="62" w:type="dxa"/>
            </w:tcMar>
          </w:tcPr>
          <w:p w:rsidR="00000000" w:rsidRPr="007C71DC" w:rsidP="007C71DC">
            <w:pPr>
              <w:pStyle w:val="BodyText"/>
            </w:pPr>
            <w:r w:rsidRPr="007C71DC">
              <w:t>Engineering science</w:t>
            </w:r>
          </w:p>
        </w:tc>
      </w:tr>
    </w:tbl>
    <w:p w:rsidR="00000000" w:rsidRPr="007C71DC" w:rsidP="007C71DC">
      <w:pPr>
        <w:pStyle w:val="BodyText"/>
      </w:pPr>
    </w:p>
    <w:p w:rsidR="00000000" w:rsidRPr="007C71DC" w:rsidP="007C71DC">
      <w:pPr>
        <w:pStyle w:val="AllowPageBreak"/>
      </w:pPr>
    </w:p>
    <w:p w:rsidR="00000000" w:rsidRPr="007C71DC" w:rsidP="007C71DC">
      <w:pPr>
        <w:pStyle w:val="Heading1"/>
      </w:pPr>
      <w:bookmarkStart w:id="13" w:name="O_519269"/>
      <w:bookmarkEnd w:id="13"/>
      <w:r w:rsidRPr="007C71DC">
        <w:t>Custom Content Section</w:t>
      </w:r>
    </w:p>
    <w:p w:rsidR="00000000" w:rsidRPr="007C71DC" w:rsidP="007C71DC">
      <w:pPr>
        <w:pStyle w:val="BodyText"/>
      </w:pPr>
      <w:r w:rsidRPr="007C71DC">
        <w:t>Not applicable.</w:t>
      </w:r>
    </w:p>
    <w:p w:rsidR="00000000" w:rsidRPr="007C71DC" w:rsidP="007C71DC"/>
    <w:sectPr w:rsidSect="007C71D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71D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71DC" w:rsidRPr="00397EF7" w:rsidP="00397EF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71D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7EF7" w:rsidP="007C71D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397EF7" w:rsidP="007C71D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397EF7" w:rsidP="007C71D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71D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71DC" w:rsidRPr="00397EF7" w:rsidP="00397EF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71D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7EF7" w:rsidRPr="002D2AF8" w:rsidP="007C71DC">
    <w:pPr>
      <w:pStyle w:val="Header"/>
      <w:framePr w:wrap="around"/>
    </w:pPr>
    <w:r>
      <w:fldChar w:fldCharType="begin"/>
    </w:r>
    <w:r>
      <w:instrText xml:space="preserve"> TITLE   \* MERGEFORMAT </w:instrText>
    </w:r>
    <w:r>
      <w:fldChar w:fldCharType="separate"/>
    </w:r>
    <w:r>
      <w:t>MEM23007A Apply calculus to engineering tasks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20/12/2012</w:t>
    </w:r>
    <w:r>
      <w:fldChar w:fldCharType="end"/>
    </w:r>
  </w:p>
  <w:p w:rsidR="00397EF7" w:rsidP="007C71D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814908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35AB72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428EB2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C71D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C71DC"/>
    <w:pPr>
      <w:spacing w:before="360" w:after="60"/>
      <w:outlineLvl w:val="0"/>
    </w:pPr>
    <w:rPr>
      <w:sz w:val="32"/>
    </w:rPr>
  </w:style>
  <w:style w:type="paragraph" w:styleId="Heading2">
    <w:name w:val="heading 2"/>
    <w:basedOn w:val="HeadingBase"/>
    <w:next w:val="BodyText"/>
    <w:link w:val="Heading2Char"/>
    <w:qFormat/>
    <w:rsid w:val="007C71DC"/>
    <w:pPr>
      <w:keepLines/>
      <w:spacing w:before="240" w:after="120"/>
      <w:outlineLvl w:val="1"/>
    </w:pPr>
    <w:rPr>
      <w:sz w:val="28"/>
      <w:szCs w:val="40"/>
    </w:rPr>
  </w:style>
  <w:style w:type="paragraph" w:styleId="Heading3">
    <w:name w:val="heading 3"/>
    <w:basedOn w:val="HeadingBase"/>
    <w:next w:val="BodyText"/>
    <w:link w:val="Heading3Char"/>
    <w:qFormat/>
    <w:rsid w:val="007C71DC"/>
    <w:pPr>
      <w:spacing w:before="180" w:after="120"/>
      <w:outlineLvl w:val="2"/>
    </w:pPr>
    <w:rPr>
      <w:spacing w:val="-10"/>
      <w:kern w:val="32"/>
    </w:rPr>
  </w:style>
  <w:style w:type="paragraph" w:styleId="Heading4">
    <w:name w:val="heading 4"/>
    <w:basedOn w:val="HeadingBase"/>
    <w:next w:val="BodyText"/>
    <w:link w:val="Heading4Char"/>
    <w:qFormat/>
    <w:rsid w:val="007C71DC"/>
    <w:pPr>
      <w:spacing w:before="160" w:after="120"/>
      <w:outlineLvl w:val="3"/>
    </w:pPr>
    <w:rPr>
      <w:sz w:val="22"/>
    </w:rPr>
  </w:style>
  <w:style w:type="paragraph" w:styleId="Heading5">
    <w:name w:val="heading 5"/>
    <w:basedOn w:val="HeadingBase"/>
    <w:next w:val="Normal"/>
    <w:link w:val="Heading5Char"/>
    <w:qFormat/>
    <w:rsid w:val="007C71DC"/>
    <w:pPr>
      <w:spacing w:before="80"/>
      <w:outlineLvl w:val="4"/>
    </w:pPr>
    <w:rPr>
      <w:color w:val="918585"/>
      <w:sz w:val="20"/>
    </w:rPr>
  </w:style>
  <w:style w:type="paragraph" w:styleId="Heading6">
    <w:name w:val="heading 6"/>
    <w:basedOn w:val="HeadingBase"/>
    <w:next w:val="Normal"/>
    <w:link w:val="Heading6Char"/>
    <w:qFormat/>
    <w:rsid w:val="007C71DC"/>
    <w:pPr>
      <w:spacing w:before="60"/>
      <w:outlineLvl w:val="5"/>
    </w:pPr>
    <w:rPr>
      <w:color w:val="918585"/>
      <w:sz w:val="20"/>
    </w:rPr>
  </w:style>
  <w:style w:type="paragraph" w:styleId="Heading7">
    <w:name w:val="heading 7"/>
    <w:basedOn w:val="Normal"/>
    <w:next w:val="Normal"/>
    <w:link w:val="Heading7Char"/>
    <w:qFormat/>
    <w:rsid w:val="007C71DC"/>
    <w:pPr>
      <w:ind w:left="720"/>
      <w:outlineLvl w:val="6"/>
    </w:pPr>
    <w:rPr>
      <w:i/>
    </w:rPr>
  </w:style>
  <w:style w:type="paragraph" w:styleId="Heading8">
    <w:name w:val="heading 8"/>
    <w:basedOn w:val="Normal"/>
    <w:next w:val="Normal"/>
    <w:link w:val="Heading8Char"/>
    <w:qFormat/>
    <w:rsid w:val="007C71DC"/>
    <w:pPr>
      <w:ind w:left="720"/>
      <w:outlineLvl w:val="7"/>
    </w:pPr>
    <w:rPr>
      <w:i/>
    </w:rPr>
  </w:style>
  <w:style w:type="paragraph" w:styleId="Heading9">
    <w:name w:val="heading 9"/>
    <w:basedOn w:val="Normal"/>
    <w:next w:val="Normal"/>
    <w:link w:val="Heading9Char"/>
    <w:qFormat/>
    <w:rsid w:val="007C71DC"/>
    <w:pPr>
      <w:ind w:left="720"/>
      <w:outlineLvl w:val="8"/>
    </w:pPr>
    <w:rPr>
      <w:i/>
    </w:rPr>
  </w:style>
  <w:style w:type="character" w:default="1" w:styleId="DefaultParagraphFont">
    <w:name w:val="Default Paragraph Font"/>
    <w:uiPriority w:val="1"/>
    <w:unhideWhenUsed/>
    <w:rsid w:val="007C71D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C71DC"/>
  </w:style>
  <w:style w:type="character" w:customStyle="1" w:styleId="Heading1Char">
    <w:name w:val="Heading 1 Char"/>
    <w:basedOn w:val="DefaultParagraphFont"/>
    <w:link w:val="Heading1"/>
    <w:rsid w:val="007C71DC"/>
    <w:rPr>
      <w:rFonts w:ascii="Times New Roman" w:eastAsia="Times New Roman" w:hAnsi="Times New Roman" w:cs="Times New Roman"/>
      <w:b/>
      <w:sz w:val="32"/>
      <w:szCs w:val="20"/>
      <w:lang w:eastAsia="en-US"/>
    </w:rPr>
  </w:style>
  <w:style w:type="paragraph" w:styleId="BodyText">
    <w:name w:val="Body Text"/>
    <w:basedOn w:val="Normal"/>
    <w:link w:val="BodyTextChar"/>
    <w:rsid w:val="007C71D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C71DC"/>
    <w:rPr>
      <w:rFonts w:ascii="Times New Roman" w:eastAsia="Times New Roman" w:hAnsi="Times New Roman" w:cs="Times New Roman"/>
      <w:sz w:val="24"/>
      <w:lang w:eastAsia="en-US"/>
    </w:rPr>
  </w:style>
  <w:style w:type="paragraph" w:styleId="ListBullet">
    <w:name w:val="List Bullet"/>
    <w:basedOn w:val="List"/>
    <w:rsid w:val="007C71DC"/>
    <w:pPr>
      <w:numPr>
        <w:numId w:val="13"/>
      </w:numPr>
      <w:tabs>
        <w:tab w:val="clear" w:pos="340"/>
      </w:tabs>
      <w:spacing w:before="40" w:after="40"/>
    </w:pPr>
  </w:style>
  <w:style w:type="character" w:customStyle="1" w:styleId="SpecialBold">
    <w:name w:val="Special Bold"/>
    <w:basedOn w:val="DefaultParagraphFont"/>
    <w:rsid w:val="007C71DC"/>
    <w:rPr>
      <w:b/>
      <w:spacing w:val="0"/>
    </w:rPr>
  </w:style>
  <w:style w:type="paragraph" w:styleId="ListBullet2">
    <w:name w:val="List Bullet 2"/>
    <w:basedOn w:val="List2"/>
    <w:rsid w:val="007C71DC"/>
    <w:pPr>
      <w:numPr>
        <w:numId w:val="14"/>
      </w:numPr>
      <w:tabs>
        <w:tab w:val="clear" w:pos="680"/>
      </w:tabs>
    </w:pPr>
  </w:style>
  <w:style w:type="character" w:styleId="Emphasis">
    <w:name w:val="Emphasis"/>
    <w:basedOn w:val="DefaultParagraphFont"/>
    <w:qFormat/>
    <w:rsid w:val="007C71DC"/>
    <w:rPr>
      <w:i/>
    </w:rPr>
  </w:style>
  <w:style w:type="paragraph" w:customStyle="1" w:styleId="SuperHeading">
    <w:name w:val="SuperHeading"/>
    <w:basedOn w:val="Normal"/>
    <w:rsid w:val="007C71DC"/>
    <w:pPr>
      <w:spacing w:before="240" w:after="120"/>
      <w:outlineLvl w:val="0"/>
    </w:pPr>
    <w:rPr>
      <w:rFonts w:ascii="Times New Roman" w:hAnsi="Times New Roman"/>
      <w:b/>
      <w:sz w:val="32"/>
    </w:rPr>
  </w:style>
  <w:style w:type="paragraph" w:customStyle="1" w:styleId="AllowPageBreak">
    <w:name w:val="AllowPageBreak"/>
    <w:rsid w:val="007C71D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C71D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C71D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C71D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C71D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C71D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C71D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C71D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C71DC"/>
    <w:rPr>
      <w:rFonts w:ascii="Courier New" w:eastAsia="Times New Roman" w:hAnsi="Courier New" w:cs="Times New Roman"/>
      <w:i/>
      <w:szCs w:val="20"/>
      <w:lang w:eastAsia="en-US"/>
    </w:rPr>
  </w:style>
  <w:style w:type="paragraph" w:customStyle="1" w:styleId="HeadingBase">
    <w:name w:val="Heading Base"/>
    <w:rsid w:val="007C71D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C71DC"/>
    <w:pPr>
      <w:tabs>
        <w:tab w:val="right" w:leader="dot" w:pos="9072"/>
      </w:tabs>
      <w:ind w:left="567"/>
    </w:pPr>
    <w:rPr>
      <w:szCs w:val="22"/>
    </w:rPr>
  </w:style>
  <w:style w:type="paragraph" w:customStyle="1" w:styleId="TOCBase">
    <w:name w:val="TOC Base"/>
    <w:rsid w:val="007C71D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C71DC"/>
    <w:pPr>
      <w:tabs>
        <w:tab w:val="right" w:leader="dot" w:pos="9072"/>
      </w:tabs>
      <w:spacing w:before="40" w:after="40"/>
      <w:ind w:left="284"/>
    </w:pPr>
    <w:rPr>
      <w:rFonts w:ascii="Times New Roman" w:hAnsi="Times New Roman"/>
    </w:rPr>
  </w:style>
  <w:style w:type="paragraph" w:styleId="TOC1">
    <w:name w:val="toc 1"/>
    <w:basedOn w:val="TOCBase"/>
    <w:next w:val="Normal"/>
    <w:rsid w:val="007C71D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C71D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C71DC"/>
    <w:rPr>
      <w:rFonts w:ascii="Times New Roman" w:eastAsia="Times New Roman" w:hAnsi="Times New Roman" w:cs="Times New Roman"/>
      <w:sz w:val="16"/>
      <w:lang w:eastAsia="en-US"/>
    </w:rPr>
  </w:style>
  <w:style w:type="paragraph" w:styleId="Title">
    <w:name w:val="Title"/>
    <w:basedOn w:val="HeadingBase"/>
    <w:link w:val="TitleChar"/>
    <w:qFormat/>
    <w:rsid w:val="007C71DC"/>
    <w:pPr>
      <w:spacing w:before="5040"/>
      <w:jc w:val="center"/>
    </w:pPr>
    <w:rPr>
      <w:sz w:val="48"/>
      <w:szCs w:val="72"/>
      <w:lang w:val="en-US"/>
    </w:rPr>
  </w:style>
  <w:style w:type="character" w:customStyle="1" w:styleId="TitleChar">
    <w:name w:val="Title Char"/>
    <w:basedOn w:val="DefaultParagraphFont"/>
    <w:link w:val="Title"/>
    <w:rsid w:val="007C71D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C71DC"/>
    <w:pPr>
      <w:tabs>
        <w:tab w:val="left" w:pos="3600"/>
        <w:tab w:val="left" w:pos="3958"/>
      </w:tabs>
    </w:pPr>
  </w:style>
  <w:style w:type="paragraph" w:styleId="List">
    <w:name w:val="List"/>
    <w:basedOn w:val="BodyText"/>
    <w:next w:val="BodyText"/>
    <w:rsid w:val="007C71DC"/>
    <w:pPr>
      <w:tabs>
        <w:tab w:val="left" w:pos="340"/>
      </w:tabs>
      <w:spacing w:before="60" w:after="60"/>
      <w:ind w:left="340" w:hanging="340"/>
    </w:pPr>
  </w:style>
  <w:style w:type="paragraph" w:customStyle="1" w:styleId="Note">
    <w:name w:val="Note"/>
    <w:basedOn w:val="BodyText"/>
    <w:rsid w:val="007C71D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C71DC"/>
    <w:pPr>
      <w:framePr w:wrap="auto" w:hAnchor="text" w:y="6049"/>
    </w:pPr>
    <w:rPr>
      <w:color w:val="000000"/>
      <w:sz w:val="40"/>
    </w:rPr>
  </w:style>
  <w:style w:type="paragraph" w:customStyle="1" w:styleId="TOCTitle">
    <w:name w:val="TOCTitle"/>
    <w:basedOn w:val="Heading1"/>
    <w:rsid w:val="007C71DC"/>
    <w:pPr>
      <w:spacing w:after="240"/>
      <w:jc w:val="center"/>
      <w:outlineLvl w:val="9"/>
    </w:pPr>
    <w:rPr>
      <w:caps/>
    </w:rPr>
  </w:style>
  <w:style w:type="paragraph" w:customStyle="1" w:styleId="Version">
    <w:name w:val="Version"/>
    <w:rsid w:val="007C71D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C71DC"/>
    <w:pPr>
      <w:keepNext w:val="0"/>
      <w:tabs>
        <w:tab w:val="right" w:pos="4176"/>
      </w:tabs>
      <w:ind w:left="198" w:hanging="198"/>
    </w:pPr>
    <w:rPr>
      <w:rFonts w:ascii="Garamond" w:hAnsi="Garamond"/>
    </w:rPr>
  </w:style>
  <w:style w:type="paragraph" w:styleId="IndexHeading">
    <w:name w:val="index heading"/>
    <w:basedOn w:val="Normal"/>
    <w:next w:val="Index1"/>
    <w:semiHidden/>
    <w:rsid w:val="007C71DC"/>
    <w:pPr>
      <w:spacing w:before="120" w:after="120"/>
    </w:pPr>
    <w:rPr>
      <w:rFonts w:ascii="Arial" w:hAnsi="Arial"/>
      <w:b/>
      <w:color w:val="918585"/>
      <w:sz w:val="24"/>
    </w:rPr>
  </w:style>
  <w:style w:type="paragraph" w:styleId="Header">
    <w:name w:val="header"/>
    <w:basedOn w:val="Normal"/>
    <w:link w:val="HeaderChar"/>
    <w:rsid w:val="007C71D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C71DC"/>
    <w:rPr>
      <w:rFonts w:ascii="Times New Roman" w:eastAsia="Times New Roman" w:hAnsi="Times New Roman" w:cs="Times New Roman"/>
      <w:sz w:val="16"/>
      <w:szCs w:val="20"/>
      <w:lang w:val="en-GB" w:eastAsia="en-US"/>
    </w:rPr>
  </w:style>
  <w:style w:type="paragraph" w:customStyle="1" w:styleId="Chapter">
    <w:name w:val="Chapter"/>
    <w:basedOn w:val="Normal"/>
    <w:rsid w:val="007C71DC"/>
    <w:pPr>
      <w:spacing w:before="240"/>
    </w:pPr>
    <w:rPr>
      <w:rFonts w:ascii="Times New Roman" w:hAnsi="Times New Roman"/>
      <w:smallCaps/>
      <w:spacing w:val="80"/>
      <w:sz w:val="28"/>
    </w:rPr>
  </w:style>
  <w:style w:type="paragraph" w:customStyle="1" w:styleId="InChapter">
    <w:name w:val="InChapter"/>
    <w:basedOn w:val="Heading3"/>
    <w:rsid w:val="007C71DC"/>
    <w:pPr>
      <w:spacing w:after="240"/>
      <w:outlineLvl w:val="9"/>
    </w:pPr>
    <w:rPr>
      <w:noProof/>
    </w:rPr>
  </w:style>
  <w:style w:type="paragraph" w:styleId="Index2">
    <w:name w:val="index 2"/>
    <w:basedOn w:val="Normal"/>
    <w:next w:val="Normal"/>
    <w:semiHidden/>
    <w:rsid w:val="007C71DC"/>
    <w:pPr>
      <w:tabs>
        <w:tab w:val="right" w:pos="4176"/>
      </w:tabs>
      <w:ind w:left="568" w:hanging="284"/>
    </w:pPr>
    <w:rPr>
      <w:rFonts w:ascii="Garamond" w:hAnsi="Garamond"/>
    </w:rPr>
  </w:style>
  <w:style w:type="paragraph" w:customStyle="1" w:styleId="Byline">
    <w:name w:val="Byline"/>
    <w:rsid w:val="007C71D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C71DC"/>
    <w:pPr>
      <w:tabs>
        <w:tab w:val="clear" w:pos="3600"/>
        <w:tab w:val="clear" w:pos="3958"/>
      </w:tabs>
      <w:jc w:val="right"/>
    </w:pPr>
  </w:style>
  <w:style w:type="paragraph" w:styleId="Caption">
    <w:name w:val="caption"/>
    <w:basedOn w:val="BodyText"/>
    <w:next w:val="Normal"/>
    <w:qFormat/>
    <w:rsid w:val="007C71DC"/>
    <w:pPr>
      <w:framePr w:w="2268" w:hSpace="181" w:vSpace="181" w:wrap="around" w:vAnchor="text" w:hAnchor="page" w:x="1135" w:y="285" w:anchorLock="1"/>
    </w:pPr>
    <w:rPr>
      <w:i/>
    </w:rPr>
  </w:style>
  <w:style w:type="paragraph" w:customStyle="1" w:styleId="MiniTOCTitle">
    <w:name w:val="MiniTOCTitle"/>
    <w:basedOn w:val="Heading4"/>
    <w:rsid w:val="007C71DC"/>
    <w:pPr>
      <w:spacing w:before="240"/>
      <w:outlineLvl w:val="9"/>
    </w:pPr>
    <w:rPr>
      <w:noProof/>
      <w:sz w:val="24"/>
    </w:rPr>
  </w:style>
  <w:style w:type="paragraph" w:customStyle="1" w:styleId="MiniTOCItem">
    <w:name w:val="MiniTOCItem"/>
    <w:basedOn w:val="ListBullet"/>
    <w:rsid w:val="007C71DC"/>
    <w:pPr>
      <w:numPr>
        <w:numId w:val="0"/>
      </w:numPr>
      <w:tabs>
        <w:tab w:val="right" w:leader="dot" w:pos="6521"/>
      </w:tabs>
      <w:spacing w:before="0" w:after="0"/>
    </w:pPr>
  </w:style>
  <w:style w:type="paragraph" w:customStyle="1" w:styleId="TOFTitle">
    <w:name w:val="TOFTitle"/>
    <w:basedOn w:val="TOCTitle"/>
    <w:rsid w:val="007C71DC"/>
  </w:style>
  <w:style w:type="paragraph" w:styleId="TableofFigures">
    <w:name w:val="table of figures"/>
    <w:basedOn w:val="Normal"/>
    <w:next w:val="Normal"/>
    <w:semiHidden/>
    <w:rsid w:val="007C71DC"/>
    <w:pPr>
      <w:tabs>
        <w:tab w:val="right" w:leader="dot" w:pos="9072"/>
      </w:tabs>
      <w:ind w:left="970" w:hanging="403"/>
    </w:pPr>
    <w:rPr>
      <w:rFonts w:ascii="Times New Roman" w:hAnsi="Times New Roman"/>
      <w:b/>
    </w:rPr>
  </w:style>
  <w:style w:type="paragraph" w:styleId="ListNumber">
    <w:name w:val="List Number"/>
    <w:basedOn w:val="List"/>
    <w:rsid w:val="007C71DC"/>
    <w:pPr>
      <w:numPr>
        <w:numId w:val="11"/>
      </w:numPr>
    </w:pPr>
  </w:style>
  <w:style w:type="character" w:customStyle="1" w:styleId="WingdingSymbols">
    <w:name w:val="Wingding Symbols"/>
    <w:rsid w:val="007C71DC"/>
    <w:rPr>
      <w:rFonts w:ascii="Wingdings" w:hAnsi="Wingdings"/>
    </w:rPr>
  </w:style>
  <w:style w:type="paragraph" w:customStyle="1" w:styleId="TableHeading">
    <w:name w:val="Table Heading"/>
    <w:basedOn w:val="HeadingBase"/>
    <w:rsid w:val="007C71DC"/>
    <w:pPr>
      <w:keepLines/>
      <w:pBdr>
        <w:bottom w:val="single" w:sz="6" w:space="1" w:color="918585"/>
      </w:pBdr>
      <w:spacing w:before="240"/>
    </w:pPr>
  </w:style>
  <w:style w:type="character" w:customStyle="1" w:styleId="HotSpot">
    <w:name w:val="HotSpot"/>
    <w:rsid w:val="007C71DC"/>
    <w:rPr>
      <w:color w:val="0033CC"/>
      <w:u w:val="none"/>
    </w:rPr>
  </w:style>
  <w:style w:type="paragraph" w:customStyle="1" w:styleId="BodyTextRight">
    <w:name w:val="Body Text Right"/>
    <w:basedOn w:val="BodyText"/>
    <w:rsid w:val="007C71DC"/>
    <w:pPr>
      <w:spacing w:before="0" w:after="0"/>
      <w:jc w:val="right"/>
    </w:pPr>
  </w:style>
  <w:style w:type="paragraph" w:styleId="Index3">
    <w:name w:val="index 3"/>
    <w:basedOn w:val="ListNumber2"/>
    <w:next w:val="Normal"/>
    <w:semiHidden/>
    <w:rsid w:val="007C71DC"/>
    <w:pPr>
      <w:numPr>
        <w:numId w:val="0"/>
      </w:numPr>
      <w:tabs>
        <w:tab w:val="right" w:leader="dot" w:pos="4176"/>
      </w:tabs>
    </w:pPr>
  </w:style>
  <w:style w:type="paragraph" w:styleId="ListNumber2">
    <w:name w:val="List Number 2"/>
    <w:basedOn w:val="List2"/>
    <w:rsid w:val="007C71DC"/>
    <w:pPr>
      <w:numPr>
        <w:numId w:val="10"/>
      </w:numPr>
      <w:tabs>
        <w:tab w:val="clear" w:pos="1060"/>
      </w:tabs>
    </w:pPr>
  </w:style>
  <w:style w:type="paragraph" w:customStyle="1" w:styleId="MarginNote">
    <w:name w:val="Margin Note"/>
    <w:basedOn w:val="BodyText"/>
    <w:rsid w:val="007C71D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C71D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C71D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C71DC"/>
    <w:rPr>
      <w:sz w:val="32"/>
    </w:rPr>
  </w:style>
  <w:style w:type="paragraph" w:customStyle="1" w:styleId="HeadingProcedure">
    <w:name w:val="Heading Procedure"/>
    <w:basedOn w:val="HeadingBase"/>
    <w:next w:val="Normal"/>
    <w:rsid w:val="007C71DC"/>
    <w:pPr>
      <w:tabs>
        <w:tab w:val="left" w:pos="0"/>
      </w:tabs>
      <w:spacing w:before="120" w:after="60"/>
    </w:pPr>
    <w:rPr>
      <w:i/>
      <w:color w:val="918585"/>
      <w:sz w:val="22"/>
    </w:rPr>
  </w:style>
  <w:style w:type="paragraph" w:customStyle="1" w:styleId="TableBodyText">
    <w:name w:val="Table Body Text"/>
    <w:basedOn w:val="BodyText"/>
    <w:rsid w:val="007C71DC"/>
    <w:pPr>
      <w:spacing w:before="60" w:after="60"/>
    </w:pPr>
  </w:style>
  <w:style w:type="paragraph" w:styleId="ListContinue">
    <w:name w:val="List Continue"/>
    <w:basedOn w:val="List"/>
    <w:rsid w:val="007C71DC"/>
    <w:pPr>
      <w:ind w:firstLine="0"/>
    </w:pPr>
  </w:style>
  <w:style w:type="paragraph" w:customStyle="1" w:styleId="ListNote">
    <w:name w:val="List Note"/>
    <w:basedOn w:val="List"/>
    <w:rsid w:val="007C71DC"/>
    <w:pPr>
      <w:pBdr>
        <w:top w:val="single" w:sz="6" w:space="2" w:color="918585"/>
        <w:bottom w:val="single" w:sz="6" w:space="2" w:color="918585"/>
      </w:pBdr>
      <w:tabs>
        <w:tab w:val="left" w:pos="1021"/>
      </w:tabs>
      <w:ind w:firstLine="0"/>
    </w:pPr>
  </w:style>
  <w:style w:type="paragraph" w:customStyle="1" w:styleId="Warning">
    <w:name w:val="Warning"/>
    <w:basedOn w:val="BodyText"/>
    <w:rsid w:val="007C71DC"/>
    <w:pPr>
      <w:shd w:val="clear" w:color="auto" w:fill="D9D9D9"/>
      <w:tabs>
        <w:tab w:val="left" w:pos="992"/>
      </w:tabs>
      <w:ind w:left="119" w:right="119"/>
    </w:pPr>
    <w:rPr>
      <w:sz w:val="20"/>
    </w:rPr>
  </w:style>
  <w:style w:type="paragraph" w:customStyle="1" w:styleId="MarginIcons">
    <w:name w:val="Margin Icons"/>
    <w:basedOn w:val="BodyText"/>
    <w:rsid w:val="007C71D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C71DC"/>
    <w:rPr>
      <w:rFonts w:ascii="Courier New" w:hAnsi="Courier New"/>
    </w:rPr>
  </w:style>
  <w:style w:type="paragraph" w:customStyle="1" w:styleId="NoteBullet">
    <w:name w:val="Note Bullet"/>
    <w:basedOn w:val="Note"/>
    <w:rsid w:val="007C71DC"/>
    <w:pPr>
      <w:tabs>
        <w:tab w:val="clear" w:pos="680"/>
      </w:tabs>
      <w:spacing w:before="60" w:after="60"/>
    </w:pPr>
  </w:style>
  <w:style w:type="paragraph" w:customStyle="1" w:styleId="SubHeading2">
    <w:name w:val="SubHeading2"/>
    <w:basedOn w:val="HeadingBase"/>
    <w:rsid w:val="007C71DC"/>
    <w:pPr>
      <w:spacing w:before="240" w:after="60"/>
    </w:pPr>
    <w:rPr>
      <w:sz w:val="20"/>
    </w:rPr>
  </w:style>
  <w:style w:type="paragraph" w:customStyle="1" w:styleId="SubHeading1">
    <w:name w:val="SubHeading1"/>
    <w:basedOn w:val="HeadingBase"/>
    <w:rsid w:val="007C71DC"/>
    <w:pPr>
      <w:spacing w:before="240" w:after="60"/>
    </w:pPr>
    <w:rPr>
      <w:color w:val="918585"/>
      <w:sz w:val="22"/>
    </w:rPr>
  </w:style>
  <w:style w:type="paragraph" w:customStyle="1" w:styleId="SideHeading">
    <w:name w:val="Side Heading"/>
    <w:basedOn w:val="HeadingBase"/>
    <w:rsid w:val="007C71D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C71DC"/>
    <w:pPr>
      <w:numPr>
        <w:numId w:val="12"/>
      </w:numPr>
    </w:pPr>
  </w:style>
  <w:style w:type="paragraph" w:styleId="PlainText">
    <w:name w:val="Plain Text"/>
    <w:basedOn w:val="Normal"/>
    <w:link w:val="PlainTextChar"/>
    <w:rsid w:val="007C71DC"/>
    <w:rPr>
      <w:sz w:val="20"/>
    </w:rPr>
  </w:style>
  <w:style w:type="character" w:customStyle="1" w:styleId="PlainTextChar">
    <w:name w:val="Plain Text Char"/>
    <w:basedOn w:val="DefaultParagraphFont"/>
    <w:link w:val="PlainText"/>
    <w:rsid w:val="007C71DC"/>
    <w:rPr>
      <w:rFonts w:ascii="Courier New" w:eastAsia="Times New Roman" w:hAnsi="Courier New" w:cs="Times New Roman"/>
      <w:sz w:val="20"/>
      <w:szCs w:val="20"/>
      <w:lang w:eastAsia="en-US"/>
    </w:rPr>
  </w:style>
  <w:style w:type="character" w:customStyle="1" w:styleId="MenuOption">
    <w:name w:val="Menu Option"/>
    <w:basedOn w:val="DefaultParagraphFont"/>
    <w:rsid w:val="007C71DC"/>
    <w:rPr>
      <w:b/>
      <w:smallCaps/>
    </w:rPr>
  </w:style>
  <w:style w:type="paragraph" w:customStyle="1" w:styleId="TableListNumber">
    <w:name w:val="Table List Number"/>
    <w:basedOn w:val="ListNumber"/>
    <w:rsid w:val="007C71DC"/>
    <w:pPr>
      <w:numPr>
        <w:numId w:val="0"/>
      </w:numPr>
    </w:pPr>
  </w:style>
  <w:style w:type="paragraph" w:styleId="TOC4">
    <w:name w:val="toc 4"/>
    <w:basedOn w:val="TOCBase"/>
    <w:next w:val="Normal"/>
    <w:semiHidden/>
    <w:rsid w:val="007C71DC"/>
    <w:pPr>
      <w:tabs>
        <w:tab w:val="right" w:leader="dot" w:pos="9071"/>
      </w:tabs>
      <w:ind w:left="1701"/>
    </w:pPr>
  </w:style>
  <w:style w:type="paragraph" w:customStyle="1" w:styleId="ListAlpha">
    <w:name w:val="List Alpha"/>
    <w:basedOn w:val="List"/>
    <w:rsid w:val="007C71DC"/>
    <w:pPr>
      <w:numPr>
        <w:numId w:val="9"/>
      </w:numPr>
    </w:pPr>
  </w:style>
  <w:style w:type="paragraph" w:customStyle="1" w:styleId="ListAlpha2">
    <w:name w:val="List Alpha 2"/>
    <w:basedOn w:val="List2"/>
    <w:rsid w:val="007C71DC"/>
    <w:pPr>
      <w:numPr>
        <w:numId w:val="8"/>
      </w:numPr>
    </w:pPr>
  </w:style>
  <w:style w:type="paragraph" w:styleId="List2">
    <w:name w:val="List 2"/>
    <w:basedOn w:val="BodyText"/>
    <w:rsid w:val="007C71DC"/>
    <w:pPr>
      <w:tabs>
        <w:tab w:val="left" w:pos="680"/>
      </w:tabs>
      <w:spacing w:before="60" w:after="60"/>
      <w:ind w:left="680" w:hanging="340"/>
    </w:pPr>
  </w:style>
  <w:style w:type="paragraph" w:styleId="List3">
    <w:name w:val="List 3"/>
    <w:basedOn w:val="BodyText"/>
    <w:rsid w:val="007C71DC"/>
    <w:pPr>
      <w:tabs>
        <w:tab w:val="left" w:pos="1021"/>
      </w:tabs>
      <w:spacing w:before="60" w:after="60"/>
      <w:ind w:left="1020" w:hanging="340"/>
    </w:pPr>
  </w:style>
  <w:style w:type="paragraph" w:styleId="List4">
    <w:name w:val="List 4"/>
    <w:basedOn w:val="BodyText"/>
    <w:rsid w:val="007C71DC"/>
    <w:pPr>
      <w:tabs>
        <w:tab w:val="left" w:pos="1361"/>
      </w:tabs>
      <w:spacing w:before="60" w:after="60"/>
      <w:ind w:left="1361" w:hanging="340"/>
    </w:pPr>
  </w:style>
  <w:style w:type="paragraph" w:styleId="List5">
    <w:name w:val="List 5"/>
    <w:basedOn w:val="BodyText"/>
    <w:rsid w:val="007C71DC"/>
    <w:pPr>
      <w:tabs>
        <w:tab w:val="left" w:pos="1701"/>
      </w:tabs>
      <w:spacing w:before="60" w:after="60"/>
      <w:ind w:left="1701" w:hanging="340"/>
    </w:pPr>
  </w:style>
  <w:style w:type="paragraph" w:styleId="ListBullet3">
    <w:name w:val="List Bullet 3"/>
    <w:basedOn w:val="List3"/>
    <w:rsid w:val="007C71DC"/>
    <w:pPr>
      <w:numPr>
        <w:numId w:val="15"/>
      </w:numPr>
      <w:tabs>
        <w:tab w:val="clear" w:pos="1021"/>
      </w:tabs>
      <w:ind w:left="1037" w:hanging="357"/>
    </w:pPr>
  </w:style>
  <w:style w:type="paragraph" w:styleId="ListBullet4">
    <w:name w:val="List Bullet 4"/>
    <w:basedOn w:val="List4"/>
    <w:rsid w:val="007C71DC"/>
    <w:pPr>
      <w:numPr>
        <w:numId w:val="3"/>
      </w:numPr>
    </w:pPr>
  </w:style>
  <w:style w:type="paragraph" w:styleId="ListBullet5">
    <w:name w:val="List Bullet 5"/>
    <w:basedOn w:val="List5"/>
    <w:rsid w:val="007C71DC"/>
    <w:pPr>
      <w:numPr>
        <w:numId w:val="4"/>
      </w:numPr>
    </w:pPr>
  </w:style>
  <w:style w:type="paragraph" w:styleId="ListContinue2">
    <w:name w:val="List Continue 2"/>
    <w:basedOn w:val="List2"/>
    <w:rsid w:val="007C71DC"/>
    <w:pPr>
      <w:ind w:firstLine="0"/>
    </w:pPr>
  </w:style>
  <w:style w:type="paragraph" w:styleId="ListContinue3">
    <w:name w:val="List Continue 3"/>
    <w:basedOn w:val="List3"/>
    <w:rsid w:val="007C71DC"/>
    <w:pPr>
      <w:ind w:left="1021" w:firstLine="0"/>
    </w:pPr>
  </w:style>
  <w:style w:type="paragraph" w:styleId="ListContinue4">
    <w:name w:val="List Continue 4"/>
    <w:basedOn w:val="List4"/>
    <w:rsid w:val="007C71DC"/>
    <w:pPr>
      <w:ind w:firstLine="0"/>
    </w:pPr>
  </w:style>
  <w:style w:type="paragraph" w:styleId="ListContinue5">
    <w:name w:val="List Continue 5"/>
    <w:basedOn w:val="List5"/>
    <w:rsid w:val="007C71DC"/>
    <w:pPr>
      <w:ind w:firstLine="0"/>
    </w:pPr>
  </w:style>
  <w:style w:type="paragraph" w:styleId="ListNumber3">
    <w:name w:val="List Number 3"/>
    <w:basedOn w:val="List3"/>
    <w:rsid w:val="007C71DC"/>
    <w:pPr>
      <w:numPr>
        <w:numId w:val="5"/>
      </w:numPr>
    </w:pPr>
  </w:style>
  <w:style w:type="paragraph" w:styleId="ListNumber4">
    <w:name w:val="List Number 4"/>
    <w:basedOn w:val="List4"/>
    <w:rsid w:val="007C71DC"/>
    <w:pPr>
      <w:numPr>
        <w:numId w:val="6"/>
      </w:numPr>
    </w:pPr>
  </w:style>
  <w:style w:type="paragraph" w:styleId="ListNumber5">
    <w:name w:val="List Number 5"/>
    <w:basedOn w:val="List5"/>
    <w:rsid w:val="007C71DC"/>
    <w:pPr>
      <w:numPr>
        <w:numId w:val="7"/>
      </w:numPr>
    </w:pPr>
  </w:style>
  <w:style w:type="paragraph" w:styleId="BlockText">
    <w:name w:val="Block Text"/>
    <w:basedOn w:val="Normal"/>
    <w:rsid w:val="007C71DC"/>
    <w:pPr>
      <w:spacing w:after="120"/>
      <w:ind w:left="1440" w:right="1440"/>
    </w:pPr>
  </w:style>
  <w:style w:type="character" w:customStyle="1" w:styleId="Subscript">
    <w:name w:val="Subscript"/>
    <w:basedOn w:val="DefaultParagraphFont"/>
    <w:rsid w:val="007C71DC"/>
    <w:rPr>
      <w:sz w:val="16"/>
      <w:vertAlign w:val="subscript"/>
    </w:rPr>
  </w:style>
  <w:style w:type="character" w:customStyle="1" w:styleId="Superscript">
    <w:name w:val="Superscript"/>
    <w:basedOn w:val="DefaultParagraphFont"/>
    <w:rsid w:val="007C71DC"/>
    <w:rPr>
      <w:sz w:val="16"/>
      <w:vertAlign w:val="superscript"/>
    </w:rPr>
  </w:style>
  <w:style w:type="character" w:customStyle="1" w:styleId="Symbols">
    <w:name w:val="Symbols"/>
    <w:basedOn w:val="DefaultParagraphFont"/>
    <w:rsid w:val="007C71DC"/>
    <w:rPr>
      <w:rFonts w:ascii="Symbol" w:hAnsi="Symbol"/>
    </w:rPr>
  </w:style>
  <w:style w:type="character" w:customStyle="1" w:styleId="MenuOptions">
    <w:name w:val="Menu Options"/>
    <w:basedOn w:val="DefaultParagraphFont"/>
    <w:rsid w:val="007C71DC"/>
    <w:rPr>
      <w:rFonts w:ascii="Arial Narrow" w:hAnsi="Arial Narrow"/>
      <w:smallCaps/>
    </w:rPr>
  </w:style>
  <w:style w:type="character" w:customStyle="1" w:styleId="Buttons">
    <w:name w:val="Buttons"/>
    <w:basedOn w:val="DefaultParagraphFont"/>
    <w:rsid w:val="007C71DC"/>
    <w:rPr>
      <w:b/>
    </w:rPr>
  </w:style>
  <w:style w:type="character" w:customStyle="1" w:styleId="Underlined">
    <w:name w:val="Underlined"/>
    <w:basedOn w:val="DefaultParagraphFont"/>
    <w:rsid w:val="007C71DC"/>
    <w:rPr>
      <w:u w:val="single"/>
    </w:rPr>
  </w:style>
  <w:style w:type="paragraph" w:customStyle="1" w:styleId="TableBodyTextRight">
    <w:name w:val="Table Body Text Right"/>
    <w:basedOn w:val="TableBodyText"/>
    <w:rsid w:val="007C71DC"/>
    <w:pPr>
      <w:widowControl w:val="0"/>
      <w:autoSpaceDE w:val="0"/>
      <w:autoSpaceDN w:val="0"/>
      <w:adjustRightInd w:val="0"/>
      <w:jc w:val="right"/>
    </w:pPr>
    <w:rPr>
      <w:rFonts w:cs="Arial"/>
      <w:szCs w:val="18"/>
    </w:rPr>
  </w:style>
  <w:style w:type="paragraph" w:customStyle="1" w:styleId="CopyrightText">
    <w:name w:val="Copyright Text"/>
    <w:basedOn w:val="BodyText"/>
    <w:rsid w:val="007C71DC"/>
    <w:rPr>
      <w:sz w:val="18"/>
    </w:rPr>
  </w:style>
  <w:style w:type="paragraph" w:customStyle="1" w:styleId="BodySmallRight">
    <w:name w:val="Body Small Right"/>
    <w:basedOn w:val="BodyTextRight"/>
    <w:rsid w:val="007C71DC"/>
    <w:rPr>
      <w:sz w:val="18"/>
      <w:szCs w:val="18"/>
    </w:rPr>
  </w:style>
  <w:style w:type="paragraph" w:customStyle="1" w:styleId="MarginEdition">
    <w:name w:val="Margin Edition"/>
    <w:basedOn w:val="MarginNote"/>
    <w:rsid w:val="007C71DC"/>
    <w:pPr>
      <w:spacing w:before="0" w:after="0"/>
    </w:pPr>
    <w:rPr>
      <w:rFonts w:ascii="Times New Roman" w:hAnsi="Times New Roman"/>
      <w:color w:val="999999"/>
    </w:rPr>
  </w:style>
  <w:style w:type="paragraph" w:customStyle="1" w:styleId="Spacer">
    <w:name w:val="Spacer"/>
    <w:basedOn w:val="Normal"/>
    <w:rsid w:val="007C71DC"/>
    <w:rPr>
      <w:sz w:val="2"/>
      <w:szCs w:val="2"/>
    </w:rPr>
  </w:style>
  <w:style w:type="character" w:customStyle="1" w:styleId="Small">
    <w:name w:val="Small"/>
    <w:basedOn w:val="DefaultParagraphFont"/>
    <w:rsid w:val="007C71DC"/>
    <w:rPr>
      <w:sz w:val="16"/>
    </w:rPr>
  </w:style>
  <w:style w:type="paragraph" w:customStyle="1" w:styleId="WideTable">
    <w:name w:val="Wide Table"/>
    <w:basedOn w:val="Normal"/>
    <w:rsid w:val="007C71DC"/>
    <w:pPr>
      <w:ind w:left="-1418"/>
    </w:pPr>
    <w:rPr>
      <w:sz w:val="2"/>
      <w:szCs w:val="2"/>
    </w:rPr>
  </w:style>
  <w:style w:type="character" w:styleId="PageNumber">
    <w:name w:val="page number"/>
    <w:basedOn w:val="DefaultParagraphFont"/>
    <w:rsid w:val="007C71DC"/>
  </w:style>
  <w:style w:type="paragraph" w:styleId="Quote">
    <w:name w:val="Quote"/>
    <w:basedOn w:val="Heading1"/>
    <w:link w:val="QuoteChar"/>
    <w:qFormat/>
    <w:rsid w:val="007C71DC"/>
    <w:rPr>
      <w:b w:val="0"/>
      <w:sz w:val="72"/>
      <w:szCs w:val="72"/>
      <w:lang w:val="en-NZ"/>
    </w:rPr>
  </w:style>
  <w:style w:type="character" w:customStyle="1" w:styleId="QuoteChar">
    <w:name w:val="Quote Char"/>
    <w:basedOn w:val="DefaultParagraphFont"/>
    <w:link w:val="Quote"/>
    <w:rsid w:val="007C71D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C71DC"/>
    <w:pPr>
      <w:pageBreakBefore/>
    </w:pPr>
  </w:style>
  <w:style w:type="paragraph" w:customStyle="1" w:styleId="Border">
    <w:name w:val="Border"/>
    <w:basedOn w:val="Normal"/>
    <w:qFormat/>
    <w:rsid w:val="007C71D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C71DC"/>
    <w:rPr>
      <w:b/>
      <w:bCs/>
      <w:i/>
      <w:iCs/>
      <w:color w:val="auto"/>
    </w:rPr>
  </w:style>
  <w:style w:type="paragraph" w:styleId="IntenseQuote">
    <w:name w:val="Intense Quote"/>
    <w:basedOn w:val="Normal"/>
    <w:next w:val="Normal"/>
    <w:link w:val="IntenseQuoteChar"/>
    <w:uiPriority w:val="30"/>
    <w:qFormat/>
    <w:rsid w:val="007C71D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C71D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C71DC"/>
    <w:rPr>
      <w:smallCaps/>
      <w:color w:val="auto"/>
      <w:u w:val="single"/>
    </w:rPr>
  </w:style>
  <w:style w:type="character" w:styleId="IntenseReference">
    <w:name w:val="Intense Reference"/>
    <w:basedOn w:val="DefaultParagraphFont"/>
    <w:uiPriority w:val="32"/>
    <w:qFormat/>
    <w:rsid w:val="007C71DC"/>
    <w:rPr>
      <w:b/>
      <w:bCs/>
      <w:smallCaps/>
      <w:color w:val="auto"/>
      <w:spacing w:val="5"/>
      <w:u w:val="single"/>
    </w:rPr>
  </w:style>
  <w:style w:type="paragraph" w:customStyle="1" w:styleId="2ColumnHeading">
    <w:name w:val="2Column Heading"/>
    <w:basedOn w:val="BodyText"/>
    <w:qFormat/>
    <w:rsid w:val="007C71DC"/>
    <w:pPr>
      <w:spacing w:after="60"/>
      <w:ind w:left="-2268"/>
    </w:pPr>
    <w:rPr>
      <w:b/>
    </w:rPr>
  </w:style>
  <w:style w:type="paragraph" w:customStyle="1" w:styleId="Heading1TOC">
    <w:name w:val="Heading1 TOC"/>
    <w:basedOn w:val="Normal"/>
    <w:qFormat/>
    <w:rsid w:val="007C71DC"/>
    <w:pPr>
      <w:spacing w:before="240" w:after="120"/>
    </w:pPr>
    <w:rPr>
      <w:rFonts w:ascii="Times New Roman" w:hAnsi="Times New Roman"/>
      <w:b/>
      <w:sz w:val="32"/>
    </w:rPr>
  </w:style>
  <w:style w:type="paragraph" w:customStyle="1" w:styleId="Heading2TOC">
    <w:name w:val="Heading2 TOC"/>
    <w:basedOn w:val="Normal"/>
    <w:qFormat/>
    <w:rsid w:val="007C71DC"/>
    <w:pPr>
      <w:spacing w:before="240" w:after="60"/>
    </w:pPr>
    <w:rPr>
      <w:rFonts w:ascii="Times New Roman" w:hAnsi="Times New Roman"/>
      <w:b/>
      <w:sz w:val="28"/>
    </w:rPr>
  </w:style>
  <w:style w:type="character" w:customStyle="1" w:styleId="Underline">
    <w:name w:val="Underline"/>
    <w:basedOn w:val="DefaultParagraphFont"/>
    <w:qFormat/>
    <w:rsid w:val="007C71DC"/>
    <w:rPr>
      <w:u w:val="single"/>
    </w:rPr>
  </w:style>
  <w:style w:type="character" w:customStyle="1" w:styleId="BoldandItalics">
    <w:name w:val="Bold and Italics"/>
    <w:qFormat/>
    <w:rsid w:val="007C71DC"/>
    <w:rPr>
      <w:b/>
      <w:i/>
      <w:u w:val="none"/>
    </w:rPr>
  </w:style>
  <w:style w:type="paragraph" w:styleId="BalloonText">
    <w:name w:val="Balloon Text"/>
    <w:basedOn w:val="Normal"/>
    <w:link w:val="BalloonTextChar"/>
    <w:rsid w:val="007C71DC"/>
    <w:rPr>
      <w:rFonts w:ascii="Tahoma" w:hAnsi="Tahoma" w:cs="Tahoma"/>
      <w:sz w:val="16"/>
      <w:szCs w:val="16"/>
    </w:rPr>
  </w:style>
  <w:style w:type="character" w:customStyle="1" w:styleId="BalloonTextChar">
    <w:name w:val="Balloon Text Char"/>
    <w:basedOn w:val="DefaultParagraphFont"/>
    <w:link w:val="BalloonText"/>
    <w:rsid w:val="007C71D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C71D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C71D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C71DC"/>
    <w:rPr>
      <w:b/>
      <w:color w:val="660033"/>
      <w:spacing w:val="0"/>
    </w:rPr>
  </w:style>
  <w:style w:type="paragraph" w:customStyle="1" w:styleId="Nameditemlist">
    <w:name w:val="Named item list"/>
    <w:basedOn w:val="BodyText"/>
    <w:qFormat/>
    <w:rsid w:val="007C71D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1214</Words>
  <Characters>7899</Characters>
  <Application>Microsoft Office Word</Application>
  <DocSecurity>0</DocSecurity>
  <Lines>264</Lines>
  <Paragraphs>128</Paragraphs>
  <ScaleCrop>false</ScaleCrop>
  <Company>Author-it Software Corporation Ltd.</Company>
  <LinksUpToDate>false</LinksUpToDate>
  <CharactersWithSpaces>9055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MEM23007A Apply calculus to engineering tasks</dc:title>
  <dc:subject>Approved</dc:subject>
  <dc:creator>Manufacturing Skills Australia</dc:creator>
  <cp:keywords>Release:</cp:keywords>
  <dc:description>Copyright © 1996-2007 Author-it Software Corporation Ltd., all rights reserved.</dc:description>
  <cp:lastModifiedBy>TPCMS</cp:lastModifiedBy>
  <cp:revision>3</cp:revision>
  <dcterms:created xsi:type="dcterms:W3CDTF">2012-12-20T04:24:00Z</dcterms:created>
  <dcterms:modified xsi:type="dcterms:W3CDTF">2012-12-20T04:24:00Z</dcterms:modified>
</cp:coreProperties>
</file>