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5D4" w:rsidP="00A365D4">
      <w:pPr>
        <w:pStyle w:val="Title"/>
      </w:pPr>
      <w:bookmarkStart w:id="0" w:name="_GoBack"/>
      <w:bookmarkEnd w:id="0"/>
      <w:r>
        <w:fldChar w:fldCharType="begin"/>
      </w:r>
      <w:r>
        <w:instrText xml:space="preserve"> TITLE   \* MERGEFORMAT </w:instrText>
      </w:r>
      <w:r>
        <w:fldChar w:fldCharType="separate"/>
      </w:r>
      <w:r>
        <w:t>MEM22012A Coordinate resources for an engineering project or operation</w:t>
      </w:r>
      <w:r>
        <w:fldChar w:fldCharType="end"/>
      </w:r>
    </w:p>
    <w:p w:rsidR="00A365D4" w:rsidP="00A365D4">
      <w:pPr>
        <w:pStyle w:val="Version"/>
        <w:sectPr w:rsidSect="001553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3AF" w:rsidP="001553AF">
      <w:pPr>
        <w:pStyle w:val="SuperHeading"/>
      </w:pPr>
      <w:r w:rsidRPr="001553AF">
        <w:t>MEM22012A Coordinate resources for an engineering project or operation</w:t>
      </w:r>
    </w:p>
    <w:p w:rsidR="00000000" w:rsidRPr="001553AF" w:rsidP="001553AF">
      <w:pPr>
        <w:pStyle w:val="Heading1"/>
      </w:pPr>
      <w:bookmarkStart w:id="1" w:name="O_519148"/>
      <w:bookmarkEnd w:id="1"/>
      <w:r w:rsidRPr="001553AF">
        <w:t>Modification History</w:t>
      </w:r>
    </w:p>
    <w:p w:rsidR="00A365D4" w:rsidP="001553AF">
      <w:pPr>
        <w:pStyle w:val="BodyText"/>
      </w:pPr>
      <w:r w:rsidRPr="001553AF">
        <w:t>Release 1 - New unit.  Replaces MEM22003A, but not equivalent.</w:t>
      </w:r>
    </w:p>
    <w:p w:rsidR="00A365D4" w:rsidP="001553AF">
      <w:pPr>
        <w:pStyle w:val="BodyText"/>
      </w:pPr>
    </w:p>
    <w:p w:rsidR="00000000" w:rsidRPr="001553AF" w:rsidP="001553AF">
      <w:pPr>
        <w:pStyle w:val="Heading1"/>
      </w:pPr>
      <w:bookmarkStart w:id="2" w:name="O_519160"/>
      <w:bookmarkEnd w:id="2"/>
      <w:r w:rsidRPr="001553AF">
        <w:t>Unit Descriptor</w:t>
      </w:r>
    </w:p>
    <w:p w:rsidR="00000000" w:rsidRPr="001553AF" w:rsidP="001553AF">
      <w:pPr>
        <w:pStyle w:val="BodyText"/>
      </w:pPr>
      <w:r w:rsidRPr="001553AF">
        <w:t xml:space="preserve">This unit of competency covers the coordination of resources in accordance with operations or project plans and budgets formulated to meet business goals and strategic objectives. </w:t>
      </w:r>
    </w:p>
    <w:p w:rsidR="00000000" w:rsidRPr="001553AF" w:rsidP="001553AF">
      <w:pPr>
        <w:pStyle w:val="AllowPageBreak"/>
      </w:pPr>
    </w:p>
    <w:p w:rsidR="00000000" w:rsidRPr="001553AF" w:rsidP="001553AF">
      <w:pPr>
        <w:pStyle w:val="Heading1"/>
      </w:pPr>
      <w:bookmarkStart w:id="3" w:name="O_519159"/>
      <w:bookmarkEnd w:id="3"/>
      <w:r w:rsidRPr="001553AF">
        <w:t>Application of the Unit</w:t>
      </w:r>
    </w:p>
    <w:p w:rsidR="00000000" w:rsidRPr="001553AF" w:rsidP="001553AF">
      <w:pPr>
        <w:pStyle w:val="BodyText"/>
      </w:pPr>
      <w:r w:rsidRPr="001553AF">
        <w:t>This unit applies to engineering p</w:t>
      </w:r>
      <w:r w:rsidRPr="001553AF">
        <w:t>rojects or operations that have a significant engineering component. It is suitable for people with responsibility for resources and those pursuing technical qualifications and careers at engineering technician level.</w:t>
      </w:r>
    </w:p>
    <w:p w:rsidR="00000000" w:rsidRPr="001553AF" w:rsidP="001553AF">
      <w:pPr>
        <w:pStyle w:val="BodyText"/>
      </w:pPr>
      <w:r w:rsidRPr="001553AF">
        <w:t>Prior or concurrently developed experi</w:t>
      </w:r>
      <w:r w:rsidRPr="001553AF">
        <w:t>ence in mathematics, computer packages and file handling, engineering plant, facilities and services, materials, methods and processes is required.</w:t>
      </w:r>
    </w:p>
    <w:p w:rsidR="00000000" w:rsidRPr="001553AF" w:rsidP="001553AF">
      <w:pPr>
        <w:pStyle w:val="AllowPageBreak"/>
      </w:pPr>
    </w:p>
    <w:p w:rsidR="00000000" w:rsidRPr="001553AF" w:rsidP="001553AF">
      <w:pPr>
        <w:pStyle w:val="Heading1"/>
      </w:pPr>
      <w:bookmarkStart w:id="4" w:name="O_519158"/>
      <w:bookmarkEnd w:id="4"/>
      <w:r w:rsidRPr="001553AF">
        <w:t>Licensing/Regulatory Information</w:t>
      </w:r>
    </w:p>
    <w:p w:rsidR="00000000" w:rsidRPr="001553AF" w:rsidP="001553AF">
      <w:pPr>
        <w:pStyle w:val="BodyText"/>
      </w:pPr>
      <w:r w:rsidRPr="001553AF">
        <w:t>Not applicable.</w:t>
      </w:r>
    </w:p>
    <w:p w:rsidR="00000000" w:rsidRPr="001553AF" w:rsidP="001553AF">
      <w:pPr>
        <w:pStyle w:val="AllowPageBreak"/>
      </w:pPr>
    </w:p>
    <w:p w:rsidR="00000000" w:rsidRPr="001553AF" w:rsidP="001553AF">
      <w:pPr>
        <w:pStyle w:val="Heading1"/>
      </w:pPr>
      <w:bookmarkStart w:id="5" w:name="O_519157"/>
      <w:bookmarkEnd w:id="5"/>
      <w:r w:rsidRPr="001553AF">
        <w:t>Pre-Requisites</w:t>
      </w:r>
    </w:p>
    <w:p w:rsidR="00000000" w:rsidRPr="001553AF" w:rsidP="001553AF">
      <w:pPr>
        <w:pStyle w:val="BodyText"/>
      </w:pPr>
      <w:r w:rsidRPr="001553AF">
        <w:t>Not applic</w:t>
      </w:r>
      <w:r w:rsidRPr="001553AF">
        <w:t>able.</w:t>
      </w:r>
    </w:p>
    <w:p w:rsidR="00000000" w:rsidRPr="001553AF" w:rsidP="001553AF">
      <w:pPr>
        <w:pStyle w:val="AllowPageBreak"/>
      </w:pPr>
    </w:p>
    <w:p w:rsidR="00000000" w:rsidRPr="001553AF" w:rsidP="001553AF">
      <w:pPr>
        <w:pStyle w:val="Heading1"/>
      </w:pPr>
      <w:bookmarkStart w:id="6" w:name="O_519156"/>
      <w:bookmarkEnd w:id="6"/>
      <w:r w:rsidRPr="001553AF">
        <w:t>Employability Skills Information</w:t>
      </w:r>
    </w:p>
    <w:p w:rsidR="00A365D4" w:rsidP="001553AF">
      <w:pPr>
        <w:pStyle w:val="BodyText"/>
      </w:pPr>
      <w:r w:rsidRPr="001553AF">
        <w:t>This unit contains employability skills.</w:t>
      </w:r>
    </w:p>
    <w:p w:rsidR="00A365D4" w:rsidP="001553AF">
      <w:pPr>
        <w:pStyle w:val="BodyText"/>
      </w:pPr>
    </w:p>
    <w:p w:rsidR="00000000" w:rsidRPr="001553AF" w:rsidP="001553AF">
      <w:pPr>
        <w:pStyle w:val="Heading1"/>
      </w:pPr>
      <w:bookmarkStart w:id="7" w:name="O_519155"/>
      <w:bookmarkEnd w:id="7"/>
      <w:r w:rsidRPr="001553AF">
        <w:t>Elements and Performance Criteria Pre-Content</w:t>
      </w:r>
    </w:p>
    <w:tbl>
      <w:tblPr>
        <w:tblW w:w="0" w:type="auto"/>
        <w:tblCellMar>
          <w:left w:w="62" w:type="dxa"/>
          <w:right w:w="62" w:type="dxa"/>
        </w:tblCellMar>
        <w:tblLook w:val="0000"/>
      </w:tblPr>
      <w:tblGrid>
        <w:gridCol w:w="2576"/>
        <w:gridCol w:w="6620"/>
      </w:tblGrid>
      <w:tr w:rsidTr="00A365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Performance criteria describe</w:t>
            </w:r>
            <w:r w:rsidRPr="001553AF">
              <w:t xml:space="preserve"> the performance needed to demonstrate achievement of the element. </w:t>
            </w:r>
          </w:p>
        </w:tc>
      </w:tr>
    </w:tbl>
    <w:p w:rsidR="00A365D4" w:rsidP="001553AF">
      <w:pPr>
        <w:pStyle w:val="BodyText"/>
      </w:pPr>
    </w:p>
    <w:p w:rsidR="00A365D4" w:rsidP="001553AF">
      <w:pPr>
        <w:pStyle w:val="BodyText"/>
      </w:pPr>
    </w:p>
    <w:p w:rsidR="00000000" w:rsidRPr="001553AF" w:rsidP="001553AF">
      <w:pPr>
        <w:pStyle w:val="Heading1"/>
      </w:pPr>
      <w:bookmarkStart w:id="8" w:name="O_519154"/>
      <w:bookmarkEnd w:id="8"/>
      <w:r w:rsidRPr="001553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w:t>
            </w:r>
          </w:p>
        </w:tc>
        <w:tc>
          <w:tcPr>
            <w:tcW w:w="1962" w:type="dxa"/>
            <w:vMerge w:val="restart"/>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Contribute to operations or project planning and budgeting</w:t>
            </w: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Participate in policy and procedures development</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1.2</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 xml:space="preserve">Review sustainability implications of resources, sourcing, processing, process waste, transport, distribution, life cycle and disposal </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1.3</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Participate in planning for operations or project resourcing in the context of operations, project, strategic and</w:t>
            </w:r>
            <w:r w:rsidRPr="001553AF">
              <w:t xml:space="preserve"> business plans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1.4</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Participate in development of budgets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1.5</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Participate in development of performance indicators or parameters, monitoring and continuous improvement processes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1.6</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Participate in the development of resources information distribut</w:t>
            </w:r>
            <w:r w:rsidRPr="001553AF">
              <w:t>ion and control systems, including the use of software systems</w:t>
            </w:r>
          </w:p>
        </w:tc>
      </w:tr>
    </w:tbl>
    <w:p w:rsidR="00000000" w:rsidRPr="001553AF" w:rsidP="001553AF">
      <w:pPr>
        <w:pStyle w:val="BodyText"/>
      </w:pP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2</w:t>
            </w:r>
          </w:p>
        </w:tc>
        <w:tc>
          <w:tcPr>
            <w:tcW w:w="1962" w:type="dxa"/>
            <w:vMerge w:val="restart"/>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Evaluate supply chain relations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2.1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Identify supply value chain members and contribution to project or operation</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2.2</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Assess supply agreements, quality and delivery parameters against performance indicators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2.3</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Employ value analysis of product or customer service costs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2.4</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 xml:space="preserve">Assess tender and contract documents for risk </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2.5</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Assess supply chain communications for feedback on quality, supply chain efficiency and continuous improvement processes</w:t>
            </w:r>
          </w:p>
        </w:tc>
      </w:tr>
    </w:tbl>
    <w:p w:rsidR="00000000" w:rsidRPr="001553AF" w:rsidP="001553AF">
      <w:pPr>
        <w:pStyle w:val="BodyText"/>
      </w:pP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3</w:t>
            </w:r>
          </w:p>
        </w:tc>
        <w:tc>
          <w:tcPr>
            <w:tcW w:w="1962" w:type="dxa"/>
            <w:vMerge w:val="restart"/>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Coordinate physical resources</w:t>
            </w: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3.1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Assess physical resource requirements and develop a resources distribution schedule consistent wi</w:t>
            </w:r>
            <w:r w:rsidRPr="001553AF">
              <w:t>th the budget</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3.2</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Coordinate efficient utilisation of physical resources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3.3</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Ensure compliance with work health and safety (WHS), regulatory and risk management requirements with particular emphasis on handling and use of resources</w:t>
            </w:r>
          </w:p>
        </w:tc>
      </w:tr>
    </w:tbl>
    <w:p w:rsidR="00000000" w:rsidRPr="001553AF" w:rsidP="001553AF">
      <w:pPr>
        <w:pStyle w:val="BodyText"/>
      </w:pP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4</w:t>
            </w:r>
          </w:p>
        </w:tc>
        <w:tc>
          <w:tcPr>
            <w:tcW w:w="1962" w:type="dxa"/>
            <w:vMerge w:val="restart"/>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Contribute to project or operation human resources management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4.1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Identify labour and skills requirements based on assessment of timetable and project or operational requirements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4.2</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 xml:space="preserve">Program and communicate labour and skills to satisfy project or operational technical and budget requirements </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4.3</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 xml:space="preserve">Organise labour and skill schedules to facilitate training </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4.4</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Contribute to skills development and training arrangements</w:t>
            </w:r>
          </w:p>
        </w:tc>
      </w:tr>
    </w:tbl>
    <w:p w:rsidR="00000000" w:rsidRPr="001553AF" w:rsidP="001553AF">
      <w:pPr>
        <w:pStyle w:val="BodyText"/>
      </w:pP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5</w:t>
            </w:r>
          </w:p>
        </w:tc>
        <w:tc>
          <w:tcPr>
            <w:tcW w:w="1962" w:type="dxa"/>
            <w:vMerge w:val="restart"/>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Contribute to budget development and control</w:t>
            </w: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5.1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Participate in developing budgets in the context of business and strategic operations or project plans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5.2</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Control delegated expenditure and cash flow</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5.3</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Record resources utilisation and costs, including those for maintenance of assets</w:t>
            </w:r>
          </w:p>
        </w:tc>
      </w:tr>
    </w:tbl>
    <w:p w:rsidR="00000000" w:rsidRPr="001553AF" w:rsidP="001553AF">
      <w:pPr>
        <w:pStyle w:val="BodyText"/>
      </w:pP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w:t>
            </w:r>
          </w:p>
        </w:tc>
        <w:tc>
          <w:tcPr>
            <w:tcW w:w="1962" w:type="dxa"/>
            <w:vMerge w:val="restart"/>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Supervise and review resources delivery</w:t>
            </w: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Apply systems thinking, constraints and contingency management, and continuous improvement techniques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6.2</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Monitor and revie</w:t>
            </w:r>
            <w:r w:rsidRPr="001553AF">
              <w:t>w supply chain and coordinate continuous improvements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6.3</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Monitor physical and human resources and performance indicators and coordinate continuous improvement processes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6.4</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Monitor budget and coordinate response to threats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6.5</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Monitor sustainability and coordinate responses in accordance with sustainability policy and procedures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6.6</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Monitor information and resources control system and implement continuous improvement</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6.7</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Employ software packages to achieve information handling, data processing, planning and control objectives</w:t>
            </w:r>
          </w:p>
        </w:tc>
      </w:tr>
    </w:tbl>
    <w:p w:rsidR="00000000" w:rsidRPr="001553AF" w:rsidP="001553AF">
      <w:pPr>
        <w:pStyle w:val="BodyText"/>
      </w:pPr>
    </w:p>
    <w:tbl>
      <w:tblPr>
        <w:tblW w:w="0" w:type="auto"/>
        <w:tblLayout w:type="fixed"/>
        <w:tblCellMar>
          <w:left w:w="62" w:type="dxa"/>
          <w:right w:w="62" w:type="dxa"/>
        </w:tblCellMar>
        <w:tblLook w:val="0000"/>
      </w:tblPr>
      <w:tblGrid>
        <w:gridCol w:w="678"/>
        <w:gridCol w:w="1962"/>
        <w:gridCol w:w="770"/>
        <w:gridCol w:w="5610"/>
      </w:tblGrid>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7</w:t>
            </w:r>
          </w:p>
        </w:tc>
        <w:tc>
          <w:tcPr>
            <w:tcW w:w="1962" w:type="dxa"/>
            <w:vMerge w:val="restart"/>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Report and document resources coordination</w:t>
            </w: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7.1</w:t>
            </w:r>
          </w:p>
        </w:tc>
        <w:tc>
          <w:tcPr>
            <w:tcW w:w="561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Report in accordance with procedures</w:t>
            </w:r>
          </w:p>
        </w:tc>
      </w:tr>
      <w:tr w:rsidTr="001553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7.2</w:t>
            </w:r>
          </w:p>
        </w:tc>
        <w:tc>
          <w:tcPr>
            <w:tcW w:w="5610"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Maintain documentation on planning, supply chain analy</w:t>
            </w:r>
            <w:r w:rsidRPr="001553AF">
              <w:t>sis, resources requirements analysis, budgets, delivery, continuous improvement and training, WHS and regulatory requirements, and risk assessment</w:t>
            </w:r>
          </w:p>
        </w:tc>
      </w:tr>
    </w:tbl>
    <w:p w:rsidR="00A365D4" w:rsidP="001553AF">
      <w:pPr>
        <w:pStyle w:val="BodyText"/>
      </w:pPr>
    </w:p>
    <w:p w:rsidR="00A365D4" w:rsidP="001553AF">
      <w:pPr>
        <w:pStyle w:val="BodyText"/>
      </w:pPr>
    </w:p>
    <w:p w:rsidR="00000000" w:rsidRPr="001553AF" w:rsidP="001553AF">
      <w:pPr>
        <w:pStyle w:val="Heading1"/>
      </w:pPr>
      <w:bookmarkStart w:id="9" w:name="O_519153"/>
      <w:bookmarkEnd w:id="9"/>
      <w:r w:rsidRPr="001553AF">
        <w:t>Required Skills and Knowledge</w:t>
      </w:r>
    </w:p>
    <w:tbl>
      <w:tblPr>
        <w:tblW w:w="9462" w:type="dxa"/>
        <w:tblLayout w:type="fixed"/>
        <w:tblCellMar>
          <w:left w:w="62" w:type="dxa"/>
          <w:right w:w="62" w:type="dxa"/>
        </w:tblCellMar>
        <w:tblLook w:val="0000"/>
      </w:tblPr>
      <w:tblGrid>
        <w:gridCol w:w="9462"/>
      </w:tblGrid>
      <w:tr w:rsidTr="001553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t>This section describes the skills and knowledge required for this unit.</w:t>
            </w:r>
          </w:p>
        </w:tc>
      </w:tr>
      <w:tr w:rsidTr="001553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rPr>
                <w:rStyle w:val="SpecialBold"/>
              </w:rPr>
              <w:t>Required skills</w:t>
            </w:r>
          </w:p>
        </w:tc>
      </w:tr>
      <w:tr w:rsidTr="001553AF">
        <w:tblPrEx>
          <w:tblW w:w="9462" w:type="dxa"/>
          <w:tblLayout w:type="fixed"/>
          <w:tblCellMar>
            <w:left w:w="62" w:type="dxa"/>
            <w:right w:w="62" w:type="dxa"/>
          </w:tblCellMar>
          <w:tblLook w:val="0000"/>
        </w:tblPrEx>
        <w:trPr>
          <w:trHeight w:val="285"/>
        </w:trPr>
        <w:tc>
          <w:tcPr>
            <w:tcW w:w="9462"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Required skills include:</w:t>
            </w:r>
          </w:p>
          <w:p w:rsidR="00000000" w:rsidRPr="001553AF" w:rsidP="001553AF">
            <w:pPr>
              <w:pStyle w:val="ListBullet"/>
            </w:pPr>
            <w:r w:rsidRPr="001553AF">
              <w:t>participating and communicating with others</w:t>
            </w:r>
          </w:p>
          <w:p w:rsidR="00000000" w:rsidRPr="001553AF" w:rsidP="001553AF">
            <w:pPr>
              <w:pStyle w:val="ListBullet"/>
            </w:pPr>
            <w:r w:rsidRPr="001553AF">
              <w:t>negotiating and seeking consensus in support of strategic objectives</w:t>
            </w:r>
          </w:p>
          <w:p w:rsidR="00000000" w:rsidRPr="001553AF" w:rsidP="001553AF">
            <w:pPr>
              <w:pStyle w:val="ListBullet"/>
            </w:pPr>
            <w:r w:rsidRPr="001553AF">
              <w:t>evaluating:</w:t>
            </w:r>
          </w:p>
          <w:p w:rsidR="00000000" w:rsidRPr="001553AF" w:rsidP="001553AF">
            <w:pPr>
              <w:pStyle w:val="ListBullet2"/>
            </w:pPr>
            <w:r w:rsidRPr="001553AF">
              <w:t xml:space="preserve">supply chain, </w:t>
            </w:r>
            <w:r w:rsidRPr="001553AF">
              <w:t>quality, delivery and capability</w:t>
            </w:r>
          </w:p>
          <w:p w:rsidR="00000000" w:rsidRPr="001553AF" w:rsidP="001553AF">
            <w:pPr>
              <w:pStyle w:val="ListBullet2"/>
            </w:pPr>
            <w:r w:rsidRPr="001553AF">
              <w:t>tender and contracting processes and documents</w:t>
            </w:r>
          </w:p>
          <w:p w:rsidR="00000000" w:rsidRPr="001553AF" w:rsidP="001553AF">
            <w:pPr>
              <w:pStyle w:val="ListBullet"/>
            </w:pPr>
            <w:r w:rsidRPr="001553AF">
              <w:t>coordinating physical and human resources</w:t>
            </w:r>
          </w:p>
          <w:p w:rsidR="00000000" w:rsidRPr="001553AF" w:rsidP="001553AF">
            <w:pPr>
              <w:pStyle w:val="ListBullet"/>
            </w:pPr>
            <w:r w:rsidRPr="001553AF">
              <w:t>coordinating and controlling resource budgets</w:t>
            </w:r>
          </w:p>
          <w:p w:rsidR="00000000" w:rsidRPr="001553AF" w:rsidP="001553AF">
            <w:pPr>
              <w:pStyle w:val="ListBullet"/>
            </w:pPr>
            <w:r w:rsidRPr="001553AF">
              <w:t>monitoring, reviewing and improving resources delivery</w:t>
            </w:r>
          </w:p>
          <w:p w:rsidR="00000000" w:rsidRPr="001553AF" w:rsidP="001553AF">
            <w:pPr>
              <w:pStyle w:val="ListBullet"/>
            </w:pPr>
            <w:r w:rsidRPr="001553AF">
              <w:t>planning for operations or p</w:t>
            </w:r>
            <w:r w:rsidRPr="001553AF">
              <w:t>roject resourcing in the context of operations, project, strategic and business plans</w:t>
            </w:r>
          </w:p>
          <w:p w:rsidR="00000000" w:rsidRPr="001553AF" w:rsidP="001553AF">
            <w:pPr>
              <w:pStyle w:val="ListBullet"/>
            </w:pPr>
            <w:r w:rsidRPr="001553AF">
              <w:t>participating, cooperating and negotiating required for dealing with customers, contractors, designers and production management</w:t>
            </w:r>
          </w:p>
          <w:p w:rsidR="00000000" w:rsidRPr="001553AF" w:rsidP="001553AF">
            <w:pPr>
              <w:pStyle w:val="ListBullet"/>
            </w:pPr>
            <w:r w:rsidRPr="001553AF">
              <w:t>determining take off quantities for ‘bill</w:t>
            </w:r>
            <w:r w:rsidRPr="001553AF">
              <w:t xml:space="preserve"> of materials’ from drawings, specifications and contracts</w:t>
            </w:r>
          </w:p>
          <w:p w:rsidR="00000000" w:rsidP="001553AF">
            <w:pPr>
              <w:pStyle w:val="ListBullet"/>
              <w:rPr>
                <w:lang w:val="en-NZ"/>
              </w:rPr>
            </w:pPr>
            <w:r w:rsidRPr="001553AF">
              <w:t xml:space="preserve">reporting and documenting objectives, key performance indicators, timetables and progress </w:t>
            </w:r>
          </w:p>
        </w:tc>
      </w:tr>
      <w:tr w:rsidTr="001553A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553AF" w:rsidP="001553AF">
            <w:pPr>
              <w:pStyle w:val="BodyText"/>
            </w:pPr>
          </w:p>
          <w:p w:rsidR="00000000" w:rsidP="001553AF">
            <w:pPr>
              <w:pStyle w:val="BodyText"/>
              <w:rPr>
                <w:lang w:val="en-NZ"/>
              </w:rPr>
            </w:pPr>
            <w:r w:rsidRPr="001553AF">
              <w:rPr>
                <w:rStyle w:val="SpecialBold"/>
              </w:rPr>
              <w:t>Required knowledge</w:t>
            </w:r>
          </w:p>
        </w:tc>
      </w:tr>
      <w:tr w:rsidTr="001553AF">
        <w:tblPrEx>
          <w:tblW w:w="9462" w:type="dxa"/>
          <w:tblLayout w:type="fixed"/>
          <w:tblCellMar>
            <w:left w:w="62" w:type="dxa"/>
            <w:right w:w="62" w:type="dxa"/>
          </w:tblCellMar>
          <w:tblLook w:val="0000"/>
        </w:tblPrEx>
        <w:trPr>
          <w:trHeight w:val="392"/>
        </w:trPr>
        <w:tc>
          <w:tcPr>
            <w:tcW w:w="9462" w:type="dxa"/>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Required knowledge includes:</w:t>
            </w:r>
          </w:p>
          <w:p w:rsidR="00000000" w:rsidRPr="001553AF" w:rsidP="001553AF">
            <w:pPr>
              <w:pStyle w:val="ListBullet"/>
            </w:pPr>
            <w:r w:rsidRPr="001553AF">
              <w:t xml:space="preserve">typical sustainability implications for engineering projects or operations </w:t>
            </w:r>
          </w:p>
          <w:p w:rsidR="00000000" w:rsidRPr="001553AF" w:rsidP="001553AF">
            <w:pPr>
              <w:pStyle w:val="ListBullet"/>
            </w:pPr>
            <w:r w:rsidRPr="001553AF">
              <w:t>systems thinking, constraints and contingency management, and continuous improvement techniques</w:t>
            </w:r>
          </w:p>
          <w:p w:rsidR="00000000" w:rsidRPr="001553AF" w:rsidP="001553AF">
            <w:pPr>
              <w:pStyle w:val="ListBullet"/>
            </w:pPr>
            <w:r w:rsidRPr="001553AF">
              <w:t>procedures for preparing and monitoring project plans, business plans and budgets</w:t>
            </w:r>
          </w:p>
          <w:p w:rsidR="00000000" w:rsidRPr="001553AF" w:rsidP="001553AF">
            <w:pPr>
              <w:pStyle w:val="ListBullet"/>
            </w:pPr>
            <w:r w:rsidRPr="001553AF">
              <w:t>co</w:t>
            </w:r>
            <w:r w:rsidRPr="001553AF">
              <w:t xml:space="preserve">st planning, cost-benefit analysis, life cycle costing, valuation and cost estimation procedures </w:t>
            </w:r>
          </w:p>
          <w:p w:rsidR="00000000" w:rsidRPr="001553AF" w:rsidP="001553AF">
            <w:pPr>
              <w:pStyle w:val="ListBullet"/>
            </w:pPr>
            <w:r w:rsidRPr="001553AF">
              <w:t>procedures for assessing implications of design on project implementation costs or manufacturability of product and maintainability of plant and process</w:t>
            </w:r>
          </w:p>
          <w:p w:rsidR="00000000" w:rsidRPr="001553AF" w:rsidP="001553AF">
            <w:pPr>
              <w:pStyle w:val="ListBullet"/>
            </w:pPr>
            <w:r w:rsidRPr="001553AF">
              <w:t>resou</w:t>
            </w:r>
            <w:r w:rsidRPr="001553AF">
              <w:t>rces information distribution and control systems, including the use of enterprise resource planning (ERP) and materials resource planning (MRP) software</w:t>
            </w:r>
          </w:p>
          <w:p w:rsidR="00000000" w:rsidRPr="001553AF" w:rsidP="001553AF">
            <w:pPr>
              <w:pStyle w:val="ListBullet"/>
            </w:pPr>
            <w:r w:rsidRPr="001553AF">
              <w:t>planning and cost control software</w:t>
            </w:r>
          </w:p>
          <w:p w:rsidR="00000000" w:rsidRPr="001553AF" w:rsidP="001553AF">
            <w:pPr>
              <w:pStyle w:val="ListBullet"/>
            </w:pPr>
            <w:r w:rsidRPr="001553AF">
              <w:t>supply and value chain evaluation techniques, including contract, quality and delivery parameters</w:t>
            </w:r>
          </w:p>
          <w:p w:rsidR="00000000" w:rsidRPr="001553AF" w:rsidP="001553AF">
            <w:pPr>
              <w:pStyle w:val="ListBullet"/>
            </w:pPr>
            <w:r w:rsidRPr="001553AF">
              <w:t>engineering-related operating procedures associated with the use of resources</w:t>
            </w:r>
          </w:p>
          <w:p w:rsidR="00000000" w:rsidRPr="001553AF" w:rsidP="001553AF">
            <w:pPr>
              <w:pStyle w:val="ListBullet"/>
            </w:pPr>
            <w:r w:rsidRPr="001553AF">
              <w:t>financial impact of a variety of maintenance strategies on overall costs on typi</w:t>
            </w:r>
            <w:r w:rsidRPr="001553AF">
              <w:t>cal tenders, contracts and law of contract provisions, relevant to engineering projects or operations</w:t>
            </w:r>
          </w:p>
          <w:p w:rsidR="00000000" w:rsidRPr="001553AF" w:rsidP="001553AF">
            <w:pPr>
              <w:pStyle w:val="ListBullet"/>
            </w:pPr>
            <w:r w:rsidRPr="001553AF">
              <w:t>ability to calculate quantities from drawings, specifications and contracts</w:t>
            </w:r>
          </w:p>
          <w:p w:rsidR="00000000" w:rsidRPr="001553AF" w:rsidP="001553AF">
            <w:pPr>
              <w:pStyle w:val="ListBullet"/>
            </w:pPr>
            <w:r w:rsidRPr="001553AF">
              <w:t>WHS requirements, including WHS Acts and regulations</w:t>
            </w:r>
          </w:p>
          <w:p w:rsidR="00000000" w:rsidRPr="001553AF" w:rsidP="001553AF">
            <w:pPr>
              <w:pStyle w:val="ListBullet"/>
            </w:pPr>
            <w:r w:rsidRPr="001553AF">
              <w:t>resources expenditure and</w:t>
            </w:r>
            <w:r w:rsidRPr="001553AF">
              <w:t xml:space="preserve"> cash flow control procedures </w:t>
            </w:r>
          </w:p>
          <w:p w:rsidR="00000000" w:rsidRPr="001553AF" w:rsidP="001553AF">
            <w:pPr>
              <w:pStyle w:val="ListBullet"/>
            </w:pPr>
            <w:r w:rsidRPr="001553AF">
              <w:t>procedures and requirements of financial records, including records of resources and costs for maintenance of assets</w:t>
            </w:r>
          </w:p>
        </w:tc>
      </w:tr>
    </w:tbl>
    <w:p w:rsidR="00000000" w:rsidRPr="001553AF" w:rsidP="001553AF">
      <w:pPr>
        <w:pStyle w:val="BodyText"/>
      </w:pPr>
    </w:p>
    <w:p w:rsidR="00000000" w:rsidRPr="001553AF" w:rsidP="001553AF">
      <w:pPr>
        <w:pStyle w:val="AllowPageBreak"/>
      </w:pPr>
    </w:p>
    <w:p w:rsidR="00000000" w:rsidRPr="001553AF" w:rsidP="001553AF">
      <w:pPr>
        <w:pStyle w:val="Heading1"/>
      </w:pPr>
      <w:bookmarkStart w:id="10" w:name="O_519152"/>
      <w:bookmarkEnd w:id="10"/>
      <w:r w:rsidRPr="001553AF">
        <w:t>Evidence Guide</w:t>
      </w:r>
    </w:p>
    <w:tbl>
      <w:tblPr>
        <w:tblW w:w="0" w:type="auto"/>
        <w:tblCellMar>
          <w:left w:w="62" w:type="dxa"/>
          <w:right w:w="62" w:type="dxa"/>
        </w:tblCellMar>
        <w:tblLook w:val="0000"/>
      </w:tblPr>
      <w:tblGrid>
        <w:gridCol w:w="2862"/>
        <w:gridCol w:w="6334"/>
      </w:tblGrid>
      <w:tr w:rsidTr="00A365D4">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553AF">
            <w:pPr>
              <w:pStyle w:val="BodyText"/>
              <w:rPr>
                <w:lang w:val="en-NZ"/>
              </w:rPr>
            </w:pPr>
            <w:r w:rsidRPr="001553AF">
              <w:t>The evidence guide provides advice on assessment and must be read in conju</w:t>
            </w:r>
            <w:r w:rsidRPr="001553AF">
              <w:t>nction with the performance criteria, required skills and knowledge, range statement and the Assessment Guidelines for the Training Package.</w:t>
            </w:r>
          </w:p>
        </w:tc>
      </w:tr>
      <w:tr w:rsidTr="00A365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t>A person who demonstrates competency in this unit must be able to coordinate resources for an engineering project or operation within project plans and budgets. This includes working individually and as part of a team and recognising and complying with nor</w:t>
            </w:r>
            <w:r w:rsidRPr="001553AF">
              <w:t>mal control procedures on engineering projects.</w:t>
            </w:r>
          </w:p>
        </w:tc>
      </w:tr>
      <w:tr w:rsidTr="00A365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Assessors must be satisfied that the candidate can competently and consistently:</w:t>
            </w:r>
          </w:p>
          <w:p w:rsidR="00000000" w:rsidRPr="001553AF" w:rsidP="001553AF">
            <w:pPr>
              <w:pStyle w:val="ListBullet"/>
            </w:pPr>
            <w:r w:rsidRPr="001553AF">
              <w:t>participate, communicate, cooper</w:t>
            </w:r>
            <w:r w:rsidRPr="001553AF">
              <w:t>ate and negotiate strategic objectives, policy and procedures development</w:t>
            </w:r>
          </w:p>
          <w:p w:rsidR="00000000" w:rsidRPr="001553AF" w:rsidP="001553AF">
            <w:pPr>
              <w:pStyle w:val="ListBullet"/>
            </w:pPr>
            <w:r w:rsidRPr="001553AF">
              <w:t>evaluate supply chain, quality, delivery, capability, tender and contracting processes and documents</w:t>
            </w:r>
          </w:p>
          <w:p w:rsidR="00000000" w:rsidRPr="001553AF" w:rsidP="001553AF">
            <w:pPr>
              <w:pStyle w:val="ListBullet"/>
            </w:pPr>
            <w:r w:rsidRPr="001553AF">
              <w:t>coordinate and control physical and human resources and resource budgets</w:t>
            </w:r>
          </w:p>
          <w:p w:rsidR="00000000" w:rsidRPr="001553AF" w:rsidP="001553AF">
            <w:pPr>
              <w:pStyle w:val="ListBullet"/>
            </w:pPr>
            <w:r w:rsidRPr="001553AF">
              <w:t>monitor, review and improve resources delivery</w:t>
            </w:r>
          </w:p>
          <w:p w:rsidR="00000000" w:rsidP="001553AF">
            <w:pPr>
              <w:pStyle w:val="ListBullet"/>
              <w:rPr>
                <w:lang w:val="en-NZ"/>
              </w:rPr>
            </w:pPr>
            <w:r w:rsidRPr="001553AF">
              <w:t>report and document resource planning and use.</w:t>
            </w:r>
          </w:p>
        </w:tc>
      </w:tr>
      <w:tr w:rsidTr="00A365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ListBullet"/>
            </w:pPr>
            <w:r w:rsidRPr="001553AF">
              <w:t>This unit may be assessed on the job, off the job or a combination of both on and off the job. Where assessment</w:t>
            </w:r>
            <w:r w:rsidRPr="001553AF">
              <w:t xml:space="preserve"> occurs off the job, then a simulated working environment must be used where the range of conditions reflects realistic workplace situations. </w:t>
            </w:r>
          </w:p>
          <w:p w:rsidR="00000000" w:rsidRPr="001553AF" w:rsidP="001553AF">
            <w:pPr>
              <w:pStyle w:val="ListBullet"/>
            </w:pPr>
            <w:r w:rsidRPr="001553AF">
              <w:t xml:space="preserve">The competencies covered by this unit would be demonstrated by an individual working alone or as part of a team. </w:t>
            </w:r>
          </w:p>
          <w:p w:rsidR="00000000" w:rsidRPr="001553AF" w:rsidP="001553AF">
            <w:pPr>
              <w:pStyle w:val="ListBullet"/>
            </w:pPr>
            <w:r w:rsidRPr="001553AF">
              <w:t>Where applicable, reasonable adjustment must be made to work environments and training situations to accommodate ethnicity, age, gender, demographics and disability.</w:t>
            </w:r>
          </w:p>
          <w:p w:rsidR="00000000" w:rsidP="001553AF">
            <w:pPr>
              <w:pStyle w:val="ListBullet"/>
              <w:rPr>
                <w:lang w:val="en-NZ"/>
              </w:rPr>
            </w:pPr>
            <w:r w:rsidRPr="001553AF">
              <w:t xml:space="preserve">Access must be provided to appropriate learning and/or assessment support when required. </w:t>
            </w:r>
            <w:r w:rsidRPr="001553AF">
              <w:t>Where applicable, physical resources should include equipment modified for people with disabilities.</w:t>
            </w:r>
          </w:p>
        </w:tc>
      </w:tr>
      <w:tr w:rsidTr="00A365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ListBullet"/>
            </w:pPr>
            <w:r w:rsidRPr="001553AF">
              <w:t>Assessment must satisfy the endorsed Assessment Guidelines of the MEM05 Metal and Engineering Training Package.</w:t>
            </w:r>
          </w:p>
          <w:p w:rsidR="00000000" w:rsidRPr="001553AF" w:rsidP="001553AF">
            <w:pPr>
              <w:pStyle w:val="ListBullet"/>
            </w:pPr>
            <w:r w:rsidRPr="001553AF">
              <w:t>Assessment methods m</w:t>
            </w:r>
            <w:r w:rsidRPr="001553AF">
              <w:t>ust confirm consistency and accuracy of performance (over time and in a range of workplace relevant contexts) together with application of underpinning knowledge.</w:t>
            </w:r>
          </w:p>
          <w:p w:rsidR="00000000" w:rsidRPr="001553AF" w:rsidP="001553AF">
            <w:pPr>
              <w:pStyle w:val="ListBullet"/>
            </w:pPr>
            <w:r w:rsidRPr="001553AF">
              <w:t>Assessment methods must be by direct observation of tasks and include questioning on underpin</w:t>
            </w:r>
            <w:r w:rsidRPr="001553AF">
              <w:t>ning knowledge to ensure correct interpretation and application.</w:t>
            </w:r>
          </w:p>
          <w:p w:rsidR="00000000" w:rsidRPr="001553AF" w:rsidP="001553AF">
            <w:pPr>
              <w:pStyle w:val="ListBullet"/>
            </w:pPr>
            <w:r w:rsidRPr="001553AF">
              <w:t>Assessment may be applied under project-related conditions (real or simulated) and require evidence of process.</w:t>
            </w:r>
          </w:p>
          <w:p w:rsidR="00000000" w:rsidRPr="001553AF" w:rsidP="001553AF">
            <w:pPr>
              <w:pStyle w:val="ListBullet"/>
            </w:pPr>
            <w:r w:rsidRPr="001553AF">
              <w:t xml:space="preserve">Assessment must confirm a reasonable inference that competency is not </w:t>
            </w:r>
            <w:r w:rsidRPr="001553AF">
              <w:t>only able to be satisfied under the particular circumstance, but is able to be transferred to other circumstances.</w:t>
            </w:r>
          </w:p>
          <w:p w:rsidR="00000000" w:rsidP="001553AF">
            <w:pPr>
              <w:pStyle w:val="ListBullet"/>
              <w:rPr>
                <w:lang w:val="en-NZ"/>
              </w:rPr>
            </w:pPr>
            <w:r w:rsidRPr="001553AF">
              <w:t>Assessment may be in conjunction with assessment of other units of competency where required.</w:t>
            </w:r>
          </w:p>
        </w:tc>
      </w:tr>
      <w:tr w:rsidTr="00A365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Assessment</w:t>
            </w:r>
            <w:r w:rsidRPr="001553AF">
              <w:t xml:space="preserve"> processes and techniques must be culturally appropriate and appropriate to the language and literacy capacity of the candidate and the work being performed.</w:t>
            </w:r>
          </w:p>
        </w:tc>
      </w:tr>
    </w:tbl>
    <w:p w:rsidR="00A365D4" w:rsidP="001553AF">
      <w:pPr>
        <w:pStyle w:val="BodyText"/>
      </w:pPr>
    </w:p>
    <w:p w:rsidR="00A365D4" w:rsidP="001553AF">
      <w:pPr>
        <w:pStyle w:val="BodyText"/>
      </w:pPr>
    </w:p>
    <w:p w:rsidR="00000000" w:rsidRPr="001553AF" w:rsidP="001553AF">
      <w:pPr>
        <w:pStyle w:val="Heading1"/>
      </w:pPr>
      <w:bookmarkStart w:id="11" w:name="O_519151"/>
      <w:bookmarkEnd w:id="11"/>
      <w:r w:rsidRPr="001553AF">
        <w:t>Range Statement</w:t>
      </w:r>
    </w:p>
    <w:tbl>
      <w:tblPr>
        <w:tblW w:w="9606" w:type="dxa"/>
        <w:tblLayout w:type="fixed"/>
        <w:tblCellMar>
          <w:left w:w="62" w:type="dxa"/>
          <w:right w:w="62" w:type="dxa"/>
        </w:tblCellMar>
        <w:tblLook w:val="0000"/>
      </w:tblPr>
      <w:tblGrid>
        <w:gridCol w:w="2310"/>
        <w:gridCol w:w="7296"/>
      </w:tblGrid>
      <w:tr w:rsidTr="001553AF">
        <w:tblPrEx>
          <w:tblW w:w="9606" w:type="dxa"/>
          <w:tblLayout w:type="fixed"/>
          <w:tblCellMar>
            <w:left w:w="62" w:type="dxa"/>
            <w:right w:w="62" w:type="dxa"/>
          </w:tblCellMar>
          <w:tblLook w:val="0000"/>
        </w:tblPrEx>
        <w:tc>
          <w:tcPr>
            <w:tcW w:w="9606"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553AF">
            <w:pPr>
              <w:pStyle w:val="BodyText"/>
              <w:rPr>
                <w:lang w:val="en-NZ"/>
              </w:rPr>
            </w:pPr>
            <w:r w:rsidRPr="001553AF">
              <w:t>The range statement relates to the unit of competency as a who</w:t>
            </w:r>
            <w:r w:rsidRPr="001553AF">
              <w:t>le. It allows for different work environments and situations that may affect performance. Bold italicised wording, if used in the performance criteria, is detailed below. Essential operating conditions that may be present with training and assessment (depe</w:t>
            </w:r>
            <w:r w:rsidRPr="001553AF">
              <w:t>nding on the work situation, needs of the candidate, accessibility of the item, and local industry and regional contexts) may also be included.</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Participate</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t>Participation includes the requirement to communicate, cooperate, negotiate and work with others in accordance with the operations or project plans</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Software packages</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Software packages may include:</w:t>
            </w:r>
          </w:p>
          <w:p w:rsidR="00000000" w:rsidRPr="001553AF" w:rsidP="001553AF">
            <w:pPr>
              <w:pStyle w:val="ListBullet"/>
            </w:pPr>
            <w:r w:rsidRPr="001553AF">
              <w:t>spreadsheets</w:t>
            </w:r>
          </w:p>
          <w:p w:rsidR="00000000" w:rsidRPr="001553AF" w:rsidP="001553AF">
            <w:pPr>
              <w:pStyle w:val="ListBullet"/>
            </w:pPr>
            <w:r w:rsidRPr="001553AF">
              <w:t>databases</w:t>
            </w:r>
          </w:p>
          <w:p w:rsidR="00000000" w:rsidRPr="001553AF" w:rsidP="001553AF">
            <w:pPr>
              <w:pStyle w:val="ListBullet"/>
            </w:pPr>
            <w:r w:rsidRPr="001553AF">
              <w:t>word processor</w:t>
            </w:r>
          </w:p>
          <w:p w:rsidR="00000000" w:rsidRPr="001553AF" w:rsidP="001553AF">
            <w:pPr>
              <w:pStyle w:val="ListBullet"/>
            </w:pPr>
            <w:r w:rsidRPr="001553AF">
              <w:t>presentation</w:t>
            </w:r>
          </w:p>
          <w:p w:rsidR="00000000" w:rsidRPr="001553AF" w:rsidP="001553AF">
            <w:pPr>
              <w:pStyle w:val="ListBullet"/>
            </w:pPr>
            <w:r w:rsidRPr="001553AF">
              <w:t>project management and cost control</w:t>
            </w:r>
          </w:p>
          <w:p w:rsidR="00000000" w:rsidP="001553AF">
            <w:pPr>
              <w:pStyle w:val="ListBullet"/>
              <w:rPr>
                <w:lang w:val="en-NZ"/>
              </w:rPr>
            </w:pPr>
            <w:r w:rsidRPr="001553AF">
              <w:t>system control and data acquisition (SCADA), MRPII, MRPIII and ERP</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 xml:space="preserve">Value analysis </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t>Value analysis is the determination of value-added, as defined by the ultimate customer at each step in the supply chain or production p</w:t>
            </w:r>
            <w:r w:rsidRPr="001553AF">
              <w:t>rocess or service provision. The value is often specified in contract documentation in terms of quality, cost, quantity and delivery schedule</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 xml:space="preserve">Systems thinking </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t>Systems thinking refers to the conduct of engineering work in a manner that demonstrates knowle</w:t>
            </w:r>
            <w:r w:rsidRPr="001553AF">
              <w:t>dge of how the interaction of different technical systems on equipment, machinery or structures, as well as the skills and techniques of personnel, combine to perform or support engineering-related operations, processes or projects. It embraces determining</w:t>
            </w:r>
            <w:r w:rsidRPr="001553AF">
              <w:t xml:space="preserve"> or establishing how the function of each technical system or component, as well as the skills and techniques of personnel, effects or potentially may effect, outcomes. Systems should be interpreted broadly within the context of the organisation and depend</w:t>
            </w:r>
            <w:r w:rsidRPr="001553AF">
              <w:t>ing on the project or operation can include equipment, related facilities, material, software, internal services and personnel, and other organisations in the value chain</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WHS, regulatory requirements and enterprise procedures</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WHS, regulatory requirements and enterprise procedures may include:</w:t>
            </w:r>
          </w:p>
          <w:p w:rsidR="00000000" w:rsidRPr="001553AF" w:rsidP="001553AF">
            <w:pPr>
              <w:pStyle w:val="ListBullet"/>
            </w:pPr>
            <w:r w:rsidRPr="001553AF">
              <w:t>WHS Acts and regulations</w:t>
            </w:r>
          </w:p>
          <w:p w:rsidR="00000000" w:rsidRPr="001553AF" w:rsidP="001553AF">
            <w:pPr>
              <w:pStyle w:val="ListBullet"/>
            </w:pPr>
            <w:r w:rsidRPr="001553AF">
              <w:t>relevant standards</w:t>
            </w:r>
          </w:p>
          <w:p w:rsidR="00000000" w:rsidRPr="001553AF" w:rsidP="001553AF">
            <w:pPr>
              <w:pStyle w:val="ListBullet"/>
            </w:pPr>
            <w:r w:rsidRPr="001553AF">
              <w:t>codes of practice from Australian and overseas engineering and technical associations and societies</w:t>
            </w:r>
          </w:p>
          <w:p w:rsidR="00000000" w:rsidRPr="001553AF" w:rsidP="001553AF">
            <w:pPr>
              <w:pStyle w:val="ListBullet"/>
            </w:pPr>
            <w:r w:rsidRPr="001553AF">
              <w:t>risk assessments</w:t>
            </w:r>
          </w:p>
          <w:p w:rsidR="00000000" w:rsidRPr="001553AF" w:rsidP="001553AF">
            <w:pPr>
              <w:pStyle w:val="ListBullet"/>
            </w:pPr>
            <w:r w:rsidRPr="001553AF">
              <w:t xml:space="preserve">registration requirements </w:t>
            </w:r>
          </w:p>
          <w:p w:rsidR="00000000" w:rsidRPr="001553AF" w:rsidP="001553AF">
            <w:pPr>
              <w:pStyle w:val="ListBullet"/>
            </w:pPr>
            <w:r w:rsidRPr="001553AF">
              <w:t>safe work practices</w:t>
            </w:r>
          </w:p>
          <w:p w:rsidR="00000000" w:rsidP="001553AF">
            <w:pPr>
              <w:pStyle w:val="ListBullet"/>
              <w:rPr>
                <w:lang w:val="en-NZ"/>
              </w:rPr>
            </w:pPr>
            <w:r w:rsidRPr="001553AF">
              <w:t xml:space="preserve">state and territory regulatory requirements </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 xml:space="preserve">Continuous improvement implementation </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Continuous improvement implementation may relate to:</w:t>
            </w:r>
          </w:p>
          <w:p w:rsidR="00000000" w:rsidRPr="001553AF" w:rsidP="001553AF">
            <w:pPr>
              <w:pStyle w:val="ListBullet"/>
            </w:pPr>
            <w:r w:rsidRPr="001553AF">
              <w:t>plant, products, processes, systems or services, including design, development, implementation o</w:t>
            </w:r>
            <w:r w:rsidRPr="001553AF">
              <w:t>r manufacture, commissioning, operation or delivery and maintenance</w:t>
            </w:r>
          </w:p>
          <w:p w:rsidR="00000000" w:rsidRPr="001553AF" w:rsidP="001553AF">
            <w:pPr>
              <w:pStyle w:val="BodyText"/>
            </w:pPr>
            <w:r w:rsidRPr="001553AF">
              <w:t>Improvement processes may include techniques, such as:</w:t>
            </w:r>
          </w:p>
          <w:p w:rsidR="00000000" w:rsidRPr="001553AF" w:rsidP="001553AF">
            <w:pPr>
              <w:pStyle w:val="ListBullet"/>
            </w:pPr>
            <w:r w:rsidRPr="001553AF">
              <w:t xml:space="preserve">balanced scorecard </w:t>
            </w:r>
          </w:p>
          <w:p w:rsidR="00000000" w:rsidRPr="001553AF" w:rsidP="001553AF">
            <w:pPr>
              <w:pStyle w:val="ListBullet"/>
            </w:pPr>
            <w:r w:rsidRPr="001553AF">
              <w:t>current and future state mapping</w:t>
            </w:r>
          </w:p>
          <w:p w:rsidR="00000000" w:rsidRPr="001553AF" w:rsidP="001553AF">
            <w:pPr>
              <w:pStyle w:val="ListBullet"/>
            </w:pPr>
            <w:r w:rsidRPr="001553AF">
              <w:t xml:space="preserve">measuring performance against benchmarks </w:t>
            </w:r>
          </w:p>
          <w:p w:rsidR="00000000" w:rsidRPr="001553AF" w:rsidP="001553AF">
            <w:pPr>
              <w:pStyle w:val="ListBullet"/>
            </w:pPr>
            <w:r w:rsidRPr="001553AF">
              <w:t xml:space="preserve">process improvement, problem solving </w:t>
            </w:r>
            <w:r w:rsidRPr="001553AF">
              <w:t>and decision making</w:t>
            </w:r>
          </w:p>
          <w:p w:rsidR="00000000" w:rsidRPr="001553AF" w:rsidP="001553AF">
            <w:pPr>
              <w:pStyle w:val="ListBullet"/>
            </w:pPr>
            <w:r w:rsidRPr="001553AF">
              <w:t>data management, generation, recording, analysing, storing and use of software</w:t>
            </w:r>
          </w:p>
          <w:p w:rsidR="00000000" w:rsidRPr="001553AF" w:rsidP="001553AF">
            <w:pPr>
              <w:pStyle w:val="ListBullet"/>
            </w:pPr>
            <w:r w:rsidRPr="001553AF">
              <w:t>training for improvement systems participation</w:t>
            </w:r>
          </w:p>
          <w:p w:rsidR="00000000" w:rsidP="001553AF">
            <w:pPr>
              <w:pStyle w:val="ListBullet"/>
              <w:rPr>
                <w:lang w:val="en-NZ"/>
              </w:rPr>
            </w:pPr>
            <w:r w:rsidRPr="001553AF">
              <w:t>technical training</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Manage constraints and contingencies</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Contingencies arising during operations or improvement projects are responded to in the context of constraints. Contingencies may threaten operations or improvement projects and planning for contingencies may be essential to maintain resources, skilled lab</w:t>
            </w:r>
            <w:r w:rsidRPr="001553AF">
              <w:t>our and schedules. Each contingency will have constraints on possible solutions. These may be:</w:t>
            </w:r>
          </w:p>
          <w:p w:rsidR="00000000" w:rsidRPr="001553AF" w:rsidP="001553AF">
            <w:pPr>
              <w:pStyle w:val="ListBullet"/>
            </w:pPr>
            <w:r w:rsidRPr="001553AF">
              <w:t>financial, organisational, procedural or cultural constraints</w:t>
            </w:r>
          </w:p>
          <w:p w:rsidR="00000000" w:rsidP="001553AF">
            <w:pPr>
              <w:pStyle w:val="ListBullet"/>
              <w:rPr>
                <w:lang w:val="en-NZ"/>
              </w:rPr>
            </w:pPr>
            <w:r w:rsidRPr="001553AF">
              <w:t>physical constraints, such as limits to resources, limits to site access or logistical limitations</w:t>
            </w:r>
          </w:p>
        </w:tc>
      </w:tr>
      <w:tr w:rsidTr="001553AF">
        <w:tblPrEx>
          <w:tblW w:w="9606" w:type="dxa"/>
          <w:tblLayout w:type="fixed"/>
          <w:tblCellMar>
            <w:left w:w="62" w:type="dxa"/>
            <w:right w:w="62" w:type="dxa"/>
          </w:tblCellMar>
          <w:tblLook w:val="0000"/>
        </w:tblPrEx>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3AF">
            <w:pPr>
              <w:pStyle w:val="BodyText"/>
              <w:rPr>
                <w:lang w:val="en-NZ"/>
              </w:rPr>
            </w:pPr>
            <w:r w:rsidRPr="001553AF">
              <w:rPr>
                <w:rStyle w:val="SpecialBold"/>
              </w:rPr>
              <w:t>Sustainability</w:t>
            </w:r>
          </w:p>
        </w:tc>
        <w:tc>
          <w:tcPr>
            <w:tcW w:w="7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3AF" w:rsidP="001553AF">
            <w:pPr>
              <w:pStyle w:val="BodyText"/>
            </w:pPr>
            <w:r w:rsidRPr="001553AF">
              <w:t>Sustainability is used to mean the entire sustainable performance of the organisation/plant, including:</w:t>
            </w:r>
          </w:p>
          <w:p w:rsidR="00000000" w:rsidRPr="001553AF" w:rsidP="001553AF">
            <w:pPr>
              <w:pStyle w:val="ListBullet"/>
            </w:pPr>
            <w:r w:rsidRPr="001553AF">
              <w:t>meeting all regulatory requirements</w:t>
            </w:r>
          </w:p>
          <w:p w:rsidR="00000000" w:rsidRPr="001553AF" w:rsidP="001553AF">
            <w:pPr>
              <w:pStyle w:val="ListBullet"/>
            </w:pPr>
            <w:r w:rsidRPr="001553AF">
              <w:t>conforming to all industry covenants, protocols and best practice guides</w:t>
            </w:r>
          </w:p>
          <w:p w:rsidR="00000000" w:rsidRPr="001553AF" w:rsidP="001553AF">
            <w:pPr>
              <w:pStyle w:val="ListBullet"/>
            </w:pPr>
            <w:r w:rsidRPr="001553AF">
              <w:t>minimising ecological and</w:t>
            </w:r>
            <w:r w:rsidRPr="001553AF">
              <w:t xml:space="preserve"> environmental footprint of process, plant and product</w:t>
            </w:r>
          </w:p>
          <w:p w:rsidR="00000000" w:rsidRPr="001553AF" w:rsidP="001553AF">
            <w:pPr>
              <w:pStyle w:val="ListBullet"/>
            </w:pPr>
            <w:r w:rsidRPr="001553AF">
              <w:t xml:space="preserve">maximising economic benefit of process plant and product to the organisation and the community </w:t>
            </w:r>
          </w:p>
          <w:p w:rsidR="00000000" w:rsidRPr="001553AF" w:rsidP="001553AF">
            <w:pPr>
              <w:pStyle w:val="ListBullet"/>
            </w:pPr>
            <w:r w:rsidRPr="001553AF">
              <w:t>minimising the negative WHS impact on employees, community and customer</w:t>
            </w:r>
          </w:p>
        </w:tc>
      </w:tr>
    </w:tbl>
    <w:p w:rsidR="00A365D4" w:rsidP="001553AF">
      <w:pPr>
        <w:pStyle w:val="BodyText"/>
      </w:pPr>
    </w:p>
    <w:p w:rsidR="00A365D4" w:rsidP="001553AF">
      <w:pPr>
        <w:pStyle w:val="BodyText"/>
      </w:pPr>
    </w:p>
    <w:p w:rsidR="00000000" w:rsidRPr="001553AF" w:rsidP="001553AF">
      <w:pPr>
        <w:pStyle w:val="Heading1"/>
      </w:pPr>
      <w:bookmarkStart w:id="12" w:name="O_519150"/>
      <w:bookmarkEnd w:id="12"/>
      <w:r w:rsidRPr="001553AF">
        <w:t>Unit Sector(s)</w:t>
      </w:r>
    </w:p>
    <w:tbl>
      <w:tblPr>
        <w:tblW w:w="0" w:type="auto"/>
        <w:tblCellMar>
          <w:left w:w="62" w:type="dxa"/>
          <w:right w:w="62" w:type="dxa"/>
        </w:tblCellMar>
        <w:tblLook w:val="0000"/>
      </w:tblPr>
      <w:tblGrid>
        <w:gridCol w:w="2576"/>
        <w:gridCol w:w="6620"/>
      </w:tblGrid>
      <w:tr w:rsidTr="00A365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1553AF">
            <w:pPr>
              <w:pStyle w:val="BodyText"/>
              <w:rPr>
                <w:lang w:val="en-NZ"/>
              </w:rPr>
            </w:pPr>
          </w:p>
        </w:tc>
      </w:tr>
      <w:tr w:rsidTr="00A365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53AF">
            <w:pPr>
              <w:pStyle w:val="BodyText"/>
              <w:rPr>
                <w:lang w:val="en-NZ"/>
              </w:rPr>
            </w:pPr>
            <w:r w:rsidRPr="001553AF">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1553AF" w:rsidP="001553AF">
            <w:pPr>
              <w:pStyle w:val="BodyText"/>
            </w:pPr>
            <w:r w:rsidRPr="001553AF">
              <w:t>Management and organisation</w:t>
            </w:r>
          </w:p>
        </w:tc>
      </w:tr>
    </w:tbl>
    <w:p w:rsidR="00000000" w:rsidRPr="001553AF" w:rsidP="001553AF">
      <w:pPr>
        <w:pStyle w:val="BodyText"/>
      </w:pPr>
    </w:p>
    <w:p w:rsidR="00000000" w:rsidRPr="001553AF" w:rsidP="001553AF">
      <w:pPr>
        <w:pStyle w:val="AllowPageBreak"/>
      </w:pPr>
    </w:p>
    <w:p w:rsidR="00000000" w:rsidRPr="001553AF" w:rsidP="001553AF">
      <w:pPr>
        <w:pStyle w:val="Heading1"/>
      </w:pPr>
      <w:bookmarkStart w:id="13" w:name="O_519149"/>
      <w:bookmarkEnd w:id="13"/>
      <w:r w:rsidRPr="001553AF">
        <w:t>Custom Content Section</w:t>
      </w:r>
    </w:p>
    <w:p w:rsidR="00000000" w:rsidRPr="001553AF" w:rsidP="001553AF">
      <w:pPr>
        <w:pStyle w:val="BodyText"/>
      </w:pPr>
      <w:r w:rsidRPr="001553AF">
        <w:t>Not applicable.</w:t>
      </w:r>
    </w:p>
    <w:p w:rsidR="00000000" w:rsidRPr="001553AF" w:rsidP="001553AF"/>
    <w:sectPr w:rsidSect="001553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AF" w:rsidRPr="00A365D4" w:rsidP="00A365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D4" w:rsidP="001553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65D4" w:rsidP="001553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65D4" w:rsidP="001553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AF" w:rsidRPr="00A365D4" w:rsidP="00A365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D4" w:rsidRPr="002D2AF8" w:rsidP="001553AF">
    <w:pPr>
      <w:pStyle w:val="Header"/>
      <w:framePr w:wrap="around"/>
    </w:pPr>
    <w:r>
      <w:fldChar w:fldCharType="begin"/>
    </w:r>
    <w:r>
      <w:instrText xml:space="preserve"> TITLE   \* MERGEFORMAT </w:instrText>
    </w:r>
    <w:r>
      <w:fldChar w:fldCharType="separate"/>
    </w:r>
    <w:r>
      <w:t>MEM22012A Coordinate resources for an engineering project 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A365D4" w:rsidP="00155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26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EB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26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3AF"/>
    <w:pPr>
      <w:spacing w:before="360" w:after="60"/>
      <w:outlineLvl w:val="0"/>
    </w:pPr>
    <w:rPr>
      <w:sz w:val="32"/>
    </w:rPr>
  </w:style>
  <w:style w:type="paragraph" w:styleId="Heading2">
    <w:name w:val="heading 2"/>
    <w:basedOn w:val="HeadingBase"/>
    <w:next w:val="BodyText"/>
    <w:link w:val="Heading2Char"/>
    <w:qFormat/>
    <w:rsid w:val="001553AF"/>
    <w:pPr>
      <w:keepLines/>
      <w:spacing w:before="240" w:after="120"/>
      <w:outlineLvl w:val="1"/>
    </w:pPr>
    <w:rPr>
      <w:sz w:val="28"/>
      <w:szCs w:val="40"/>
    </w:rPr>
  </w:style>
  <w:style w:type="paragraph" w:styleId="Heading3">
    <w:name w:val="heading 3"/>
    <w:basedOn w:val="HeadingBase"/>
    <w:next w:val="BodyText"/>
    <w:link w:val="Heading3Char"/>
    <w:qFormat/>
    <w:rsid w:val="001553AF"/>
    <w:pPr>
      <w:spacing w:before="180" w:after="120"/>
      <w:outlineLvl w:val="2"/>
    </w:pPr>
    <w:rPr>
      <w:spacing w:val="-10"/>
      <w:kern w:val="32"/>
    </w:rPr>
  </w:style>
  <w:style w:type="paragraph" w:styleId="Heading4">
    <w:name w:val="heading 4"/>
    <w:basedOn w:val="HeadingBase"/>
    <w:next w:val="BodyText"/>
    <w:link w:val="Heading4Char"/>
    <w:qFormat/>
    <w:rsid w:val="001553AF"/>
    <w:pPr>
      <w:spacing w:before="160" w:after="120"/>
      <w:outlineLvl w:val="3"/>
    </w:pPr>
    <w:rPr>
      <w:sz w:val="22"/>
    </w:rPr>
  </w:style>
  <w:style w:type="paragraph" w:styleId="Heading5">
    <w:name w:val="heading 5"/>
    <w:basedOn w:val="HeadingBase"/>
    <w:next w:val="Normal"/>
    <w:link w:val="Heading5Char"/>
    <w:qFormat/>
    <w:rsid w:val="001553AF"/>
    <w:pPr>
      <w:spacing w:before="80"/>
      <w:outlineLvl w:val="4"/>
    </w:pPr>
    <w:rPr>
      <w:color w:val="918585"/>
      <w:sz w:val="20"/>
    </w:rPr>
  </w:style>
  <w:style w:type="paragraph" w:styleId="Heading6">
    <w:name w:val="heading 6"/>
    <w:basedOn w:val="HeadingBase"/>
    <w:next w:val="Normal"/>
    <w:link w:val="Heading6Char"/>
    <w:qFormat/>
    <w:rsid w:val="001553AF"/>
    <w:pPr>
      <w:spacing w:before="60"/>
      <w:outlineLvl w:val="5"/>
    </w:pPr>
    <w:rPr>
      <w:color w:val="918585"/>
      <w:sz w:val="20"/>
    </w:rPr>
  </w:style>
  <w:style w:type="paragraph" w:styleId="Heading7">
    <w:name w:val="heading 7"/>
    <w:basedOn w:val="Normal"/>
    <w:next w:val="Normal"/>
    <w:link w:val="Heading7Char"/>
    <w:qFormat/>
    <w:rsid w:val="001553AF"/>
    <w:pPr>
      <w:ind w:left="720"/>
      <w:outlineLvl w:val="6"/>
    </w:pPr>
    <w:rPr>
      <w:i/>
    </w:rPr>
  </w:style>
  <w:style w:type="paragraph" w:styleId="Heading8">
    <w:name w:val="heading 8"/>
    <w:basedOn w:val="Normal"/>
    <w:next w:val="Normal"/>
    <w:link w:val="Heading8Char"/>
    <w:qFormat/>
    <w:rsid w:val="001553AF"/>
    <w:pPr>
      <w:ind w:left="720"/>
      <w:outlineLvl w:val="7"/>
    </w:pPr>
    <w:rPr>
      <w:i/>
    </w:rPr>
  </w:style>
  <w:style w:type="paragraph" w:styleId="Heading9">
    <w:name w:val="heading 9"/>
    <w:basedOn w:val="Normal"/>
    <w:next w:val="Normal"/>
    <w:link w:val="Heading9Char"/>
    <w:qFormat/>
    <w:rsid w:val="001553AF"/>
    <w:pPr>
      <w:ind w:left="720"/>
      <w:outlineLvl w:val="8"/>
    </w:pPr>
    <w:rPr>
      <w:i/>
    </w:rPr>
  </w:style>
  <w:style w:type="character" w:default="1" w:styleId="DefaultParagraphFont">
    <w:name w:val="Default Paragraph Font"/>
    <w:uiPriority w:val="1"/>
    <w:unhideWhenUsed/>
    <w:rsid w:val="00155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3AF"/>
  </w:style>
  <w:style w:type="character" w:customStyle="1" w:styleId="Heading1Char">
    <w:name w:val="Heading 1 Char"/>
    <w:basedOn w:val="DefaultParagraphFont"/>
    <w:link w:val="Heading1"/>
    <w:rsid w:val="001553AF"/>
    <w:rPr>
      <w:rFonts w:ascii="Times New Roman" w:eastAsia="Times New Roman" w:hAnsi="Times New Roman" w:cs="Times New Roman"/>
      <w:b/>
      <w:sz w:val="32"/>
      <w:szCs w:val="20"/>
      <w:lang w:eastAsia="en-US"/>
    </w:rPr>
  </w:style>
  <w:style w:type="paragraph" w:styleId="BodyText">
    <w:name w:val="Body Text"/>
    <w:basedOn w:val="Normal"/>
    <w:link w:val="BodyTextChar"/>
    <w:rsid w:val="001553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3AF"/>
    <w:rPr>
      <w:rFonts w:ascii="Times New Roman" w:eastAsia="Times New Roman" w:hAnsi="Times New Roman" w:cs="Times New Roman"/>
      <w:sz w:val="24"/>
      <w:lang w:eastAsia="en-US"/>
    </w:rPr>
  </w:style>
  <w:style w:type="paragraph" w:styleId="ListBullet">
    <w:name w:val="List Bullet"/>
    <w:basedOn w:val="List"/>
    <w:rsid w:val="001553AF"/>
    <w:pPr>
      <w:numPr>
        <w:numId w:val="13"/>
      </w:numPr>
      <w:tabs>
        <w:tab w:val="clear" w:pos="340"/>
      </w:tabs>
      <w:spacing w:before="40" w:after="40"/>
    </w:pPr>
  </w:style>
  <w:style w:type="character" w:customStyle="1" w:styleId="SpecialBold">
    <w:name w:val="Special Bold"/>
    <w:basedOn w:val="DefaultParagraphFont"/>
    <w:rsid w:val="001553AF"/>
    <w:rPr>
      <w:b/>
      <w:spacing w:val="0"/>
    </w:rPr>
  </w:style>
  <w:style w:type="paragraph" w:styleId="ListBullet2">
    <w:name w:val="List Bullet 2"/>
    <w:basedOn w:val="List2"/>
    <w:rsid w:val="001553AF"/>
    <w:pPr>
      <w:numPr>
        <w:numId w:val="14"/>
      </w:numPr>
      <w:tabs>
        <w:tab w:val="clear" w:pos="680"/>
      </w:tabs>
    </w:pPr>
  </w:style>
  <w:style w:type="paragraph" w:customStyle="1" w:styleId="SuperHeading">
    <w:name w:val="SuperHeading"/>
    <w:basedOn w:val="Normal"/>
    <w:rsid w:val="001553AF"/>
    <w:pPr>
      <w:spacing w:before="240" w:after="120"/>
      <w:outlineLvl w:val="0"/>
    </w:pPr>
    <w:rPr>
      <w:rFonts w:ascii="Times New Roman" w:hAnsi="Times New Roman"/>
      <w:b/>
      <w:sz w:val="32"/>
    </w:rPr>
  </w:style>
  <w:style w:type="paragraph" w:customStyle="1" w:styleId="AllowPageBreak">
    <w:name w:val="AllowPageBreak"/>
    <w:rsid w:val="001553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3AF"/>
    <w:rPr>
      <w:rFonts w:ascii="Courier New" w:eastAsia="Times New Roman" w:hAnsi="Courier New" w:cs="Times New Roman"/>
      <w:i/>
      <w:szCs w:val="20"/>
      <w:lang w:eastAsia="en-US"/>
    </w:rPr>
  </w:style>
  <w:style w:type="paragraph" w:customStyle="1" w:styleId="HeadingBase">
    <w:name w:val="Heading Base"/>
    <w:rsid w:val="00155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3AF"/>
    <w:pPr>
      <w:tabs>
        <w:tab w:val="right" w:leader="dot" w:pos="9072"/>
      </w:tabs>
      <w:ind w:left="567"/>
    </w:pPr>
    <w:rPr>
      <w:szCs w:val="22"/>
    </w:rPr>
  </w:style>
  <w:style w:type="paragraph" w:customStyle="1" w:styleId="TOCBase">
    <w:name w:val="TOC Base"/>
    <w:rsid w:val="00155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3AF"/>
    <w:pPr>
      <w:tabs>
        <w:tab w:val="right" w:leader="dot" w:pos="9072"/>
      </w:tabs>
      <w:spacing w:before="40" w:after="40"/>
      <w:ind w:left="284"/>
    </w:pPr>
    <w:rPr>
      <w:rFonts w:ascii="Times New Roman" w:hAnsi="Times New Roman"/>
    </w:rPr>
  </w:style>
  <w:style w:type="paragraph" w:styleId="TOC1">
    <w:name w:val="toc 1"/>
    <w:basedOn w:val="TOCBase"/>
    <w:next w:val="Normal"/>
    <w:rsid w:val="001553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3AF"/>
    <w:rPr>
      <w:rFonts w:ascii="Times New Roman" w:eastAsia="Times New Roman" w:hAnsi="Times New Roman" w:cs="Times New Roman"/>
      <w:sz w:val="16"/>
      <w:lang w:eastAsia="en-US"/>
    </w:rPr>
  </w:style>
  <w:style w:type="paragraph" w:styleId="Title">
    <w:name w:val="Title"/>
    <w:basedOn w:val="HeadingBase"/>
    <w:link w:val="TitleChar"/>
    <w:qFormat/>
    <w:rsid w:val="001553AF"/>
    <w:pPr>
      <w:spacing w:before="5040"/>
      <w:jc w:val="center"/>
    </w:pPr>
    <w:rPr>
      <w:sz w:val="48"/>
      <w:szCs w:val="72"/>
      <w:lang w:val="en-US"/>
    </w:rPr>
  </w:style>
  <w:style w:type="character" w:customStyle="1" w:styleId="TitleChar">
    <w:name w:val="Title Char"/>
    <w:basedOn w:val="DefaultParagraphFont"/>
    <w:link w:val="Title"/>
    <w:rsid w:val="00155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3AF"/>
    <w:pPr>
      <w:tabs>
        <w:tab w:val="left" w:pos="3600"/>
        <w:tab w:val="left" w:pos="3958"/>
      </w:tabs>
    </w:pPr>
  </w:style>
  <w:style w:type="paragraph" w:styleId="List">
    <w:name w:val="List"/>
    <w:basedOn w:val="BodyText"/>
    <w:next w:val="BodyText"/>
    <w:rsid w:val="001553AF"/>
    <w:pPr>
      <w:tabs>
        <w:tab w:val="left" w:pos="340"/>
      </w:tabs>
      <w:spacing w:before="60" w:after="60"/>
      <w:ind w:left="340" w:hanging="340"/>
    </w:pPr>
  </w:style>
  <w:style w:type="paragraph" w:customStyle="1" w:styleId="Note">
    <w:name w:val="Note"/>
    <w:basedOn w:val="BodyText"/>
    <w:rsid w:val="00155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3AF"/>
    <w:pPr>
      <w:framePr w:wrap="auto" w:hAnchor="text" w:y="6049"/>
    </w:pPr>
    <w:rPr>
      <w:color w:val="000000"/>
      <w:sz w:val="40"/>
    </w:rPr>
  </w:style>
  <w:style w:type="paragraph" w:customStyle="1" w:styleId="TOCTitle">
    <w:name w:val="TOCTitle"/>
    <w:basedOn w:val="Heading1"/>
    <w:rsid w:val="001553AF"/>
    <w:pPr>
      <w:spacing w:after="240"/>
      <w:jc w:val="center"/>
      <w:outlineLvl w:val="9"/>
    </w:pPr>
    <w:rPr>
      <w:caps/>
    </w:rPr>
  </w:style>
  <w:style w:type="paragraph" w:customStyle="1" w:styleId="Version">
    <w:name w:val="Version"/>
    <w:rsid w:val="00155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3AF"/>
    <w:pPr>
      <w:keepNext w:val="0"/>
      <w:tabs>
        <w:tab w:val="right" w:pos="4176"/>
      </w:tabs>
      <w:ind w:left="198" w:hanging="198"/>
    </w:pPr>
    <w:rPr>
      <w:rFonts w:ascii="Garamond" w:hAnsi="Garamond"/>
    </w:rPr>
  </w:style>
  <w:style w:type="paragraph" w:styleId="IndexHeading">
    <w:name w:val="index heading"/>
    <w:basedOn w:val="Normal"/>
    <w:next w:val="Index1"/>
    <w:semiHidden/>
    <w:rsid w:val="001553AF"/>
    <w:pPr>
      <w:spacing w:before="120" w:after="120"/>
    </w:pPr>
    <w:rPr>
      <w:rFonts w:ascii="Arial" w:hAnsi="Arial"/>
      <w:b/>
      <w:color w:val="918585"/>
      <w:sz w:val="24"/>
    </w:rPr>
  </w:style>
  <w:style w:type="paragraph" w:styleId="Header">
    <w:name w:val="header"/>
    <w:basedOn w:val="Normal"/>
    <w:link w:val="HeaderChar"/>
    <w:rsid w:val="00155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3AF"/>
    <w:rPr>
      <w:rFonts w:ascii="Times New Roman" w:eastAsia="Times New Roman" w:hAnsi="Times New Roman" w:cs="Times New Roman"/>
      <w:sz w:val="16"/>
      <w:szCs w:val="20"/>
      <w:lang w:val="en-GB" w:eastAsia="en-US"/>
    </w:rPr>
  </w:style>
  <w:style w:type="paragraph" w:customStyle="1" w:styleId="Chapter">
    <w:name w:val="Chapter"/>
    <w:basedOn w:val="Normal"/>
    <w:rsid w:val="001553AF"/>
    <w:pPr>
      <w:spacing w:before="240"/>
    </w:pPr>
    <w:rPr>
      <w:rFonts w:ascii="Times New Roman" w:hAnsi="Times New Roman"/>
      <w:smallCaps/>
      <w:spacing w:val="80"/>
      <w:sz w:val="28"/>
    </w:rPr>
  </w:style>
  <w:style w:type="paragraph" w:customStyle="1" w:styleId="InChapter">
    <w:name w:val="InChapter"/>
    <w:basedOn w:val="Heading3"/>
    <w:rsid w:val="001553AF"/>
    <w:pPr>
      <w:spacing w:after="240"/>
      <w:outlineLvl w:val="9"/>
    </w:pPr>
    <w:rPr>
      <w:noProof/>
    </w:rPr>
  </w:style>
  <w:style w:type="paragraph" w:styleId="Index2">
    <w:name w:val="index 2"/>
    <w:basedOn w:val="Normal"/>
    <w:next w:val="Normal"/>
    <w:semiHidden/>
    <w:rsid w:val="001553AF"/>
    <w:pPr>
      <w:tabs>
        <w:tab w:val="right" w:pos="4176"/>
      </w:tabs>
      <w:ind w:left="568" w:hanging="284"/>
    </w:pPr>
    <w:rPr>
      <w:rFonts w:ascii="Garamond" w:hAnsi="Garamond"/>
    </w:rPr>
  </w:style>
  <w:style w:type="paragraph" w:customStyle="1" w:styleId="Byline">
    <w:name w:val="Byline"/>
    <w:rsid w:val="00155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3AF"/>
    <w:pPr>
      <w:tabs>
        <w:tab w:val="clear" w:pos="3600"/>
        <w:tab w:val="clear" w:pos="3958"/>
      </w:tabs>
      <w:jc w:val="right"/>
    </w:pPr>
  </w:style>
  <w:style w:type="character" w:styleId="Emphasis">
    <w:name w:val="Emphasis"/>
    <w:basedOn w:val="DefaultParagraphFont"/>
    <w:qFormat/>
    <w:rsid w:val="001553AF"/>
    <w:rPr>
      <w:i/>
    </w:rPr>
  </w:style>
  <w:style w:type="paragraph" w:styleId="Caption">
    <w:name w:val="caption"/>
    <w:basedOn w:val="BodyText"/>
    <w:next w:val="Normal"/>
    <w:qFormat/>
    <w:rsid w:val="001553AF"/>
    <w:pPr>
      <w:framePr w:w="2268" w:hSpace="181" w:vSpace="181" w:wrap="around" w:vAnchor="text" w:hAnchor="page" w:x="1135" w:y="285" w:anchorLock="1"/>
    </w:pPr>
    <w:rPr>
      <w:i/>
    </w:rPr>
  </w:style>
  <w:style w:type="paragraph" w:customStyle="1" w:styleId="MiniTOCTitle">
    <w:name w:val="MiniTOCTitle"/>
    <w:basedOn w:val="Heading4"/>
    <w:rsid w:val="001553AF"/>
    <w:pPr>
      <w:spacing w:before="240"/>
      <w:outlineLvl w:val="9"/>
    </w:pPr>
    <w:rPr>
      <w:noProof/>
      <w:sz w:val="24"/>
    </w:rPr>
  </w:style>
  <w:style w:type="paragraph" w:customStyle="1" w:styleId="MiniTOCItem">
    <w:name w:val="MiniTOCItem"/>
    <w:basedOn w:val="ListBullet"/>
    <w:rsid w:val="001553AF"/>
    <w:pPr>
      <w:numPr>
        <w:numId w:val="0"/>
      </w:numPr>
      <w:tabs>
        <w:tab w:val="right" w:leader="dot" w:pos="6521"/>
      </w:tabs>
      <w:spacing w:before="0" w:after="0"/>
    </w:pPr>
  </w:style>
  <w:style w:type="paragraph" w:customStyle="1" w:styleId="TOFTitle">
    <w:name w:val="TOFTitle"/>
    <w:basedOn w:val="TOCTitle"/>
    <w:rsid w:val="001553AF"/>
  </w:style>
  <w:style w:type="paragraph" w:styleId="TableofFigures">
    <w:name w:val="table of figures"/>
    <w:basedOn w:val="Normal"/>
    <w:next w:val="Normal"/>
    <w:semiHidden/>
    <w:rsid w:val="001553AF"/>
    <w:pPr>
      <w:tabs>
        <w:tab w:val="right" w:leader="dot" w:pos="9072"/>
      </w:tabs>
      <w:ind w:left="970" w:hanging="403"/>
    </w:pPr>
    <w:rPr>
      <w:rFonts w:ascii="Times New Roman" w:hAnsi="Times New Roman"/>
      <w:b/>
    </w:rPr>
  </w:style>
  <w:style w:type="paragraph" w:styleId="ListNumber">
    <w:name w:val="List Number"/>
    <w:basedOn w:val="List"/>
    <w:rsid w:val="001553AF"/>
    <w:pPr>
      <w:numPr>
        <w:numId w:val="11"/>
      </w:numPr>
    </w:pPr>
  </w:style>
  <w:style w:type="character" w:customStyle="1" w:styleId="WingdingSymbols">
    <w:name w:val="Wingding Symbols"/>
    <w:rsid w:val="001553AF"/>
    <w:rPr>
      <w:rFonts w:ascii="Wingdings" w:hAnsi="Wingdings"/>
    </w:rPr>
  </w:style>
  <w:style w:type="paragraph" w:customStyle="1" w:styleId="TableHeading">
    <w:name w:val="Table Heading"/>
    <w:basedOn w:val="HeadingBase"/>
    <w:rsid w:val="001553AF"/>
    <w:pPr>
      <w:keepLines/>
      <w:pBdr>
        <w:bottom w:val="single" w:sz="6" w:space="1" w:color="918585"/>
      </w:pBdr>
      <w:spacing w:before="240"/>
    </w:pPr>
  </w:style>
  <w:style w:type="character" w:customStyle="1" w:styleId="HotSpot">
    <w:name w:val="HotSpot"/>
    <w:rsid w:val="001553AF"/>
    <w:rPr>
      <w:color w:val="0033CC"/>
      <w:u w:val="none"/>
    </w:rPr>
  </w:style>
  <w:style w:type="paragraph" w:customStyle="1" w:styleId="BodyTextRight">
    <w:name w:val="Body Text Right"/>
    <w:basedOn w:val="BodyText"/>
    <w:rsid w:val="001553AF"/>
    <w:pPr>
      <w:spacing w:before="0" w:after="0"/>
      <w:jc w:val="right"/>
    </w:pPr>
  </w:style>
  <w:style w:type="paragraph" w:styleId="Index3">
    <w:name w:val="index 3"/>
    <w:basedOn w:val="ListNumber2"/>
    <w:next w:val="Normal"/>
    <w:semiHidden/>
    <w:rsid w:val="001553AF"/>
    <w:pPr>
      <w:numPr>
        <w:numId w:val="0"/>
      </w:numPr>
      <w:tabs>
        <w:tab w:val="right" w:leader="dot" w:pos="4176"/>
      </w:tabs>
    </w:pPr>
  </w:style>
  <w:style w:type="paragraph" w:styleId="ListNumber2">
    <w:name w:val="List Number 2"/>
    <w:basedOn w:val="List2"/>
    <w:rsid w:val="001553AF"/>
    <w:pPr>
      <w:numPr>
        <w:numId w:val="10"/>
      </w:numPr>
      <w:tabs>
        <w:tab w:val="clear" w:pos="1060"/>
      </w:tabs>
    </w:pPr>
  </w:style>
  <w:style w:type="paragraph" w:customStyle="1" w:styleId="MarginNote">
    <w:name w:val="Margin Note"/>
    <w:basedOn w:val="BodyText"/>
    <w:rsid w:val="00155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3AF"/>
    <w:rPr>
      <w:sz w:val="32"/>
    </w:rPr>
  </w:style>
  <w:style w:type="paragraph" w:customStyle="1" w:styleId="HeadingProcedure">
    <w:name w:val="Heading Procedure"/>
    <w:basedOn w:val="HeadingBase"/>
    <w:next w:val="Normal"/>
    <w:rsid w:val="001553AF"/>
    <w:pPr>
      <w:tabs>
        <w:tab w:val="left" w:pos="0"/>
      </w:tabs>
      <w:spacing w:before="120" w:after="60"/>
    </w:pPr>
    <w:rPr>
      <w:i/>
      <w:color w:val="918585"/>
      <w:sz w:val="22"/>
    </w:rPr>
  </w:style>
  <w:style w:type="paragraph" w:customStyle="1" w:styleId="TableBodyText">
    <w:name w:val="Table Body Text"/>
    <w:basedOn w:val="BodyText"/>
    <w:rsid w:val="001553AF"/>
    <w:pPr>
      <w:spacing w:before="60" w:after="60"/>
    </w:pPr>
  </w:style>
  <w:style w:type="paragraph" w:styleId="ListContinue">
    <w:name w:val="List Continue"/>
    <w:basedOn w:val="List"/>
    <w:rsid w:val="001553AF"/>
    <w:pPr>
      <w:ind w:firstLine="0"/>
    </w:pPr>
  </w:style>
  <w:style w:type="paragraph" w:customStyle="1" w:styleId="ListNote">
    <w:name w:val="List Note"/>
    <w:basedOn w:val="List"/>
    <w:rsid w:val="001553AF"/>
    <w:pPr>
      <w:pBdr>
        <w:top w:val="single" w:sz="6" w:space="2" w:color="918585"/>
        <w:bottom w:val="single" w:sz="6" w:space="2" w:color="918585"/>
      </w:pBdr>
      <w:tabs>
        <w:tab w:val="left" w:pos="1021"/>
      </w:tabs>
      <w:ind w:firstLine="0"/>
    </w:pPr>
  </w:style>
  <w:style w:type="paragraph" w:customStyle="1" w:styleId="Warning">
    <w:name w:val="Warning"/>
    <w:basedOn w:val="BodyText"/>
    <w:rsid w:val="001553AF"/>
    <w:pPr>
      <w:shd w:val="clear" w:color="auto" w:fill="D9D9D9"/>
      <w:tabs>
        <w:tab w:val="left" w:pos="992"/>
      </w:tabs>
      <w:ind w:left="119" w:right="119"/>
    </w:pPr>
    <w:rPr>
      <w:sz w:val="20"/>
    </w:rPr>
  </w:style>
  <w:style w:type="paragraph" w:customStyle="1" w:styleId="MarginIcons">
    <w:name w:val="Margin Icons"/>
    <w:basedOn w:val="BodyText"/>
    <w:rsid w:val="00155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3AF"/>
    <w:rPr>
      <w:rFonts w:ascii="Courier New" w:hAnsi="Courier New"/>
    </w:rPr>
  </w:style>
  <w:style w:type="paragraph" w:customStyle="1" w:styleId="NoteBullet">
    <w:name w:val="Note Bullet"/>
    <w:basedOn w:val="Note"/>
    <w:rsid w:val="001553AF"/>
    <w:pPr>
      <w:tabs>
        <w:tab w:val="clear" w:pos="680"/>
      </w:tabs>
      <w:spacing w:before="60" w:after="60"/>
    </w:pPr>
  </w:style>
  <w:style w:type="paragraph" w:customStyle="1" w:styleId="SubHeading2">
    <w:name w:val="SubHeading2"/>
    <w:basedOn w:val="HeadingBase"/>
    <w:rsid w:val="001553AF"/>
    <w:pPr>
      <w:spacing w:before="240" w:after="60"/>
    </w:pPr>
    <w:rPr>
      <w:sz w:val="20"/>
    </w:rPr>
  </w:style>
  <w:style w:type="paragraph" w:customStyle="1" w:styleId="SubHeading1">
    <w:name w:val="SubHeading1"/>
    <w:basedOn w:val="HeadingBase"/>
    <w:rsid w:val="001553AF"/>
    <w:pPr>
      <w:spacing w:before="240" w:after="60"/>
    </w:pPr>
    <w:rPr>
      <w:color w:val="918585"/>
      <w:sz w:val="22"/>
    </w:rPr>
  </w:style>
  <w:style w:type="paragraph" w:customStyle="1" w:styleId="SideHeading">
    <w:name w:val="Side Heading"/>
    <w:basedOn w:val="HeadingBase"/>
    <w:rsid w:val="00155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3AF"/>
    <w:pPr>
      <w:numPr>
        <w:numId w:val="12"/>
      </w:numPr>
    </w:pPr>
  </w:style>
  <w:style w:type="paragraph" w:styleId="PlainText">
    <w:name w:val="Plain Text"/>
    <w:basedOn w:val="Normal"/>
    <w:link w:val="PlainTextChar"/>
    <w:rsid w:val="001553AF"/>
    <w:rPr>
      <w:sz w:val="20"/>
    </w:rPr>
  </w:style>
  <w:style w:type="character" w:customStyle="1" w:styleId="PlainTextChar">
    <w:name w:val="Plain Text Char"/>
    <w:basedOn w:val="DefaultParagraphFont"/>
    <w:link w:val="PlainText"/>
    <w:rsid w:val="001553AF"/>
    <w:rPr>
      <w:rFonts w:ascii="Courier New" w:eastAsia="Times New Roman" w:hAnsi="Courier New" w:cs="Times New Roman"/>
      <w:sz w:val="20"/>
      <w:szCs w:val="20"/>
      <w:lang w:eastAsia="en-US"/>
    </w:rPr>
  </w:style>
  <w:style w:type="character" w:customStyle="1" w:styleId="MenuOption">
    <w:name w:val="Menu Option"/>
    <w:basedOn w:val="DefaultParagraphFont"/>
    <w:rsid w:val="001553AF"/>
    <w:rPr>
      <w:b/>
      <w:smallCaps/>
    </w:rPr>
  </w:style>
  <w:style w:type="paragraph" w:customStyle="1" w:styleId="TableListNumber">
    <w:name w:val="Table List Number"/>
    <w:basedOn w:val="ListNumber"/>
    <w:rsid w:val="001553AF"/>
    <w:pPr>
      <w:numPr>
        <w:numId w:val="0"/>
      </w:numPr>
    </w:pPr>
  </w:style>
  <w:style w:type="paragraph" w:styleId="TOC4">
    <w:name w:val="toc 4"/>
    <w:basedOn w:val="TOCBase"/>
    <w:next w:val="Normal"/>
    <w:semiHidden/>
    <w:rsid w:val="001553AF"/>
    <w:pPr>
      <w:tabs>
        <w:tab w:val="right" w:leader="dot" w:pos="9071"/>
      </w:tabs>
      <w:ind w:left="1701"/>
    </w:pPr>
  </w:style>
  <w:style w:type="paragraph" w:customStyle="1" w:styleId="ListAlpha">
    <w:name w:val="List Alpha"/>
    <w:basedOn w:val="List"/>
    <w:rsid w:val="001553AF"/>
    <w:pPr>
      <w:numPr>
        <w:numId w:val="9"/>
      </w:numPr>
    </w:pPr>
  </w:style>
  <w:style w:type="paragraph" w:customStyle="1" w:styleId="ListAlpha2">
    <w:name w:val="List Alpha 2"/>
    <w:basedOn w:val="List2"/>
    <w:rsid w:val="001553AF"/>
    <w:pPr>
      <w:numPr>
        <w:numId w:val="8"/>
      </w:numPr>
    </w:pPr>
  </w:style>
  <w:style w:type="paragraph" w:styleId="List2">
    <w:name w:val="List 2"/>
    <w:basedOn w:val="BodyText"/>
    <w:rsid w:val="001553AF"/>
    <w:pPr>
      <w:tabs>
        <w:tab w:val="left" w:pos="680"/>
      </w:tabs>
      <w:spacing w:before="60" w:after="60"/>
      <w:ind w:left="680" w:hanging="340"/>
    </w:pPr>
  </w:style>
  <w:style w:type="paragraph" w:styleId="List3">
    <w:name w:val="List 3"/>
    <w:basedOn w:val="BodyText"/>
    <w:rsid w:val="001553AF"/>
    <w:pPr>
      <w:tabs>
        <w:tab w:val="left" w:pos="1021"/>
      </w:tabs>
      <w:spacing w:before="60" w:after="60"/>
      <w:ind w:left="1020" w:hanging="340"/>
    </w:pPr>
  </w:style>
  <w:style w:type="paragraph" w:styleId="List4">
    <w:name w:val="List 4"/>
    <w:basedOn w:val="BodyText"/>
    <w:rsid w:val="001553AF"/>
    <w:pPr>
      <w:tabs>
        <w:tab w:val="left" w:pos="1361"/>
      </w:tabs>
      <w:spacing w:before="60" w:after="60"/>
      <w:ind w:left="1361" w:hanging="340"/>
    </w:pPr>
  </w:style>
  <w:style w:type="paragraph" w:styleId="List5">
    <w:name w:val="List 5"/>
    <w:basedOn w:val="BodyText"/>
    <w:rsid w:val="001553AF"/>
    <w:pPr>
      <w:tabs>
        <w:tab w:val="left" w:pos="1701"/>
      </w:tabs>
      <w:spacing w:before="60" w:after="60"/>
      <w:ind w:left="1701" w:hanging="340"/>
    </w:pPr>
  </w:style>
  <w:style w:type="paragraph" w:styleId="ListBullet3">
    <w:name w:val="List Bullet 3"/>
    <w:basedOn w:val="List3"/>
    <w:rsid w:val="001553AF"/>
    <w:pPr>
      <w:numPr>
        <w:numId w:val="15"/>
      </w:numPr>
      <w:tabs>
        <w:tab w:val="clear" w:pos="1021"/>
      </w:tabs>
      <w:ind w:left="1037" w:hanging="357"/>
    </w:pPr>
  </w:style>
  <w:style w:type="paragraph" w:styleId="ListBullet4">
    <w:name w:val="List Bullet 4"/>
    <w:basedOn w:val="List4"/>
    <w:rsid w:val="001553AF"/>
    <w:pPr>
      <w:numPr>
        <w:numId w:val="3"/>
      </w:numPr>
    </w:pPr>
  </w:style>
  <w:style w:type="paragraph" w:styleId="ListBullet5">
    <w:name w:val="List Bullet 5"/>
    <w:basedOn w:val="List5"/>
    <w:rsid w:val="001553AF"/>
    <w:pPr>
      <w:numPr>
        <w:numId w:val="4"/>
      </w:numPr>
    </w:pPr>
  </w:style>
  <w:style w:type="paragraph" w:styleId="ListContinue2">
    <w:name w:val="List Continue 2"/>
    <w:basedOn w:val="List2"/>
    <w:rsid w:val="001553AF"/>
    <w:pPr>
      <w:ind w:firstLine="0"/>
    </w:pPr>
  </w:style>
  <w:style w:type="paragraph" w:styleId="ListContinue3">
    <w:name w:val="List Continue 3"/>
    <w:basedOn w:val="List3"/>
    <w:rsid w:val="001553AF"/>
    <w:pPr>
      <w:ind w:left="1021" w:firstLine="0"/>
    </w:pPr>
  </w:style>
  <w:style w:type="paragraph" w:styleId="ListContinue4">
    <w:name w:val="List Continue 4"/>
    <w:basedOn w:val="List4"/>
    <w:rsid w:val="001553AF"/>
    <w:pPr>
      <w:ind w:firstLine="0"/>
    </w:pPr>
  </w:style>
  <w:style w:type="paragraph" w:styleId="ListContinue5">
    <w:name w:val="List Continue 5"/>
    <w:basedOn w:val="List5"/>
    <w:rsid w:val="001553AF"/>
    <w:pPr>
      <w:ind w:firstLine="0"/>
    </w:pPr>
  </w:style>
  <w:style w:type="paragraph" w:styleId="ListNumber3">
    <w:name w:val="List Number 3"/>
    <w:basedOn w:val="List3"/>
    <w:rsid w:val="001553AF"/>
    <w:pPr>
      <w:numPr>
        <w:numId w:val="5"/>
      </w:numPr>
    </w:pPr>
  </w:style>
  <w:style w:type="paragraph" w:styleId="ListNumber4">
    <w:name w:val="List Number 4"/>
    <w:basedOn w:val="List4"/>
    <w:rsid w:val="001553AF"/>
    <w:pPr>
      <w:numPr>
        <w:numId w:val="6"/>
      </w:numPr>
    </w:pPr>
  </w:style>
  <w:style w:type="paragraph" w:styleId="ListNumber5">
    <w:name w:val="List Number 5"/>
    <w:basedOn w:val="List5"/>
    <w:rsid w:val="001553AF"/>
    <w:pPr>
      <w:numPr>
        <w:numId w:val="7"/>
      </w:numPr>
    </w:pPr>
  </w:style>
  <w:style w:type="paragraph" w:styleId="BlockText">
    <w:name w:val="Block Text"/>
    <w:basedOn w:val="Normal"/>
    <w:rsid w:val="001553AF"/>
    <w:pPr>
      <w:spacing w:after="120"/>
      <w:ind w:left="1440" w:right="1440"/>
    </w:pPr>
  </w:style>
  <w:style w:type="character" w:customStyle="1" w:styleId="Subscript">
    <w:name w:val="Subscript"/>
    <w:basedOn w:val="DefaultParagraphFont"/>
    <w:rsid w:val="001553AF"/>
    <w:rPr>
      <w:sz w:val="16"/>
      <w:vertAlign w:val="subscript"/>
    </w:rPr>
  </w:style>
  <w:style w:type="character" w:customStyle="1" w:styleId="Superscript">
    <w:name w:val="Superscript"/>
    <w:basedOn w:val="DefaultParagraphFont"/>
    <w:rsid w:val="001553AF"/>
    <w:rPr>
      <w:sz w:val="16"/>
      <w:vertAlign w:val="superscript"/>
    </w:rPr>
  </w:style>
  <w:style w:type="character" w:customStyle="1" w:styleId="Symbols">
    <w:name w:val="Symbols"/>
    <w:basedOn w:val="DefaultParagraphFont"/>
    <w:rsid w:val="001553AF"/>
    <w:rPr>
      <w:rFonts w:ascii="Symbol" w:hAnsi="Symbol"/>
    </w:rPr>
  </w:style>
  <w:style w:type="character" w:customStyle="1" w:styleId="MenuOptions">
    <w:name w:val="Menu Options"/>
    <w:basedOn w:val="DefaultParagraphFont"/>
    <w:rsid w:val="001553AF"/>
    <w:rPr>
      <w:rFonts w:ascii="Arial Narrow" w:hAnsi="Arial Narrow"/>
      <w:smallCaps/>
    </w:rPr>
  </w:style>
  <w:style w:type="character" w:customStyle="1" w:styleId="Buttons">
    <w:name w:val="Buttons"/>
    <w:basedOn w:val="DefaultParagraphFont"/>
    <w:rsid w:val="001553AF"/>
    <w:rPr>
      <w:b/>
    </w:rPr>
  </w:style>
  <w:style w:type="character" w:customStyle="1" w:styleId="Underlined">
    <w:name w:val="Underlined"/>
    <w:basedOn w:val="DefaultParagraphFont"/>
    <w:rsid w:val="001553AF"/>
    <w:rPr>
      <w:u w:val="single"/>
    </w:rPr>
  </w:style>
  <w:style w:type="paragraph" w:customStyle="1" w:styleId="TableBodyTextRight">
    <w:name w:val="Table Body Text Right"/>
    <w:basedOn w:val="TableBodyText"/>
    <w:rsid w:val="001553AF"/>
    <w:pPr>
      <w:widowControl w:val="0"/>
      <w:autoSpaceDE w:val="0"/>
      <w:autoSpaceDN w:val="0"/>
      <w:adjustRightInd w:val="0"/>
      <w:jc w:val="right"/>
    </w:pPr>
    <w:rPr>
      <w:rFonts w:cs="Arial"/>
      <w:szCs w:val="18"/>
    </w:rPr>
  </w:style>
  <w:style w:type="paragraph" w:customStyle="1" w:styleId="CopyrightText">
    <w:name w:val="Copyright Text"/>
    <w:basedOn w:val="BodyText"/>
    <w:rsid w:val="001553AF"/>
    <w:rPr>
      <w:sz w:val="18"/>
    </w:rPr>
  </w:style>
  <w:style w:type="paragraph" w:customStyle="1" w:styleId="BodySmallRight">
    <w:name w:val="Body Small Right"/>
    <w:basedOn w:val="BodyTextRight"/>
    <w:rsid w:val="001553AF"/>
    <w:rPr>
      <w:sz w:val="18"/>
      <w:szCs w:val="18"/>
    </w:rPr>
  </w:style>
  <w:style w:type="paragraph" w:customStyle="1" w:styleId="MarginEdition">
    <w:name w:val="Margin Edition"/>
    <w:basedOn w:val="MarginNote"/>
    <w:rsid w:val="001553AF"/>
    <w:pPr>
      <w:spacing w:before="0" w:after="0"/>
    </w:pPr>
    <w:rPr>
      <w:rFonts w:ascii="Times New Roman" w:hAnsi="Times New Roman"/>
      <w:color w:val="999999"/>
    </w:rPr>
  </w:style>
  <w:style w:type="paragraph" w:customStyle="1" w:styleId="Spacer">
    <w:name w:val="Spacer"/>
    <w:basedOn w:val="Normal"/>
    <w:rsid w:val="001553AF"/>
    <w:rPr>
      <w:sz w:val="2"/>
      <w:szCs w:val="2"/>
    </w:rPr>
  </w:style>
  <w:style w:type="character" w:customStyle="1" w:styleId="Small">
    <w:name w:val="Small"/>
    <w:basedOn w:val="DefaultParagraphFont"/>
    <w:rsid w:val="001553AF"/>
    <w:rPr>
      <w:sz w:val="16"/>
    </w:rPr>
  </w:style>
  <w:style w:type="paragraph" w:customStyle="1" w:styleId="WideTable">
    <w:name w:val="Wide Table"/>
    <w:basedOn w:val="Normal"/>
    <w:rsid w:val="001553AF"/>
    <w:pPr>
      <w:ind w:left="-1418"/>
    </w:pPr>
    <w:rPr>
      <w:sz w:val="2"/>
      <w:szCs w:val="2"/>
    </w:rPr>
  </w:style>
  <w:style w:type="character" w:styleId="PageNumber">
    <w:name w:val="page number"/>
    <w:basedOn w:val="DefaultParagraphFont"/>
    <w:rsid w:val="001553AF"/>
  </w:style>
  <w:style w:type="paragraph" w:styleId="Quote">
    <w:name w:val="Quote"/>
    <w:basedOn w:val="Heading1"/>
    <w:link w:val="QuoteChar"/>
    <w:qFormat/>
    <w:rsid w:val="001553AF"/>
    <w:rPr>
      <w:b w:val="0"/>
      <w:sz w:val="72"/>
      <w:szCs w:val="72"/>
      <w:lang w:val="en-NZ"/>
    </w:rPr>
  </w:style>
  <w:style w:type="character" w:customStyle="1" w:styleId="QuoteChar">
    <w:name w:val="Quote Char"/>
    <w:basedOn w:val="DefaultParagraphFont"/>
    <w:link w:val="Quote"/>
    <w:rsid w:val="00155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3AF"/>
    <w:pPr>
      <w:pageBreakBefore/>
    </w:pPr>
  </w:style>
  <w:style w:type="paragraph" w:customStyle="1" w:styleId="Border">
    <w:name w:val="Border"/>
    <w:basedOn w:val="Normal"/>
    <w:qFormat/>
    <w:rsid w:val="00155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3AF"/>
    <w:rPr>
      <w:b/>
      <w:bCs/>
      <w:i/>
      <w:iCs/>
      <w:color w:val="auto"/>
    </w:rPr>
  </w:style>
  <w:style w:type="paragraph" w:styleId="IntenseQuote">
    <w:name w:val="Intense Quote"/>
    <w:basedOn w:val="Normal"/>
    <w:next w:val="Normal"/>
    <w:link w:val="IntenseQuoteChar"/>
    <w:uiPriority w:val="30"/>
    <w:qFormat/>
    <w:rsid w:val="00155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3AF"/>
    <w:rPr>
      <w:smallCaps/>
      <w:color w:val="auto"/>
      <w:u w:val="single"/>
    </w:rPr>
  </w:style>
  <w:style w:type="character" w:styleId="IntenseReference">
    <w:name w:val="Intense Reference"/>
    <w:basedOn w:val="DefaultParagraphFont"/>
    <w:uiPriority w:val="32"/>
    <w:qFormat/>
    <w:rsid w:val="001553AF"/>
    <w:rPr>
      <w:b/>
      <w:bCs/>
      <w:smallCaps/>
      <w:color w:val="auto"/>
      <w:spacing w:val="5"/>
      <w:u w:val="single"/>
    </w:rPr>
  </w:style>
  <w:style w:type="paragraph" w:customStyle="1" w:styleId="2ColumnHeading">
    <w:name w:val="2Column Heading"/>
    <w:basedOn w:val="BodyText"/>
    <w:qFormat/>
    <w:rsid w:val="001553AF"/>
    <w:pPr>
      <w:spacing w:after="60"/>
      <w:ind w:left="-2268"/>
    </w:pPr>
    <w:rPr>
      <w:b/>
    </w:rPr>
  </w:style>
  <w:style w:type="paragraph" w:customStyle="1" w:styleId="Heading1TOC">
    <w:name w:val="Heading1 TOC"/>
    <w:basedOn w:val="Normal"/>
    <w:qFormat/>
    <w:rsid w:val="001553AF"/>
    <w:pPr>
      <w:spacing w:before="240" w:after="120"/>
    </w:pPr>
    <w:rPr>
      <w:rFonts w:ascii="Times New Roman" w:hAnsi="Times New Roman"/>
      <w:b/>
      <w:sz w:val="32"/>
    </w:rPr>
  </w:style>
  <w:style w:type="paragraph" w:customStyle="1" w:styleId="Heading2TOC">
    <w:name w:val="Heading2 TOC"/>
    <w:basedOn w:val="Normal"/>
    <w:qFormat/>
    <w:rsid w:val="001553AF"/>
    <w:pPr>
      <w:spacing w:before="240" w:after="60"/>
    </w:pPr>
    <w:rPr>
      <w:rFonts w:ascii="Times New Roman" w:hAnsi="Times New Roman"/>
      <w:b/>
      <w:sz w:val="28"/>
    </w:rPr>
  </w:style>
  <w:style w:type="character" w:customStyle="1" w:styleId="Underline">
    <w:name w:val="Underline"/>
    <w:basedOn w:val="DefaultParagraphFont"/>
    <w:qFormat/>
    <w:rsid w:val="001553AF"/>
    <w:rPr>
      <w:u w:val="single"/>
    </w:rPr>
  </w:style>
  <w:style w:type="character" w:customStyle="1" w:styleId="BoldandItalics">
    <w:name w:val="Bold and Italics"/>
    <w:qFormat/>
    <w:rsid w:val="001553AF"/>
    <w:rPr>
      <w:b/>
      <w:i/>
      <w:u w:val="none"/>
    </w:rPr>
  </w:style>
  <w:style w:type="paragraph" w:styleId="BalloonText">
    <w:name w:val="Balloon Text"/>
    <w:basedOn w:val="Normal"/>
    <w:link w:val="BalloonTextChar"/>
    <w:rsid w:val="001553AF"/>
    <w:rPr>
      <w:rFonts w:ascii="Tahoma" w:hAnsi="Tahoma" w:cs="Tahoma"/>
      <w:sz w:val="16"/>
      <w:szCs w:val="16"/>
    </w:rPr>
  </w:style>
  <w:style w:type="character" w:customStyle="1" w:styleId="BalloonTextChar">
    <w:name w:val="Balloon Text Char"/>
    <w:basedOn w:val="DefaultParagraphFont"/>
    <w:link w:val="BalloonText"/>
    <w:rsid w:val="00155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3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3AF"/>
    <w:rPr>
      <w:b/>
      <w:color w:val="660033"/>
      <w:spacing w:val="0"/>
    </w:rPr>
  </w:style>
  <w:style w:type="paragraph" w:customStyle="1" w:styleId="Nameditemlist">
    <w:name w:val="Named item list"/>
    <w:basedOn w:val="BodyText"/>
    <w:qFormat/>
    <w:rsid w:val="001553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1840</Words>
  <Characters>12044</Characters>
  <Application>Microsoft Office Word</Application>
  <DocSecurity>0</DocSecurity>
  <Lines>427</Lines>
  <Paragraphs>204</Paragraphs>
  <ScaleCrop>false</ScaleCrop>
  <Company>Author-it Software Corporation Ltd.</Company>
  <LinksUpToDate>false</LinksUpToDate>
  <CharactersWithSpaces>13769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MEM22012A Coordinate resources for an engineering project or operation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2012-12-20T07:20:00Z</dcterms:created>
  <dcterms:modified xsi:type="dcterms:W3CDTF">2012-12-20T07:20:00Z</dcterms:modified>
</cp:coreProperties>
</file>