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6CAD" w:rsidP="000F6CAD">
      <w:pPr>
        <w:pStyle w:val="Title"/>
      </w:pPr>
      <w:r>
        <w:fldChar w:fldCharType="begin"/>
      </w:r>
      <w:r>
        <w:instrText xml:space="preserve"> TITLE   \* MERGEFORMAT </w:instrText>
      </w:r>
      <w:r>
        <w:fldChar w:fldCharType="separate"/>
      </w:r>
      <w:r>
        <w:t>MEM22001A Perform engineering activities</w:t>
      </w:r>
      <w:r>
        <w:fldChar w:fldCharType="end"/>
      </w:r>
    </w:p>
    <w:p w:rsidR="000F6CAD" w:rsidP="000F6CAD">
      <w:pPr>
        <w:pStyle w:val="Version"/>
        <w:sectPr w:rsidSect="00C619C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19C7" w:rsidP="00C619C7">
      <w:pPr>
        <w:pStyle w:val="SuperHeading"/>
      </w:pPr>
      <w:r w:rsidRPr="00C619C7">
        <w:t>MEM22001A Perform engineering activities</w:t>
      </w:r>
    </w:p>
    <w:p w:rsidR="00000000" w:rsidRPr="00C619C7" w:rsidP="00C619C7">
      <w:pPr>
        <w:pStyle w:val="Heading1"/>
      </w:pPr>
      <w:bookmarkStart w:id="1" w:name="O_272366"/>
      <w:bookmarkEnd w:id="1"/>
      <w:r w:rsidRPr="00C619C7">
        <w:t>Modification History</w:t>
      </w:r>
    </w:p>
    <w:p w:rsidR="00000000" w:rsidRPr="00C619C7" w:rsidP="00C619C7">
      <w:pPr>
        <w:pStyle w:val="BodyText"/>
      </w:pPr>
      <w:r w:rsidRPr="00C619C7">
        <w:t>Not Applicable</w:t>
      </w:r>
    </w:p>
    <w:p w:rsidR="00000000" w:rsidRPr="00C619C7" w:rsidP="00C619C7">
      <w:pPr>
        <w:pStyle w:val="AllowPageBreak"/>
      </w:pPr>
    </w:p>
    <w:p w:rsidR="00000000" w:rsidRPr="00C619C7" w:rsidP="00C619C7">
      <w:pPr>
        <w:pStyle w:val="Heading1"/>
      </w:pPr>
      <w:bookmarkStart w:id="2" w:name="O_213000"/>
      <w:bookmarkEnd w:id="2"/>
      <w:r w:rsidRPr="00C619C7">
        <w:t>Unit Descriptor</w:t>
      </w:r>
    </w:p>
    <w:tbl>
      <w:tblPr>
        <w:tblW w:w="0" w:type="auto"/>
        <w:tblLayout w:type="fixed"/>
        <w:tblCellMar>
          <w:left w:w="62" w:type="dxa"/>
          <w:right w:w="62" w:type="dxa"/>
        </w:tblCellMar>
        <w:tblLook w:val="0000"/>
      </w:tblPr>
      <w:tblGrid>
        <w:gridCol w:w="2670"/>
        <w:gridCol w:w="5852"/>
      </w:tblGrid>
      <w:tr w:rsidTr="000F6CAD">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9C7">
            <w:pPr>
              <w:pStyle w:val="BodyText"/>
              <w:rPr>
                <w:lang w:val="en-NZ"/>
              </w:rPr>
            </w:pPr>
            <w:r w:rsidRPr="00C619C7">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19C7" w:rsidP="00C619C7">
            <w:pPr>
              <w:pStyle w:val="BodyText"/>
            </w:pPr>
            <w:r w:rsidRPr="00C619C7">
              <w:t>This unit covers the per</w:t>
            </w:r>
            <w:r w:rsidRPr="00C619C7">
              <w:t>formance of technical aspects of engineering work in accordance with established engineering principles and practices.</w:t>
            </w:r>
          </w:p>
        </w:tc>
      </w:tr>
    </w:tbl>
    <w:p w:rsidR="000F6CAD" w:rsidP="00C619C7">
      <w:pPr>
        <w:pStyle w:val="BodyText"/>
      </w:pPr>
    </w:p>
    <w:p w:rsidR="000F6CAD" w:rsidP="00C619C7">
      <w:pPr>
        <w:pStyle w:val="BodyText"/>
      </w:pPr>
    </w:p>
    <w:p w:rsidR="00000000" w:rsidRPr="00C619C7" w:rsidP="00C619C7">
      <w:pPr>
        <w:pStyle w:val="Heading1"/>
      </w:pPr>
      <w:bookmarkStart w:id="3" w:name="O_213004"/>
      <w:bookmarkEnd w:id="3"/>
      <w:r w:rsidRPr="00C619C7">
        <w:t>Application of the Unit</w:t>
      </w:r>
    </w:p>
    <w:tbl>
      <w:tblPr>
        <w:tblW w:w="0" w:type="auto"/>
        <w:tblLayout w:type="fixed"/>
        <w:tblCellMar>
          <w:left w:w="62" w:type="dxa"/>
          <w:right w:w="62" w:type="dxa"/>
        </w:tblCellMar>
        <w:tblLook w:val="0000"/>
      </w:tblPr>
      <w:tblGrid>
        <w:gridCol w:w="2745"/>
        <w:gridCol w:w="5777"/>
      </w:tblGrid>
      <w:tr w:rsidTr="000F6CAD">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9C7">
            <w:pPr>
              <w:pStyle w:val="BodyText"/>
              <w:rPr>
                <w:lang w:val="en-NZ"/>
              </w:rPr>
            </w:pPr>
            <w:r w:rsidRPr="00C619C7">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19C7" w:rsidP="00C619C7">
            <w:pPr>
              <w:pStyle w:val="BodyText"/>
            </w:pPr>
            <w:r w:rsidRPr="00C619C7">
              <w:t>This unit applies to technical activities carried out within a range of engineering disciplines.  It incorporates the personal and technical requirements to perform engineering activities where outcomes and performance measures are negotiated with appropri</w:t>
            </w:r>
            <w:r w:rsidRPr="00C619C7">
              <w:t>ate personnel, technical experts and specialists.</w:t>
            </w:r>
          </w:p>
          <w:p w:rsidR="00000000" w:rsidRPr="00C619C7" w:rsidP="00C619C7">
            <w:pPr>
              <w:pStyle w:val="BodyText"/>
            </w:pPr>
            <w:r w:rsidRPr="00C619C7">
              <w:t>This unit only has application in qualifications that are not points based.</w:t>
            </w:r>
          </w:p>
          <w:p w:rsidR="00000000" w:rsidRPr="00C619C7" w:rsidP="00C619C7">
            <w:pPr>
              <w:pStyle w:val="BodyText"/>
            </w:pPr>
          </w:p>
          <w:p w:rsidR="00000000" w:rsidRPr="00C619C7" w:rsidP="00C619C7">
            <w:pPr>
              <w:pStyle w:val="BodyText"/>
            </w:pPr>
            <w:r w:rsidRPr="00C619C7">
              <w:rPr>
                <w:rStyle w:val="SpecialBold"/>
              </w:rPr>
              <w:t>Band</w:t>
            </w:r>
            <w:r w:rsidRPr="00C619C7">
              <w:t>:</w:t>
            </w:r>
            <w:r w:rsidRPr="00C619C7">
              <w:tab/>
            </w:r>
            <w:r w:rsidRPr="00C619C7">
              <w:rPr>
                <w:rStyle w:val="SpecialBold"/>
              </w:rPr>
              <w:t>0</w:t>
            </w:r>
          </w:p>
          <w:p w:rsidR="00000000" w:rsidRPr="00C619C7" w:rsidP="00C619C7">
            <w:pPr>
              <w:pStyle w:val="BodyText"/>
            </w:pPr>
            <w:r w:rsidRPr="00C619C7">
              <w:rPr>
                <w:rStyle w:val="SpecialBold"/>
              </w:rPr>
              <w:t>Unit Weight</w:t>
            </w:r>
            <w:r w:rsidRPr="00C619C7">
              <w:t>:</w:t>
            </w:r>
            <w:r w:rsidRPr="00C619C7">
              <w:tab/>
            </w:r>
            <w:r w:rsidRPr="00C619C7">
              <w:rPr>
                <w:rStyle w:val="SpecialBold"/>
              </w:rPr>
              <w:t>0</w:t>
            </w:r>
          </w:p>
        </w:tc>
      </w:tr>
    </w:tbl>
    <w:p w:rsidR="000F6CAD" w:rsidP="00C619C7">
      <w:pPr>
        <w:pStyle w:val="BodyText"/>
      </w:pPr>
    </w:p>
    <w:p w:rsidR="000F6CAD" w:rsidP="00C619C7">
      <w:pPr>
        <w:pStyle w:val="BodyText"/>
      </w:pPr>
    </w:p>
    <w:p w:rsidR="00000000" w:rsidRPr="00C619C7" w:rsidP="00C619C7">
      <w:pPr>
        <w:pStyle w:val="Heading1"/>
      </w:pPr>
      <w:bookmarkStart w:id="4" w:name="O_280626"/>
      <w:bookmarkEnd w:id="4"/>
      <w:r w:rsidRPr="00C619C7">
        <w:t>Licensing/Regulatory Information</w:t>
      </w:r>
    </w:p>
    <w:p w:rsidR="00000000" w:rsidRPr="00C619C7" w:rsidP="00C619C7">
      <w:pPr>
        <w:pStyle w:val="BodyText"/>
      </w:pPr>
      <w:r w:rsidRPr="00C619C7">
        <w:t>Not Applicable</w:t>
      </w:r>
    </w:p>
    <w:p w:rsidR="00000000" w:rsidRPr="00C619C7" w:rsidP="00C619C7">
      <w:pPr>
        <w:pStyle w:val="AllowPageBreak"/>
      </w:pPr>
    </w:p>
    <w:p w:rsidR="00000000" w:rsidRPr="00C619C7" w:rsidP="00C619C7">
      <w:pPr>
        <w:pStyle w:val="Heading1"/>
      </w:pPr>
      <w:bookmarkStart w:id="5" w:name="O_213002"/>
      <w:bookmarkEnd w:id="5"/>
      <w:r w:rsidRPr="00C619C7">
        <w:t>Pre-Requisites</w:t>
      </w:r>
    </w:p>
    <w:tbl>
      <w:tblPr>
        <w:tblW w:w="0" w:type="auto"/>
        <w:tblLayout w:type="fixed"/>
        <w:tblCellMar>
          <w:left w:w="62" w:type="dxa"/>
          <w:right w:w="62" w:type="dxa"/>
        </w:tblCellMar>
        <w:tblLook w:val="0000"/>
      </w:tblPr>
      <w:tblGrid>
        <w:gridCol w:w="2711"/>
        <w:gridCol w:w="2195"/>
        <w:gridCol w:w="3616"/>
      </w:tblGrid>
      <w:tr w:rsidTr="000F6CAD">
        <w:tblPrEx>
          <w:tblW w:w="0" w:type="auto"/>
          <w:tblLayout w:type="fixed"/>
          <w:tblCellMar>
            <w:left w:w="62" w:type="dxa"/>
            <w:right w:w="62" w:type="dxa"/>
          </w:tblCellMar>
          <w:tblLook w:val="0000"/>
        </w:tblPrEx>
        <w:trPr>
          <w:tblHeader/>
        </w:trPr>
        <w:tc>
          <w:tcPr>
            <w:tcW w:w="2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9C7">
            <w:pPr>
              <w:pStyle w:val="BodyText"/>
              <w:rPr>
                <w:lang w:val="en-NZ"/>
              </w:rPr>
            </w:pPr>
            <w:r w:rsidRPr="00C619C7">
              <w:rPr>
                <w:rStyle w:val="SpecialBold"/>
              </w:rPr>
              <w:t>Prerequisite units</w:t>
            </w:r>
          </w:p>
        </w:tc>
        <w:tc>
          <w:tcPr>
            <w:tcW w:w="581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9C7">
            <w:pPr>
              <w:pStyle w:val="BodyText"/>
              <w:rPr>
                <w:lang w:val="en-NZ"/>
              </w:rPr>
            </w:pPr>
          </w:p>
        </w:tc>
      </w:tr>
      <w:tr w:rsidTr="000F6CAD">
        <w:tblPrEx>
          <w:tblW w:w="0" w:type="auto"/>
          <w:tblLayout w:type="fixed"/>
          <w:tblCellMar>
            <w:left w:w="62" w:type="dxa"/>
            <w:right w:w="62" w:type="dxa"/>
          </w:tblCellMar>
          <w:tblLook w:val="0000"/>
        </w:tblPrEx>
        <w:tc>
          <w:tcPr>
            <w:tcW w:w="2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9C7">
            <w:pPr>
              <w:pStyle w:val="BodyText"/>
              <w:rPr>
                <w:lang w:val="en-NZ"/>
              </w:rPr>
            </w:pPr>
            <w:r w:rsidRPr="00C619C7">
              <w:rPr>
                <w:rStyle w:val="SpecialBold"/>
              </w:rPr>
              <w:t>Path 1</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9C7">
            <w:pPr>
              <w:pStyle w:val="BodyText"/>
              <w:rPr>
                <w:lang w:val="en-NZ"/>
              </w:rPr>
            </w:pPr>
            <w:r w:rsidRPr="00C619C7">
              <w:t>MEM16006A</w:t>
            </w:r>
          </w:p>
        </w:tc>
        <w:tc>
          <w:tcPr>
            <w:tcW w:w="3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9C7">
            <w:pPr>
              <w:pStyle w:val="BodyText"/>
              <w:rPr>
                <w:lang w:val="en-NZ"/>
              </w:rPr>
            </w:pPr>
            <w:r w:rsidRPr="00C619C7">
              <w:t>Organise and communicate information</w:t>
            </w:r>
          </w:p>
        </w:tc>
      </w:tr>
      <w:tr w:rsidTr="000F6CAD">
        <w:tblPrEx>
          <w:tblW w:w="0" w:type="auto"/>
          <w:tblLayout w:type="fixed"/>
          <w:tblCellMar>
            <w:left w:w="62" w:type="dxa"/>
            <w:right w:w="62" w:type="dxa"/>
          </w:tblCellMar>
          <w:tblLook w:val="0000"/>
        </w:tblPrEx>
        <w:tc>
          <w:tcPr>
            <w:tcW w:w="2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19C7" w:rsidP="00C619C7">
            <w:pPr>
              <w:pStyle w:val="BodyText"/>
            </w:pPr>
          </w:p>
        </w:tc>
      </w:tr>
    </w:tbl>
    <w:p w:rsidR="000F6CAD" w:rsidP="00C619C7">
      <w:pPr>
        <w:pStyle w:val="BodyText"/>
      </w:pPr>
    </w:p>
    <w:p w:rsidR="000F6CAD" w:rsidP="00C619C7">
      <w:pPr>
        <w:pStyle w:val="BodyText"/>
      </w:pPr>
    </w:p>
    <w:p w:rsidR="00000000" w:rsidRPr="00C619C7" w:rsidP="00C619C7">
      <w:pPr>
        <w:pStyle w:val="Heading1"/>
      </w:pPr>
      <w:bookmarkStart w:id="6" w:name="O_213001"/>
      <w:bookmarkEnd w:id="6"/>
      <w:r w:rsidRPr="00C619C7">
        <w:t>Employability Skills Information</w:t>
      </w:r>
    </w:p>
    <w:tbl>
      <w:tblPr>
        <w:tblW w:w="0" w:type="auto"/>
        <w:tblLayout w:type="fixed"/>
        <w:tblCellMar>
          <w:left w:w="62" w:type="dxa"/>
          <w:right w:w="62" w:type="dxa"/>
        </w:tblCellMar>
        <w:tblLook w:val="0000"/>
      </w:tblPr>
      <w:tblGrid>
        <w:gridCol w:w="2802"/>
        <w:gridCol w:w="5720"/>
      </w:tblGrid>
      <w:tr w:rsidTr="000F6CA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9C7">
            <w:pPr>
              <w:pStyle w:val="BodyText"/>
              <w:rPr>
                <w:lang w:val="en-NZ"/>
              </w:rPr>
            </w:pPr>
            <w:r w:rsidRPr="00C619C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19C7" w:rsidP="00C619C7">
            <w:pPr>
              <w:pStyle w:val="BodyText"/>
            </w:pPr>
            <w:r w:rsidRPr="00C619C7">
              <w:t>This unit contains employability skills.</w:t>
            </w:r>
          </w:p>
        </w:tc>
      </w:tr>
    </w:tbl>
    <w:p w:rsidR="000F6CAD" w:rsidP="00C619C7">
      <w:pPr>
        <w:pStyle w:val="BodyText"/>
      </w:pPr>
    </w:p>
    <w:p w:rsidR="000F6CAD" w:rsidP="00C619C7">
      <w:pPr>
        <w:pStyle w:val="BodyText"/>
      </w:pPr>
    </w:p>
    <w:p w:rsidR="00000000" w:rsidRPr="00C619C7" w:rsidP="00C619C7">
      <w:pPr>
        <w:pStyle w:val="Heading1"/>
      </w:pPr>
      <w:bookmarkStart w:id="7" w:name="O_290412"/>
      <w:bookmarkEnd w:id="7"/>
      <w:r w:rsidRPr="00C619C7">
        <w:t>Elements and Performance Criteria Pre-Content</w:t>
      </w:r>
    </w:p>
    <w:tbl>
      <w:tblPr>
        <w:tblW w:w="0" w:type="auto"/>
        <w:tblLayout w:type="fixed"/>
        <w:tblCellMar>
          <w:left w:w="62" w:type="dxa"/>
          <w:right w:w="62" w:type="dxa"/>
        </w:tblCellMar>
        <w:tblLook w:val="0000"/>
      </w:tblPr>
      <w:tblGrid>
        <w:gridCol w:w="2567"/>
        <w:gridCol w:w="5955"/>
      </w:tblGrid>
      <w:tr w:rsidTr="000F6CAD">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9C7">
            <w:pPr>
              <w:pStyle w:val="BodyText"/>
              <w:rPr>
                <w:lang w:val="en-NZ"/>
              </w:rPr>
            </w:pPr>
            <w:r w:rsidRPr="00C619C7">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19C7" w:rsidP="00C619C7">
            <w:pPr>
              <w:pStyle w:val="BodyText"/>
            </w:pPr>
            <w:r w:rsidRPr="00C619C7">
              <w:t>Performance criteria describe the performance needed to demonstrate achievement of the element. Where bold italicised text is used, further info</w:t>
            </w:r>
            <w:r w:rsidRPr="00C619C7">
              <w:t>rmation is detailed in the required skills and knowledge section and the range statement. Assessment of performance is to be consistent with the evidence guide.</w:t>
            </w:r>
          </w:p>
        </w:tc>
      </w:tr>
    </w:tbl>
    <w:p w:rsidR="00000000" w:rsidRPr="00C619C7" w:rsidP="00C619C7">
      <w:pPr>
        <w:pStyle w:val="BodyText"/>
      </w:pPr>
    </w:p>
    <w:p w:rsidR="00000000" w:rsidRPr="00C619C7" w:rsidP="00C619C7">
      <w:pPr>
        <w:pStyle w:val="AllowPageBreak"/>
      </w:pPr>
    </w:p>
    <w:p w:rsidR="00000000" w:rsidRPr="00C619C7" w:rsidP="00C619C7">
      <w:pPr>
        <w:pStyle w:val="Heading1"/>
      </w:pPr>
      <w:bookmarkStart w:id="8" w:name="O_237079"/>
      <w:bookmarkEnd w:id="8"/>
      <w:r w:rsidRPr="00C619C7">
        <w:t>Elements and Performance Criteria</w:t>
      </w:r>
    </w:p>
    <w:tbl>
      <w:tblPr>
        <w:tblW w:w="0" w:type="auto"/>
        <w:tblLayout w:type="fixed"/>
        <w:tblCellMar>
          <w:left w:w="62" w:type="dxa"/>
          <w:right w:w="62" w:type="dxa"/>
        </w:tblCellMar>
        <w:tblLook w:val="0000"/>
      </w:tblPr>
      <w:tblGrid>
        <w:gridCol w:w="2567"/>
        <w:gridCol w:w="5955"/>
      </w:tblGrid>
      <w:tr w:rsidTr="000F6CAD">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19C7" w:rsidP="00C619C7">
            <w:pPr>
              <w:pStyle w:val="BodyText"/>
            </w:pPr>
            <w:r w:rsidRPr="00C619C7">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9C7">
            <w:pPr>
              <w:pStyle w:val="BodyText"/>
              <w:rPr>
                <w:lang w:val="en-NZ"/>
              </w:rPr>
            </w:pPr>
            <w:r w:rsidRPr="00C619C7">
              <w:rPr>
                <w:rStyle w:val="SpecialBold"/>
              </w:rPr>
              <w:t>PERFORMANCE CRITERIA</w:t>
            </w:r>
          </w:p>
        </w:tc>
      </w:tr>
      <w:tr w:rsidTr="000F6CAD">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9C7">
            <w:pPr>
              <w:pStyle w:val="List"/>
              <w:rPr>
                <w:lang w:val="en-NZ"/>
              </w:rPr>
            </w:pPr>
            <w:r w:rsidRPr="00C619C7">
              <w:t>1.</w:t>
            </w:r>
            <w:r w:rsidRPr="00C619C7">
              <w:tab/>
            </w:r>
            <w:r w:rsidRPr="00C619C7">
              <w:t>Identify and implement engineering practices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19C7" w:rsidP="00C619C7">
            <w:pPr>
              <w:pStyle w:val="List2"/>
            </w:pPr>
            <w:r w:rsidRPr="00C619C7">
              <w:t>1.1.</w:t>
            </w:r>
            <w:r w:rsidRPr="00C619C7">
              <w:tab/>
              <w:t xml:space="preserve">Engineering practices applicable to engineering activities are identified. </w:t>
            </w:r>
          </w:p>
          <w:p w:rsidR="00000000" w:rsidRPr="00C619C7" w:rsidP="00C619C7">
            <w:pPr>
              <w:pStyle w:val="List2"/>
            </w:pPr>
            <w:r w:rsidRPr="00C619C7">
              <w:t>1.2.</w:t>
            </w:r>
            <w:r w:rsidRPr="00C619C7">
              <w:tab/>
              <w:t>Factors, conditions and contexts integral to effective engineering practice are researched and evaluated.</w:t>
            </w:r>
          </w:p>
          <w:p w:rsidR="00000000" w:rsidRPr="00C619C7" w:rsidP="00C619C7">
            <w:pPr>
              <w:pStyle w:val="List2"/>
            </w:pPr>
            <w:r w:rsidRPr="00C619C7">
              <w:t>1.3.</w:t>
            </w:r>
            <w:r w:rsidRPr="00C619C7">
              <w:tab/>
              <w:t>The applicatio</w:t>
            </w:r>
            <w:r w:rsidRPr="00C619C7">
              <w:t>n of management practices and regulatory/legal systems to engineering practice is researched and evaluated.</w:t>
            </w:r>
          </w:p>
          <w:p w:rsidR="00000000" w:rsidP="00C619C7">
            <w:pPr>
              <w:pStyle w:val="List2"/>
              <w:rPr>
                <w:lang w:val="en-NZ"/>
              </w:rPr>
            </w:pPr>
            <w:r w:rsidRPr="00C619C7">
              <w:t>1.4.</w:t>
            </w:r>
            <w:r w:rsidRPr="00C619C7">
              <w:tab/>
              <w:t>Elements of engineering practices are incorporated into engineering activities.</w:t>
            </w:r>
          </w:p>
        </w:tc>
      </w:tr>
      <w:tr w:rsidTr="000F6CAD">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9C7">
            <w:pPr>
              <w:pStyle w:val="List"/>
              <w:rPr>
                <w:lang w:val="en-NZ"/>
              </w:rPr>
            </w:pPr>
            <w:r w:rsidRPr="00C619C7">
              <w:t>2.</w:t>
            </w:r>
            <w:r w:rsidRPr="00C619C7">
              <w:tab/>
            </w:r>
            <w:r w:rsidRPr="00C619C7">
              <w:t>Negotiate, document and monitor outcomes and performance measures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19C7" w:rsidP="00C619C7">
            <w:pPr>
              <w:pStyle w:val="List2"/>
            </w:pPr>
            <w:r w:rsidRPr="00C619C7">
              <w:t>2.1.</w:t>
            </w:r>
            <w:r w:rsidRPr="00C619C7">
              <w:tab/>
              <w:t>Technical experts and specialists are consulted as required.</w:t>
            </w:r>
          </w:p>
          <w:p w:rsidR="00000000" w:rsidRPr="00C619C7" w:rsidP="00C619C7">
            <w:pPr>
              <w:pStyle w:val="List2"/>
            </w:pPr>
            <w:r w:rsidRPr="00C619C7">
              <w:t>2.2.</w:t>
            </w:r>
            <w:r w:rsidRPr="00C619C7">
              <w:tab/>
              <w:t>Engineering options are evaluated and ranked.</w:t>
            </w:r>
          </w:p>
          <w:p w:rsidR="00000000" w:rsidP="00C619C7">
            <w:pPr>
              <w:pStyle w:val="List2"/>
              <w:rPr>
                <w:lang w:val="en-NZ"/>
              </w:rPr>
            </w:pPr>
            <w:r w:rsidRPr="00C619C7">
              <w:t>2.3.</w:t>
            </w:r>
            <w:r w:rsidRPr="00C619C7">
              <w:tab/>
              <w:t xml:space="preserve">Performance measures for processes and outcomes are negotiated with </w:t>
            </w:r>
            <w:r w:rsidRPr="00C619C7">
              <w:t>stakeholders and documented.</w:t>
            </w:r>
          </w:p>
        </w:tc>
      </w:tr>
      <w:tr w:rsidTr="000F6CAD">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9C7">
            <w:pPr>
              <w:pStyle w:val="List"/>
              <w:rPr>
                <w:lang w:val="en-NZ"/>
              </w:rPr>
            </w:pPr>
            <w:r w:rsidRPr="00C619C7">
              <w:t>3.</w:t>
            </w:r>
            <w:r w:rsidRPr="00C619C7">
              <w:tab/>
              <w:t>Negotiate, develop and document work instructions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9C7">
            <w:pPr>
              <w:pStyle w:val="List2"/>
              <w:rPr>
                <w:lang w:val="en-NZ"/>
              </w:rPr>
            </w:pPr>
            <w:r w:rsidRPr="00C619C7">
              <w:t>3.1.</w:t>
            </w:r>
            <w:r w:rsidRPr="00C619C7">
              <w:tab/>
              <w:t>Work instructions are negotiated and documented with taskforce.</w:t>
            </w:r>
          </w:p>
        </w:tc>
      </w:tr>
      <w:tr w:rsidTr="000F6CAD">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9C7">
            <w:pPr>
              <w:pStyle w:val="List"/>
              <w:rPr>
                <w:lang w:val="en-NZ"/>
              </w:rPr>
            </w:pPr>
            <w:r w:rsidRPr="00C619C7">
              <w:t>4.</w:t>
            </w:r>
            <w:r w:rsidRPr="00C619C7">
              <w:tab/>
              <w:t>Perform hazard and risk analysis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9C7">
            <w:pPr>
              <w:pStyle w:val="List2"/>
              <w:rPr>
                <w:lang w:val="en-NZ"/>
              </w:rPr>
            </w:pPr>
            <w:r w:rsidRPr="00C619C7">
              <w:t>4.1.</w:t>
            </w:r>
            <w:r w:rsidRPr="00C619C7">
              <w:tab/>
              <w:t>Hazards and risks associated with project are analysed.</w:t>
            </w:r>
          </w:p>
        </w:tc>
      </w:tr>
      <w:tr w:rsidTr="000F6CAD">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9C7">
            <w:pPr>
              <w:pStyle w:val="List"/>
              <w:rPr>
                <w:lang w:val="en-NZ"/>
              </w:rPr>
            </w:pPr>
            <w:r w:rsidRPr="00C619C7">
              <w:t>5.</w:t>
            </w:r>
            <w:r w:rsidRPr="00C619C7">
              <w:tab/>
              <w:t>Mo</w:t>
            </w:r>
            <w:r w:rsidRPr="00C619C7">
              <w:t>nitor progress, respond appropriately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9C7">
            <w:pPr>
              <w:pStyle w:val="List2"/>
              <w:rPr>
                <w:lang w:val="en-NZ"/>
              </w:rPr>
            </w:pPr>
            <w:r w:rsidRPr="00C619C7">
              <w:t>5.1.</w:t>
            </w:r>
            <w:r w:rsidRPr="00C619C7">
              <w:tab/>
              <w:t>Progress is monitored and responded to in cooperation and consultation with stakeholders and taskforce.</w:t>
            </w:r>
          </w:p>
        </w:tc>
      </w:tr>
      <w:tr w:rsidTr="000F6CAD">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9C7">
            <w:pPr>
              <w:pStyle w:val="List"/>
              <w:rPr>
                <w:lang w:val="en-NZ"/>
              </w:rPr>
            </w:pPr>
            <w:r w:rsidRPr="00C619C7">
              <w:t>6.</w:t>
            </w:r>
            <w:r w:rsidRPr="00C619C7">
              <w:tab/>
              <w:t>Conclude engineering activities appropriately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9C7">
            <w:pPr>
              <w:pStyle w:val="List2"/>
              <w:rPr>
                <w:lang w:val="en-NZ"/>
              </w:rPr>
            </w:pPr>
            <w:r w:rsidRPr="00C619C7">
              <w:t>6.1.</w:t>
            </w:r>
            <w:r w:rsidRPr="00C619C7">
              <w:tab/>
              <w:t>Engineering activities are concluded in accordance wit</w:t>
            </w:r>
            <w:r w:rsidRPr="00C619C7">
              <w:t>h workplace and legislative requirements.</w:t>
            </w:r>
          </w:p>
        </w:tc>
      </w:tr>
      <w:tr w:rsidTr="000F6CAD">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9C7">
            <w:pPr>
              <w:pStyle w:val="List"/>
              <w:rPr>
                <w:lang w:val="en-NZ"/>
              </w:rPr>
            </w:pPr>
            <w:r w:rsidRPr="00C619C7">
              <w:t>7.</w:t>
            </w:r>
            <w:r w:rsidRPr="00C619C7">
              <w:tab/>
              <w:t>Evaluate career options and develop career development strategy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19C7" w:rsidP="00C619C7">
            <w:pPr>
              <w:pStyle w:val="List2"/>
            </w:pPr>
            <w:r w:rsidRPr="00C619C7">
              <w:t>7.1.</w:t>
            </w:r>
            <w:r w:rsidRPr="00C619C7">
              <w:tab/>
              <w:t xml:space="preserve">Career options are developed based on current engineering activities. </w:t>
            </w:r>
          </w:p>
          <w:p w:rsidR="00000000" w:rsidRPr="00C619C7" w:rsidP="00C619C7">
            <w:pPr>
              <w:pStyle w:val="List2"/>
            </w:pPr>
            <w:r w:rsidRPr="00C619C7">
              <w:t>7.2.</w:t>
            </w:r>
            <w:r w:rsidRPr="00C619C7">
              <w:tab/>
            </w:r>
            <w:r w:rsidRPr="00C619C7">
              <w:t>A portfolio or CV of current engineering activities that is also a framework for future engineering activities is developed.</w:t>
            </w:r>
          </w:p>
        </w:tc>
      </w:tr>
    </w:tbl>
    <w:p w:rsidR="000F6CAD" w:rsidP="00C619C7">
      <w:pPr>
        <w:pStyle w:val="BodyText"/>
      </w:pPr>
    </w:p>
    <w:p w:rsidR="000F6CAD" w:rsidP="00C619C7">
      <w:pPr>
        <w:pStyle w:val="BodyText"/>
      </w:pPr>
    </w:p>
    <w:p w:rsidR="00000000" w:rsidRPr="00C619C7" w:rsidP="00C619C7">
      <w:pPr>
        <w:pStyle w:val="Heading1"/>
      </w:pPr>
      <w:bookmarkStart w:id="9" w:name="O_261029"/>
      <w:bookmarkEnd w:id="9"/>
      <w:r w:rsidRPr="00C619C7">
        <w:t>Required Skills and Knowledge</w:t>
      </w:r>
    </w:p>
    <w:tbl>
      <w:tblPr>
        <w:tblW w:w="0" w:type="auto"/>
        <w:tblLayout w:type="fixed"/>
        <w:tblCellMar>
          <w:left w:w="62" w:type="dxa"/>
          <w:right w:w="62" w:type="dxa"/>
        </w:tblCellMar>
        <w:tblLook w:val="0000"/>
      </w:tblPr>
      <w:tblGrid>
        <w:gridCol w:w="8522"/>
      </w:tblGrid>
      <w:tr w:rsidTr="000F6CA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619C7">
            <w:pPr>
              <w:pStyle w:val="BodyText"/>
              <w:rPr>
                <w:lang w:val="en-NZ"/>
              </w:rPr>
            </w:pPr>
            <w:r w:rsidRPr="00C619C7">
              <w:rPr>
                <w:rStyle w:val="SpecialBold"/>
              </w:rPr>
              <w:t>REQUIRED SKILLS AND KNOWLEDGE</w:t>
            </w:r>
          </w:p>
        </w:tc>
      </w:tr>
      <w:tr w:rsidTr="000F6CA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619C7">
            <w:pPr>
              <w:pStyle w:val="BodyText"/>
              <w:rPr>
                <w:lang w:val="en-NZ"/>
              </w:rPr>
            </w:pPr>
            <w:r w:rsidRPr="00C619C7">
              <w:t>This section describes the skills and knowledge required for this unit.</w:t>
            </w:r>
          </w:p>
        </w:tc>
      </w:tr>
      <w:tr w:rsidTr="000F6CA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9C7">
            <w:pPr>
              <w:pStyle w:val="BodyText"/>
              <w:rPr>
                <w:lang w:val="en-NZ"/>
              </w:rPr>
            </w:pPr>
            <w:r w:rsidRPr="00C619C7">
              <w:rPr>
                <w:rStyle w:val="SpecialBold"/>
              </w:rPr>
              <w:t>Required skills</w:t>
            </w:r>
          </w:p>
        </w:tc>
      </w:tr>
      <w:tr w:rsidTr="000F6CA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19C7" w:rsidP="00C619C7">
            <w:pPr>
              <w:pStyle w:val="BodyText"/>
            </w:pPr>
            <w:r w:rsidRPr="00C619C7">
              <w:t>Look for evidence that confirms skills in:</w:t>
            </w:r>
          </w:p>
          <w:p w:rsidR="00000000" w:rsidRPr="00C619C7" w:rsidP="00C619C7">
            <w:pPr>
              <w:pStyle w:val="ListBullet"/>
            </w:pPr>
            <w:r w:rsidRPr="00C619C7">
              <w:t xml:space="preserve">research and evaluation </w:t>
            </w:r>
          </w:p>
          <w:p w:rsidR="00000000" w:rsidRPr="00C619C7" w:rsidP="00C619C7">
            <w:pPr>
              <w:pStyle w:val="ListBullet"/>
            </w:pPr>
            <w:r w:rsidRPr="00C619C7">
              <w:t xml:space="preserve">review and maintenance of academic development, work experience, ethical practice, indemnity, negotiation, consultation and human relations with respect to the practice of engineering </w:t>
            </w:r>
          </w:p>
          <w:p w:rsidR="00000000" w:rsidRPr="00C619C7" w:rsidP="00C619C7">
            <w:pPr>
              <w:pStyle w:val="ListBullet"/>
            </w:pPr>
            <w:r w:rsidRPr="00C619C7">
              <w:t xml:space="preserve">consultation with technical experts and specialists </w:t>
            </w:r>
          </w:p>
          <w:p w:rsidR="00000000" w:rsidRPr="00C619C7" w:rsidP="00C619C7">
            <w:pPr>
              <w:pStyle w:val="ListBullet"/>
            </w:pPr>
            <w:r w:rsidRPr="00C619C7">
              <w:t>evaluation and ran</w:t>
            </w:r>
            <w:r w:rsidRPr="00C619C7">
              <w:t>king of engineering options for particular applications</w:t>
            </w:r>
          </w:p>
          <w:p w:rsidR="00000000" w:rsidRPr="00C619C7" w:rsidP="00C619C7">
            <w:pPr>
              <w:pStyle w:val="ListBullet"/>
            </w:pPr>
            <w:r w:rsidRPr="00C619C7">
              <w:t xml:space="preserve">designing and planning documentation for particular applications </w:t>
            </w:r>
          </w:p>
          <w:p w:rsidR="00000000" w:rsidRPr="00C619C7" w:rsidP="00C619C7">
            <w:pPr>
              <w:pStyle w:val="ListBullet"/>
            </w:pPr>
            <w:r w:rsidRPr="00C619C7">
              <w:t xml:space="preserve">documenting work instructions </w:t>
            </w:r>
          </w:p>
          <w:p w:rsidR="00000000" w:rsidRPr="00C619C7" w:rsidP="00C619C7">
            <w:pPr>
              <w:pStyle w:val="ListBullet"/>
            </w:pPr>
            <w:r w:rsidRPr="00C619C7">
              <w:t>implementing occupational health and safety and environmental regulations, codes of practice and statut</w:t>
            </w:r>
            <w:r w:rsidRPr="00C619C7">
              <w:t xml:space="preserve">ory requirements </w:t>
            </w:r>
          </w:p>
          <w:p w:rsidR="00000000" w:rsidRPr="00C619C7" w:rsidP="00C619C7">
            <w:pPr>
              <w:pStyle w:val="ListBullet"/>
            </w:pPr>
            <w:r w:rsidRPr="00C619C7">
              <w:t>identifying and analysing hazards and risks</w:t>
            </w:r>
          </w:p>
          <w:p w:rsidR="00000000" w:rsidRPr="00C619C7" w:rsidP="00C619C7">
            <w:pPr>
              <w:pStyle w:val="ListBullet"/>
            </w:pPr>
            <w:r w:rsidRPr="00C619C7">
              <w:t>monitoring and consultation with stakeholders and taskforce</w:t>
            </w:r>
          </w:p>
          <w:p w:rsidR="00000000" w:rsidP="00C619C7">
            <w:pPr>
              <w:pStyle w:val="ListBullet"/>
              <w:rPr>
                <w:lang w:val="en-NZ"/>
              </w:rPr>
            </w:pPr>
            <w:r w:rsidRPr="00C619C7">
              <w:t>research and evaluation of engineering career options based on current engineering activities</w:t>
            </w:r>
          </w:p>
        </w:tc>
      </w:tr>
      <w:tr w:rsidTr="000F6CA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9C7">
            <w:pPr>
              <w:pStyle w:val="BodyText"/>
              <w:rPr>
                <w:lang w:val="en-NZ"/>
              </w:rPr>
            </w:pPr>
            <w:r w:rsidRPr="00C619C7">
              <w:rPr>
                <w:rStyle w:val="SpecialBold"/>
              </w:rPr>
              <w:t>Required knowledge</w:t>
            </w:r>
          </w:p>
        </w:tc>
      </w:tr>
      <w:tr w:rsidTr="000F6CA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19C7" w:rsidP="00C619C7">
            <w:pPr>
              <w:pStyle w:val="BodyText"/>
            </w:pPr>
            <w:r w:rsidRPr="00C619C7">
              <w:t>Look for evidence t</w:t>
            </w:r>
            <w:r w:rsidRPr="00C619C7">
              <w:t>hat confirms knowledge of:</w:t>
            </w:r>
          </w:p>
          <w:p w:rsidR="00000000" w:rsidRPr="00C619C7" w:rsidP="00C619C7">
            <w:pPr>
              <w:pStyle w:val="ListBullet"/>
            </w:pPr>
            <w:r w:rsidRPr="00C619C7">
              <w:t>political, social and environmental context and possible range of particular engineering activities</w:t>
            </w:r>
          </w:p>
          <w:p w:rsidR="00000000" w:rsidRPr="00C619C7" w:rsidP="00C619C7">
            <w:pPr>
              <w:pStyle w:val="ListBullet"/>
            </w:pPr>
            <w:r w:rsidRPr="00C619C7">
              <w:t>the effect of government policy on industrial education and training, immigration for industrial labour/ skills, globalisation, the quality movement, JIT and competitive or lean manufacturing on a range of applications using jobbing, batch, mass or continu</w:t>
            </w:r>
            <w:r w:rsidRPr="00C619C7">
              <w:t>ous production</w:t>
            </w:r>
          </w:p>
          <w:p w:rsidR="00000000" w:rsidRPr="00C619C7" w:rsidP="00C619C7">
            <w:pPr>
              <w:pStyle w:val="ListBullet"/>
            </w:pPr>
            <w:r w:rsidRPr="00C619C7">
              <w:t>the significance, need for continual review and maintenance of academic development, work experience, ethical practice, indemnity, negotiation, consultation and human relations with respect to the practice of engineering</w:t>
            </w:r>
          </w:p>
          <w:p w:rsidR="00000000" w:rsidRPr="00C619C7" w:rsidP="00C619C7">
            <w:pPr>
              <w:pStyle w:val="ListBullet"/>
            </w:pPr>
            <w:r w:rsidRPr="00C619C7">
              <w:t>the significance and</w:t>
            </w:r>
            <w:r w:rsidRPr="00C619C7">
              <w:t xml:space="preserve"> applicability of strategic industrial management, financial management, workteams, supervision and control, industrial relations, OHS&amp;E, enterprise based agreements, chemical registers, noise abatement, industrial law to particular industrial applications</w:t>
            </w:r>
            <w:r w:rsidRPr="00C619C7">
              <w:t xml:space="preserve"> and work environments</w:t>
            </w:r>
          </w:p>
          <w:p w:rsidR="00000000" w:rsidRPr="00C619C7" w:rsidP="00C619C7">
            <w:pPr>
              <w:pStyle w:val="ListBullet"/>
            </w:pPr>
            <w:r w:rsidRPr="00C619C7">
              <w:t>the application and affect of elements of engineering practice on particular engineering activities</w:t>
            </w:r>
          </w:p>
          <w:p w:rsidR="00000000" w:rsidRPr="00C619C7" w:rsidP="00C619C7">
            <w:pPr>
              <w:pStyle w:val="ListBullet"/>
            </w:pPr>
            <w:r w:rsidRPr="00C619C7">
              <w:t xml:space="preserve">methods for evaluation and ranking of engineering options including the use of decision making and problem solving tools (eg. Kepler </w:t>
            </w:r>
            <w:r w:rsidRPr="00C619C7">
              <w:t>Trebor method)</w:t>
            </w:r>
          </w:p>
          <w:p w:rsidR="00000000" w:rsidRPr="00C619C7" w:rsidP="00C619C7">
            <w:pPr>
              <w:pStyle w:val="ListBullet"/>
            </w:pPr>
            <w:r w:rsidRPr="00C619C7">
              <w:t>the significance of documented processes and outcomes performance measures in the context of client requirements, industrial, social, political and economic environments</w:t>
            </w:r>
          </w:p>
          <w:p w:rsidR="00000000" w:rsidRPr="00C619C7" w:rsidP="00C619C7">
            <w:pPr>
              <w:pStyle w:val="ListBullet"/>
            </w:pPr>
            <w:r w:rsidRPr="00C619C7">
              <w:t>documented work instructions in the context of the objectives of the en</w:t>
            </w:r>
            <w:r w:rsidRPr="00C619C7">
              <w:t>gineering activity</w:t>
            </w:r>
          </w:p>
          <w:p w:rsidR="00000000" w:rsidRPr="00C619C7" w:rsidP="00C619C7">
            <w:pPr>
              <w:pStyle w:val="ListBullet"/>
            </w:pPr>
            <w:r w:rsidRPr="00C619C7">
              <w:t xml:space="preserve">negotiating principles </w:t>
            </w:r>
          </w:p>
          <w:p w:rsidR="00000000" w:rsidRPr="00C619C7" w:rsidP="00C619C7">
            <w:pPr>
              <w:pStyle w:val="ListBullet"/>
            </w:pPr>
            <w:r w:rsidRPr="00C619C7">
              <w:t>risk assessment tools such as "risk matrix' and "Monte Carlo" risk assessment</w:t>
            </w:r>
          </w:p>
          <w:p w:rsidR="00000000" w:rsidRPr="00C619C7" w:rsidP="00C619C7">
            <w:pPr>
              <w:pStyle w:val="ListBullet"/>
            </w:pPr>
            <w:r w:rsidRPr="00C619C7">
              <w:t xml:space="preserve">the significance of statutory requirements disaster management strategies </w:t>
            </w:r>
          </w:p>
          <w:p w:rsidR="00000000" w:rsidRPr="00C619C7" w:rsidP="00C619C7">
            <w:pPr>
              <w:pStyle w:val="ListBullet"/>
            </w:pPr>
            <w:r w:rsidRPr="00C619C7">
              <w:t>long term environmental and sustainability issues associated</w:t>
            </w:r>
            <w:r w:rsidRPr="00C619C7">
              <w:t xml:space="preserve"> with the engineering activity</w:t>
            </w:r>
          </w:p>
          <w:p w:rsidR="00000000" w:rsidRPr="00C619C7" w:rsidP="00C619C7">
            <w:pPr>
              <w:pStyle w:val="ListBullet"/>
            </w:pPr>
            <w:r w:rsidRPr="00C619C7">
              <w:t xml:space="preserve">documentation and conclusion procedures </w:t>
            </w:r>
          </w:p>
          <w:p w:rsidR="00000000" w:rsidRPr="00C619C7" w:rsidP="00C619C7">
            <w:pPr>
              <w:pStyle w:val="ListBullet"/>
            </w:pPr>
            <w:r w:rsidRPr="00C619C7">
              <w:t>relevance of current engineering activities to future career options</w:t>
            </w:r>
          </w:p>
          <w:p w:rsidR="00000000" w:rsidRPr="00C619C7" w:rsidP="00C619C7">
            <w:pPr>
              <w:pStyle w:val="ListBullet"/>
            </w:pPr>
            <w:r w:rsidRPr="00C619C7">
              <w:t>the value of a portfolio in contributing to future career options in engineering</w:t>
            </w:r>
          </w:p>
        </w:tc>
      </w:tr>
    </w:tbl>
    <w:p w:rsidR="000F6CAD" w:rsidP="00C619C7">
      <w:pPr>
        <w:pStyle w:val="BodyText"/>
      </w:pPr>
    </w:p>
    <w:p w:rsidR="000F6CAD" w:rsidP="00C619C7">
      <w:pPr>
        <w:pStyle w:val="BodyText"/>
      </w:pPr>
    </w:p>
    <w:p w:rsidR="00000000" w:rsidRPr="00C619C7" w:rsidP="00C619C7">
      <w:pPr>
        <w:pStyle w:val="AllowPageBreak"/>
      </w:pPr>
    </w:p>
    <w:p w:rsidR="00000000" w:rsidRPr="00C619C7" w:rsidP="00C619C7">
      <w:pPr>
        <w:pStyle w:val="Heading1"/>
      </w:pPr>
      <w:bookmarkStart w:id="10" w:name="O_245063"/>
      <w:bookmarkEnd w:id="10"/>
      <w:r w:rsidRPr="00C619C7">
        <w:t>Evidence Guide</w:t>
      </w:r>
    </w:p>
    <w:tbl>
      <w:tblPr>
        <w:tblW w:w="9570" w:type="dxa"/>
        <w:tblLayout w:type="fixed"/>
        <w:tblCellMar>
          <w:left w:w="62" w:type="dxa"/>
          <w:right w:w="62" w:type="dxa"/>
        </w:tblCellMar>
        <w:tblLook w:val="0000"/>
      </w:tblPr>
      <w:tblGrid>
        <w:gridCol w:w="3908"/>
        <w:gridCol w:w="5662"/>
      </w:tblGrid>
      <w:tr w:rsidTr="000F6CA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9C7">
            <w:pPr>
              <w:pStyle w:val="BodyText"/>
              <w:rPr>
                <w:lang w:val="en-NZ"/>
              </w:rPr>
            </w:pPr>
            <w:r w:rsidRPr="00C619C7">
              <w:rPr>
                <w:rStyle w:val="SpecialBold"/>
              </w:rPr>
              <w:t>EVIDENCE GUIDE</w:t>
            </w:r>
          </w:p>
        </w:tc>
      </w:tr>
      <w:tr w:rsidTr="000F6CA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9C7">
            <w:pPr>
              <w:pStyle w:val="BodyText"/>
              <w:rPr>
                <w:lang w:val="en-NZ"/>
              </w:rPr>
            </w:pPr>
            <w:r w:rsidRPr="00C619C7">
              <w:t>The evidence guide provides advice on assessment and must be read in conjunction with the performance criteria, required skills and knowledge, range statement and the Assessment Guidelines for the Training Package.</w:t>
            </w:r>
          </w:p>
        </w:tc>
      </w:tr>
      <w:tr w:rsidTr="000F6CA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9C7">
            <w:pPr>
              <w:pStyle w:val="BodyText"/>
              <w:rPr>
                <w:lang w:val="en-NZ"/>
              </w:rPr>
            </w:pPr>
            <w:r w:rsidRPr="00C619C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9C7">
            <w:pPr>
              <w:pStyle w:val="BodyText"/>
              <w:rPr>
                <w:lang w:val="en-NZ"/>
              </w:rPr>
            </w:pPr>
            <w:r w:rsidRPr="00C619C7">
              <w:t>A person who demonstrates competency in this unit must be able to perform engineering activities within one or more specified engineering disciplines. Competency in this unit cannot be claimed until all prerequisites have been satis</w:t>
            </w:r>
            <w:r w:rsidRPr="00C619C7">
              <w:t>fied.</w:t>
            </w:r>
          </w:p>
        </w:tc>
      </w:tr>
      <w:tr w:rsidTr="000F6CA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9C7">
            <w:pPr>
              <w:pStyle w:val="BodyText"/>
              <w:rPr>
                <w:lang w:val="en-NZ"/>
              </w:rPr>
            </w:pPr>
            <w:r w:rsidRPr="00C619C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9C7">
            <w:pPr>
              <w:pStyle w:val="BodyText"/>
              <w:rPr>
                <w:lang w:val="en-NZ"/>
              </w:rPr>
            </w:pPr>
            <w:r w:rsidRPr="00C619C7">
              <w:t>Assessors must be satisfied that the candidate can competently and consistently perform all elements of the unit as specified by the criteria, including req</w:t>
            </w:r>
            <w:r w:rsidRPr="00C619C7">
              <w:t>uired knowledge, and be capable of applying the competency in new and different situations and contexts.</w:t>
            </w:r>
          </w:p>
        </w:tc>
      </w:tr>
      <w:tr w:rsidTr="000F6CA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9C7">
            <w:pPr>
              <w:pStyle w:val="BodyText"/>
              <w:rPr>
                <w:lang w:val="en-NZ"/>
              </w:rPr>
            </w:pPr>
            <w:r w:rsidRPr="00C619C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19C7" w:rsidP="00C619C7">
            <w:pPr>
              <w:pStyle w:val="BodyText"/>
            </w:pPr>
            <w:r w:rsidRPr="00C619C7">
              <w:t xml:space="preserve">This unit may be assessed on the job, off the job or a combination of both on and off the job.  Where assessment occurs off the job, that is the candidate is not in productive work, then an appropriate simulation must be used where the range of conditions </w:t>
            </w:r>
            <w:r w:rsidRPr="00C619C7">
              <w:t>reflects realistic workplace situations.  The competencies covered by this unit would be demonstrated by an individual working alone or as part of a team.  The assessment environment should not disadvantage the candidate.</w:t>
            </w:r>
          </w:p>
          <w:p w:rsidR="00000000" w:rsidP="00C619C7">
            <w:pPr>
              <w:pStyle w:val="BodyText"/>
              <w:rPr>
                <w:lang w:val="en-NZ"/>
              </w:rPr>
            </w:pPr>
            <w:r w:rsidRPr="00C619C7">
              <w:t>This unit could be assessed in con</w:t>
            </w:r>
            <w:r w:rsidRPr="00C619C7">
              <w:t>junction with any other units addressing the safety, quality, communication, materials handling, recording and reporting associated with performing engineering activities or other units requiring the exercise of the skills and knowledge covered by this uni</w:t>
            </w:r>
            <w:r w:rsidRPr="00C619C7">
              <w:t>t.</w:t>
            </w:r>
          </w:p>
        </w:tc>
      </w:tr>
      <w:tr w:rsidTr="000F6CA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9C7">
            <w:pPr>
              <w:pStyle w:val="BodyText"/>
              <w:rPr>
                <w:lang w:val="en-NZ"/>
              </w:rPr>
            </w:pPr>
            <w:r w:rsidRPr="00C619C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9C7">
            <w:pPr>
              <w:pStyle w:val="BodyText"/>
              <w:rPr>
                <w:lang w:val="en-NZ"/>
              </w:rPr>
            </w:pPr>
            <w:r w:rsidRPr="00C619C7">
              <w:t>Assessors should gather a range of evidence that is valid, sufficient, current and authentic.  Evidence can be gathered through a variety of ways including direct observation, supervisor's reports, project work, samples and questio</w:t>
            </w:r>
            <w:r w:rsidRPr="00C619C7">
              <w:t xml:space="preserve">ning.  Questioning techniques should not require language, literacy and numeracy skills beyond those required in this unit of competency.  The candidate must have access to all tools, equipment, materials and documentation required.  The candidate must be </w:t>
            </w:r>
            <w:r w:rsidRPr="00C619C7">
              <w:t>permitted to refer to any relevant workplace procedures, product and manufacturing specifications, codes, standards, manuals and reference materials.</w:t>
            </w:r>
          </w:p>
        </w:tc>
      </w:tr>
      <w:tr w:rsidTr="000F6CA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9C7">
            <w:pPr>
              <w:pStyle w:val="BodyText"/>
              <w:rPr>
                <w:lang w:val="en-NZ"/>
              </w:rPr>
            </w:pPr>
            <w:r w:rsidRPr="00C619C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19C7" w:rsidP="00C619C7">
            <w:pPr>
              <w:pStyle w:val="BodyText"/>
            </w:pPr>
          </w:p>
        </w:tc>
      </w:tr>
    </w:tbl>
    <w:p w:rsidR="000F6CAD" w:rsidP="00C619C7">
      <w:pPr>
        <w:pStyle w:val="BodyText"/>
      </w:pPr>
    </w:p>
    <w:p w:rsidR="000F6CAD" w:rsidP="00C619C7">
      <w:pPr>
        <w:pStyle w:val="BodyText"/>
      </w:pPr>
    </w:p>
    <w:p w:rsidR="00000000" w:rsidRPr="00C619C7" w:rsidP="00C619C7">
      <w:pPr>
        <w:pStyle w:val="Heading1"/>
      </w:pPr>
      <w:bookmarkStart w:id="11" w:name="O_253046"/>
      <w:bookmarkEnd w:id="11"/>
      <w:r w:rsidRPr="00C619C7">
        <w:t>Range Statement</w:t>
      </w:r>
    </w:p>
    <w:tbl>
      <w:tblPr>
        <w:tblW w:w="0" w:type="auto"/>
        <w:tblLayout w:type="fixed"/>
        <w:tblCellMar>
          <w:left w:w="62" w:type="dxa"/>
          <w:right w:w="62" w:type="dxa"/>
        </w:tblCellMar>
        <w:tblLook w:val="0000"/>
      </w:tblPr>
      <w:tblGrid>
        <w:gridCol w:w="3565"/>
        <w:gridCol w:w="4957"/>
      </w:tblGrid>
      <w:tr w:rsidTr="000F6CA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9C7">
            <w:pPr>
              <w:pStyle w:val="BodyText"/>
              <w:rPr>
                <w:lang w:val="en-NZ"/>
              </w:rPr>
            </w:pPr>
            <w:r w:rsidRPr="00C619C7">
              <w:rPr>
                <w:rStyle w:val="SpecialBold"/>
              </w:rPr>
              <w:t>RANGE STATEMENT</w:t>
            </w:r>
          </w:p>
        </w:tc>
      </w:tr>
      <w:tr w:rsidTr="000F6CA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9C7">
            <w:pPr>
              <w:pStyle w:val="BodyText"/>
              <w:rPr>
                <w:lang w:val="en-NZ"/>
              </w:rPr>
            </w:pPr>
            <w:r w:rsidRPr="00C619C7">
              <w:t>The range statement relates to the unit of competency as a whole. It allows for different work environments and situations that may affect performance. Bold italicised wording, if used in the performance criteria, is detailed below. Essential operating con</w:t>
            </w:r>
            <w:r w:rsidRPr="00C619C7">
              <w:t>ditions that may be present with training and assessment (depending on the work situation, needs of the candidate, accessibility of the item, and local industry and regional contexts) may also be included.</w:t>
            </w:r>
          </w:p>
        </w:tc>
      </w:tr>
      <w:tr w:rsidTr="000F6CAD">
        <w:tblPrEx>
          <w:tblW w:w="0" w:type="auto"/>
          <w:tblLayout w:type="fixed"/>
          <w:tblCellMar>
            <w:left w:w="62" w:type="dxa"/>
            <w:right w:w="62" w:type="dxa"/>
          </w:tblCellMar>
          <w:tblLook w:val="0000"/>
        </w:tblPrEx>
        <w:tc>
          <w:tcPr>
            <w:tcW w:w="3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9C7">
            <w:pPr>
              <w:pStyle w:val="BodyText"/>
              <w:rPr>
                <w:lang w:val="en-NZ"/>
              </w:rPr>
            </w:pPr>
            <w:r w:rsidRPr="00C619C7">
              <w:rPr>
                <w:rStyle w:val="SpecialBold"/>
              </w:rPr>
              <w:t>Factors</w:t>
            </w:r>
            <w:r w:rsidRPr="00C619C7">
              <w:t xml:space="preserve">, </w:t>
            </w:r>
            <w:r w:rsidRPr="00C619C7">
              <w:rPr>
                <w:rStyle w:val="SpecialBold"/>
              </w:rPr>
              <w:t>conditions and contexts</w:t>
            </w:r>
          </w:p>
        </w:tc>
        <w:tc>
          <w:tcPr>
            <w:tcW w:w="4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19C7" w:rsidP="00C619C7">
            <w:pPr>
              <w:pStyle w:val="ListBullet"/>
            </w:pPr>
            <w:r w:rsidRPr="00C619C7">
              <w:t>Academic devel</w:t>
            </w:r>
            <w:r w:rsidRPr="00C619C7">
              <w:t>opment, work experience, ethical practices, indemnity, negotiation, consultation and human relations</w:t>
            </w:r>
          </w:p>
          <w:p w:rsidR="00000000" w:rsidP="00C619C7">
            <w:pPr>
              <w:pStyle w:val="ListBullet"/>
              <w:rPr>
                <w:lang w:val="en-NZ"/>
              </w:rPr>
            </w:pPr>
            <w:r w:rsidRPr="00C619C7">
              <w:t>Applicable local, regional, national and international economic, political and social contexts</w:t>
            </w:r>
          </w:p>
        </w:tc>
      </w:tr>
      <w:tr w:rsidTr="000F6CAD">
        <w:tblPrEx>
          <w:tblW w:w="0" w:type="auto"/>
          <w:tblLayout w:type="fixed"/>
          <w:tblCellMar>
            <w:left w:w="62" w:type="dxa"/>
            <w:right w:w="62" w:type="dxa"/>
          </w:tblCellMar>
          <w:tblLook w:val="0000"/>
        </w:tblPrEx>
        <w:tc>
          <w:tcPr>
            <w:tcW w:w="3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9C7">
            <w:pPr>
              <w:pStyle w:val="BodyText"/>
              <w:rPr>
                <w:lang w:val="en-NZ"/>
              </w:rPr>
            </w:pPr>
            <w:r w:rsidRPr="00C619C7">
              <w:rPr>
                <w:rStyle w:val="SpecialBold"/>
              </w:rPr>
              <w:t>Management practices</w:t>
            </w:r>
          </w:p>
        </w:tc>
        <w:tc>
          <w:tcPr>
            <w:tcW w:w="4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9C7">
            <w:pPr>
              <w:pStyle w:val="BodyText"/>
              <w:rPr>
                <w:lang w:val="en-NZ"/>
              </w:rPr>
            </w:pPr>
            <w:r w:rsidRPr="00C619C7">
              <w:t>Strategic industrial management, financial management, workteams, supervision and control.</w:t>
            </w:r>
          </w:p>
        </w:tc>
      </w:tr>
      <w:tr w:rsidTr="000F6CAD">
        <w:tblPrEx>
          <w:tblW w:w="0" w:type="auto"/>
          <w:tblLayout w:type="fixed"/>
          <w:tblCellMar>
            <w:left w:w="62" w:type="dxa"/>
            <w:right w:w="62" w:type="dxa"/>
          </w:tblCellMar>
          <w:tblLook w:val="0000"/>
        </w:tblPrEx>
        <w:tc>
          <w:tcPr>
            <w:tcW w:w="3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9C7">
            <w:pPr>
              <w:pStyle w:val="BodyText"/>
              <w:rPr>
                <w:lang w:val="en-NZ"/>
              </w:rPr>
            </w:pPr>
            <w:r w:rsidRPr="00C619C7">
              <w:rPr>
                <w:rStyle w:val="SpecialBold"/>
              </w:rPr>
              <w:t>Regulatory</w:t>
            </w:r>
            <w:r w:rsidRPr="00C619C7">
              <w:t>/</w:t>
            </w:r>
            <w:r w:rsidRPr="00C619C7">
              <w:rPr>
                <w:rStyle w:val="SpecialBold"/>
              </w:rPr>
              <w:t>legal systems</w:t>
            </w:r>
          </w:p>
        </w:tc>
        <w:tc>
          <w:tcPr>
            <w:tcW w:w="4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19C7" w:rsidP="00C619C7">
            <w:pPr>
              <w:pStyle w:val="BodyText"/>
            </w:pPr>
            <w:r w:rsidRPr="00C619C7">
              <w:t>Industrial relations, OHS&amp;E, enterprise based agreements, chemical registers, noise abatement, industrial law to particular industrial appl</w:t>
            </w:r>
            <w:r w:rsidRPr="00C619C7">
              <w:t>ications and work environments</w:t>
            </w:r>
          </w:p>
        </w:tc>
      </w:tr>
    </w:tbl>
    <w:p w:rsidR="000F6CAD" w:rsidP="00C619C7">
      <w:pPr>
        <w:pStyle w:val="BodyText"/>
      </w:pPr>
    </w:p>
    <w:p w:rsidR="000F6CAD" w:rsidP="00C619C7">
      <w:pPr>
        <w:pStyle w:val="BodyText"/>
      </w:pPr>
    </w:p>
    <w:p w:rsidR="00000000" w:rsidRPr="00C619C7" w:rsidP="00C619C7">
      <w:pPr>
        <w:pStyle w:val="Heading1"/>
      </w:pPr>
      <w:bookmarkStart w:id="12" w:name="O_213006"/>
      <w:bookmarkEnd w:id="12"/>
      <w:r w:rsidRPr="00C619C7">
        <w:t>Unit Sector(s)</w:t>
      </w:r>
    </w:p>
    <w:tbl>
      <w:tblPr>
        <w:tblW w:w="0" w:type="auto"/>
        <w:tblLayout w:type="fixed"/>
        <w:tblCellMar>
          <w:left w:w="62" w:type="dxa"/>
          <w:right w:w="62" w:type="dxa"/>
        </w:tblCellMar>
        <w:tblLook w:val="0000"/>
      </w:tblPr>
      <w:tblGrid>
        <w:gridCol w:w="2654"/>
        <w:gridCol w:w="5868"/>
      </w:tblGrid>
      <w:tr w:rsidTr="000F6CA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9C7">
            <w:pPr>
              <w:pStyle w:val="BodyText"/>
              <w:rPr>
                <w:lang w:val="en-NZ"/>
              </w:rPr>
            </w:pPr>
            <w:r w:rsidRPr="00C619C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19C7" w:rsidP="00C619C7">
            <w:pPr>
              <w:pStyle w:val="BodyText"/>
            </w:pPr>
          </w:p>
        </w:tc>
      </w:tr>
    </w:tbl>
    <w:p w:rsidR="000F6CAD" w:rsidP="00C619C7">
      <w:pPr>
        <w:pStyle w:val="BodyText"/>
      </w:pPr>
    </w:p>
    <w:p w:rsidR="000F6CAD" w:rsidP="00C619C7">
      <w:pPr>
        <w:pStyle w:val="BodyText"/>
      </w:pPr>
    </w:p>
    <w:p w:rsidR="00000000" w:rsidRPr="00C619C7" w:rsidP="00C619C7">
      <w:pPr>
        <w:pStyle w:val="Heading1"/>
      </w:pPr>
      <w:bookmarkStart w:id="13" w:name="O_213003"/>
      <w:bookmarkEnd w:id="13"/>
      <w:r w:rsidRPr="00C619C7">
        <w:t>Co-requisite units</w:t>
      </w:r>
    </w:p>
    <w:tbl>
      <w:tblPr>
        <w:tblW w:w="0" w:type="auto"/>
        <w:tblLayout w:type="fixed"/>
        <w:tblCellMar>
          <w:left w:w="62" w:type="dxa"/>
          <w:right w:w="62" w:type="dxa"/>
        </w:tblCellMar>
        <w:tblLook w:val="0000"/>
      </w:tblPr>
      <w:tblGrid>
        <w:gridCol w:w="2641"/>
        <w:gridCol w:w="1322"/>
        <w:gridCol w:w="4559"/>
      </w:tblGrid>
      <w:tr w:rsidTr="000F6CA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9C7">
            <w:pPr>
              <w:pStyle w:val="BodyText"/>
              <w:rPr>
                <w:lang w:val="en-NZ"/>
              </w:rPr>
            </w:pPr>
            <w:r w:rsidRPr="00C619C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9C7">
            <w:pPr>
              <w:pStyle w:val="BodyText"/>
              <w:rPr>
                <w:lang w:val="en-NZ"/>
              </w:rPr>
            </w:pPr>
          </w:p>
        </w:tc>
      </w:tr>
      <w:tr w:rsidTr="000F6CA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9C7">
            <w:pPr>
              <w:pStyle w:val="BodyText"/>
              <w:rPr>
                <w:lang w:val="en-NZ"/>
              </w:rPr>
            </w:pPr>
          </w:p>
        </w:tc>
      </w:tr>
      <w:tr w:rsidTr="000F6CA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19C7" w:rsidP="00C619C7">
            <w:pPr>
              <w:pStyle w:val="BodyText"/>
            </w:pPr>
          </w:p>
        </w:tc>
      </w:tr>
    </w:tbl>
    <w:p w:rsidR="000F6CAD" w:rsidP="00C619C7">
      <w:pPr>
        <w:pStyle w:val="BodyText"/>
      </w:pPr>
    </w:p>
    <w:p w:rsidR="000F6CAD" w:rsidP="00C619C7">
      <w:pPr>
        <w:pStyle w:val="BodyText"/>
      </w:pPr>
    </w:p>
    <w:p w:rsidR="00000000" w:rsidRPr="00C619C7" w:rsidP="00C619C7">
      <w:pPr>
        <w:pStyle w:val="Heading1"/>
      </w:pPr>
      <w:bookmarkStart w:id="14" w:name="O_213005"/>
      <w:bookmarkEnd w:id="14"/>
      <w:r w:rsidRPr="00C619C7">
        <w:t>Competency field</w:t>
      </w:r>
    </w:p>
    <w:tbl>
      <w:tblPr>
        <w:tblW w:w="0" w:type="auto"/>
        <w:tblLayout w:type="fixed"/>
        <w:tblCellMar>
          <w:left w:w="62" w:type="dxa"/>
          <w:right w:w="62" w:type="dxa"/>
        </w:tblCellMar>
        <w:tblLook w:val="0000"/>
      </w:tblPr>
      <w:tblGrid>
        <w:gridCol w:w="2774"/>
        <w:gridCol w:w="5748"/>
      </w:tblGrid>
      <w:tr w:rsidTr="000F6CAD">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9C7">
            <w:pPr>
              <w:pStyle w:val="BodyText"/>
              <w:rPr>
                <w:lang w:val="en-NZ"/>
              </w:rPr>
            </w:pPr>
            <w:r w:rsidRPr="00C619C7">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19C7" w:rsidP="00C619C7">
            <w:pPr>
              <w:pStyle w:val="BodyText"/>
            </w:pPr>
            <w:r w:rsidRPr="00C619C7">
              <w:t>Management and organisation</w:t>
            </w:r>
          </w:p>
        </w:tc>
      </w:tr>
    </w:tbl>
    <w:p w:rsidR="000F6CAD" w:rsidP="00C619C7">
      <w:pPr>
        <w:pStyle w:val="BodyText"/>
      </w:pPr>
    </w:p>
    <w:p w:rsidR="000F6CAD" w:rsidP="00C619C7">
      <w:pPr>
        <w:pStyle w:val="BodyText"/>
      </w:pPr>
    </w:p>
    <w:p w:rsidR="00000000" w:rsidRPr="00C619C7" w:rsidP="00C619C7"/>
    <w:sectPr w:rsidSect="00C619C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9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6CAD" w:rsidP="000F6C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9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CAD" w:rsidP="00C619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F6CAD" w:rsidP="00C619C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F6CAD" w:rsidP="00C619C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9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9C7" w:rsidRPr="000F6CAD" w:rsidP="000F6CA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9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CAD" w:rsidP="00C619C7">
    <w:pPr>
      <w:pStyle w:val="Header"/>
      <w:framePr w:wrap="around"/>
    </w:pPr>
    <w:r>
      <w:fldChar w:fldCharType="begin"/>
    </w:r>
    <w:r>
      <w:instrText xml:space="preserve"> TITLE   \* MERGEFORMAT </w:instrText>
    </w:r>
    <w:r>
      <w:fldChar w:fldCharType="separate"/>
    </w:r>
    <w:r>
      <w:t>MEM22001A Perform engineering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F6CAD" w:rsidP="00C619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E6C82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32419A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19C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619C7"/>
    <w:pPr>
      <w:spacing w:before="360" w:after="60"/>
      <w:outlineLvl w:val="0"/>
    </w:pPr>
    <w:rPr>
      <w:sz w:val="32"/>
    </w:rPr>
  </w:style>
  <w:style w:type="paragraph" w:styleId="Heading2">
    <w:name w:val="heading 2"/>
    <w:basedOn w:val="HeadingBase"/>
    <w:next w:val="BodyText"/>
    <w:link w:val="Heading2Char"/>
    <w:qFormat/>
    <w:rsid w:val="00C619C7"/>
    <w:pPr>
      <w:keepLines/>
      <w:spacing w:before="240" w:after="120"/>
      <w:outlineLvl w:val="1"/>
    </w:pPr>
    <w:rPr>
      <w:sz w:val="28"/>
      <w:szCs w:val="40"/>
    </w:rPr>
  </w:style>
  <w:style w:type="paragraph" w:styleId="Heading3">
    <w:name w:val="heading 3"/>
    <w:basedOn w:val="HeadingBase"/>
    <w:next w:val="BodyText"/>
    <w:link w:val="Heading3Char"/>
    <w:qFormat/>
    <w:rsid w:val="00C619C7"/>
    <w:pPr>
      <w:spacing w:before="180" w:after="120"/>
      <w:outlineLvl w:val="2"/>
    </w:pPr>
    <w:rPr>
      <w:spacing w:val="-10"/>
      <w:kern w:val="32"/>
    </w:rPr>
  </w:style>
  <w:style w:type="paragraph" w:styleId="Heading4">
    <w:name w:val="heading 4"/>
    <w:basedOn w:val="HeadingBase"/>
    <w:next w:val="BodyText"/>
    <w:link w:val="Heading4Char"/>
    <w:qFormat/>
    <w:rsid w:val="00C619C7"/>
    <w:pPr>
      <w:spacing w:before="160" w:after="120"/>
      <w:outlineLvl w:val="3"/>
    </w:pPr>
    <w:rPr>
      <w:sz w:val="22"/>
    </w:rPr>
  </w:style>
  <w:style w:type="paragraph" w:styleId="Heading5">
    <w:name w:val="heading 5"/>
    <w:basedOn w:val="HeadingBase"/>
    <w:next w:val="Normal"/>
    <w:link w:val="Heading5Char"/>
    <w:qFormat/>
    <w:rsid w:val="00C619C7"/>
    <w:pPr>
      <w:spacing w:before="80"/>
      <w:outlineLvl w:val="4"/>
    </w:pPr>
    <w:rPr>
      <w:color w:val="918585"/>
      <w:sz w:val="20"/>
    </w:rPr>
  </w:style>
  <w:style w:type="paragraph" w:styleId="Heading6">
    <w:name w:val="heading 6"/>
    <w:basedOn w:val="HeadingBase"/>
    <w:next w:val="Normal"/>
    <w:link w:val="Heading6Char"/>
    <w:qFormat/>
    <w:rsid w:val="00C619C7"/>
    <w:pPr>
      <w:spacing w:before="60"/>
      <w:outlineLvl w:val="5"/>
    </w:pPr>
    <w:rPr>
      <w:color w:val="918585"/>
      <w:sz w:val="20"/>
    </w:rPr>
  </w:style>
  <w:style w:type="paragraph" w:styleId="Heading7">
    <w:name w:val="heading 7"/>
    <w:basedOn w:val="Normal"/>
    <w:next w:val="Normal"/>
    <w:link w:val="Heading7Char"/>
    <w:qFormat/>
    <w:rsid w:val="00C619C7"/>
    <w:pPr>
      <w:ind w:left="720"/>
      <w:outlineLvl w:val="6"/>
    </w:pPr>
    <w:rPr>
      <w:i/>
    </w:rPr>
  </w:style>
  <w:style w:type="paragraph" w:styleId="Heading8">
    <w:name w:val="heading 8"/>
    <w:basedOn w:val="Normal"/>
    <w:next w:val="Normal"/>
    <w:link w:val="Heading8Char"/>
    <w:qFormat/>
    <w:rsid w:val="00C619C7"/>
    <w:pPr>
      <w:ind w:left="720"/>
      <w:outlineLvl w:val="7"/>
    </w:pPr>
    <w:rPr>
      <w:i/>
    </w:rPr>
  </w:style>
  <w:style w:type="paragraph" w:styleId="Heading9">
    <w:name w:val="heading 9"/>
    <w:basedOn w:val="Normal"/>
    <w:next w:val="Normal"/>
    <w:link w:val="Heading9Char"/>
    <w:qFormat/>
    <w:rsid w:val="00C619C7"/>
    <w:pPr>
      <w:ind w:left="720"/>
      <w:outlineLvl w:val="8"/>
    </w:pPr>
    <w:rPr>
      <w:i/>
    </w:rPr>
  </w:style>
  <w:style w:type="character" w:default="1" w:styleId="DefaultParagraphFont">
    <w:name w:val="Default Paragraph Font"/>
    <w:uiPriority w:val="1"/>
    <w:unhideWhenUsed/>
    <w:rsid w:val="00C619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19C7"/>
  </w:style>
  <w:style w:type="character" w:customStyle="1" w:styleId="Heading1Char">
    <w:name w:val="Heading 1 Char"/>
    <w:link w:val="Heading1"/>
    <w:rsid w:val="00C619C7"/>
    <w:rPr>
      <w:rFonts w:ascii="Times New Roman" w:eastAsia="Times New Roman" w:hAnsi="Times New Roman" w:cs="Times New Roman"/>
      <w:b/>
      <w:sz w:val="32"/>
      <w:szCs w:val="20"/>
      <w:lang w:eastAsia="en-US"/>
    </w:rPr>
  </w:style>
  <w:style w:type="paragraph" w:styleId="BodyText">
    <w:name w:val="Body Text"/>
    <w:basedOn w:val="Normal"/>
    <w:link w:val="BodyTextChar"/>
    <w:rsid w:val="00C619C7"/>
    <w:pPr>
      <w:spacing w:before="120" w:after="120"/>
      <w:contextualSpacing/>
    </w:pPr>
    <w:rPr>
      <w:rFonts w:ascii="Times New Roman" w:hAnsi="Times New Roman"/>
      <w:sz w:val="24"/>
      <w:szCs w:val="22"/>
    </w:rPr>
  </w:style>
  <w:style w:type="character" w:customStyle="1" w:styleId="BodyTextChar">
    <w:name w:val="Body Text Char"/>
    <w:link w:val="BodyText"/>
    <w:rsid w:val="00C619C7"/>
    <w:rPr>
      <w:rFonts w:ascii="Times New Roman" w:eastAsia="Times New Roman" w:hAnsi="Times New Roman" w:cs="Times New Roman"/>
      <w:sz w:val="24"/>
      <w:lang w:val="en-US" w:eastAsia="en-US"/>
    </w:rPr>
  </w:style>
  <w:style w:type="paragraph" w:styleId="Footer">
    <w:name w:val="footer"/>
    <w:basedOn w:val="Normal"/>
    <w:link w:val="FooterChar"/>
    <w:rsid w:val="00C619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619C7"/>
    <w:rPr>
      <w:rFonts w:ascii="Times New Roman" w:eastAsia="Times New Roman" w:hAnsi="Times New Roman" w:cs="Times New Roman"/>
      <w:sz w:val="16"/>
      <w:lang w:val="en-US" w:eastAsia="en-US"/>
    </w:rPr>
  </w:style>
  <w:style w:type="paragraph" w:styleId="List">
    <w:name w:val="List"/>
    <w:basedOn w:val="BodyText"/>
    <w:next w:val="BodyText"/>
    <w:rsid w:val="00C619C7"/>
    <w:pPr>
      <w:tabs>
        <w:tab w:val="left" w:pos="340"/>
      </w:tabs>
      <w:spacing w:before="60" w:after="60"/>
      <w:ind w:left="340" w:hanging="340"/>
    </w:pPr>
  </w:style>
  <w:style w:type="paragraph" w:styleId="ListBullet">
    <w:name w:val="List Bullet"/>
    <w:basedOn w:val="List"/>
    <w:rsid w:val="00C619C7"/>
    <w:pPr>
      <w:numPr>
        <w:numId w:val="12"/>
      </w:numPr>
      <w:tabs>
        <w:tab w:val="clear" w:pos="340"/>
      </w:tabs>
      <w:spacing w:before="40" w:after="40"/>
    </w:pPr>
  </w:style>
  <w:style w:type="character" w:customStyle="1" w:styleId="SpecialBold">
    <w:name w:val="Special Bold"/>
    <w:rsid w:val="00C619C7"/>
    <w:rPr>
      <w:b/>
      <w:spacing w:val="0"/>
    </w:rPr>
  </w:style>
  <w:style w:type="paragraph" w:customStyle="1" w:styleId="SuperHeading">
    <w:name w:val="SuperHeading"/>
    <w:basedOn w:val="Normal"/>
    <w:rsid w:val="00C619C7"/>
    <w:pPr>
      <w:spacing w:before="240" w:after="120"/>
      <w:outlineLvl w:val="0"/>
    </w:pPr>
    <w:rPr>
      <w:rFonts w:ascii="Times New Roman" w:hAnsi="Times New Roman"/>
      <w:b/>
      <w:sz w:val="28"/>
    </w:rPr>
  </w:style>
  <w:style w:type="paragraph" w:customStyle="1" w:styleId="AllowPageBreak">
    <w:name w:val="AllowPageBreak"/>
    <w:rsid w:val="00C619C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619C7"/>
    <w:pPr>
      <w:tabs>
        <w:tab w:val="left" w:pos="680"/>
      </w:tabs>
      <w:spacing w:before="60" w:after="60"/>
      <w:ind w:left="680" w:hanging="340"/>
    </w:pPr>
  </w:style>
  <w:style w:type="character" w:customStyle="1" w:styleId="Heading2Char">
    <w:name w:val="Heading 2 Char"/>
    <w:link w:val="Heading2"/>
    <w:rsid w:val="00C619C7"/>
    <w:rPr>
      <w:rFonts w:ascii="Times New Roman" w:eastAsia="Times New Roman" w:hAnsi="Times New Roman" w:cs="Times New Roman"/>
      <w:b/>
      <w:sz w:val="28"/>
      <w:szCs w:val="40"/>
      <w:lang w:eastAsia="en-US"/>
    </w:rPr>
  </w:style>
  <w:style w:type="character" w:customStyle="1" w:styleId="Heading3Char">
    <w:name w:val="Heading 3 Char"/>
    <w:link w:val="Heading3"/>
    <w:rsid w:val="00C619C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619C7"/>
    <w:rPr>
      <w:rFonts w:ascii="Times New Roman" w:eastAsia="Times New Roman" w:hAnsi="Times New Roman" w:cs="Times New Roman"/>
      <w:b/>
      <w:szCs w:val="20"/>
      <w:lang w:eastAsia="en-US"/>
    </w:rPr>
  </w:style>
  <w:style w:type="character" w:customStyle="1" w:styleId="Heading5Char">
    <w:name w:val="Heading 5 Char"/>
    <w:link w:val="Heading5"/>
    <w:rsid w:val="00C619C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619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19C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619C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619C7"/>
    <w:rPr>
      <w:rFonts w:ascii="Courier New" w:eastAsia="Times New Roman" w:hAnsi="Courier New" w:cs="Times New Roman"/>
      <w:i/>
      <w:szCs w:val="20"/>
      <w:lang w:val="en-US" w:eastAsia="en-US"/>
    </w:rPr>
  </w:style>
  <w:style w:type="paragraph" w:customStyle="1" w:styleId="HeadingBase">
    <w:name w:val="Heading Base"/>
    <w:rsid w:val="00C619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19C7"/>
    <w:pPr>
      <w:tabs>
        <w:tab w:val="right" w:leader="dot" w:pos="9072"/>
      </w:tabs>
      <w:ind w:left="567"/>
    </w:pPr>
    <w:rPr>
      <w:szCs w:val="22"/>
    </w:rPr>
  </w:style>
  <w:style w:type="paragraph" w:customStyle="1" w:styleId="TOCBase">
    <w:name w:val="TOC Base"/>
    <w:rsid w:val="00C619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19C7"/>
    <w:pPr>
      <w:tabs>
        <w:tab w:val="right" w:leader="dot" w:pos="9072"/>
      </w:tabs>
      <w:spacing w:before="40" w:after="40"/>
      <w:ind w:left="284"/>
    </w:pPr>
    <w:rPr>
      <w:rFonts w:ascii="Times New Roman" w:hAnsi="Times New Roman"/>
    </w:rPr>
  </w:style>
  <w:style w:type="paragraph" w:styleId="TOC1">
    <w:name w:val="toc 1"/>
    <w:basedOn w:val="TOCBase"/>
    <w:next w:val="Normal"/>
    <w:rsid w:val="00C619C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619C7"/>
    <w:pPr>
      <w:spacing w:before="5040"/>
      <w:jc w:val="center"/>
    </w:pPr>
    <w:rPr>
      <w:sz w:val="48"/>
      <w:szCs w:val="72"/>
      <w:lang w:val="en-US"/>
    </w:rPr>
  </w:style>
  <w:style w:type="character" w:customStyle="1" w:styleId="TitleChar">
    <w:name w:val="Title Char"/>
    <w:link w:val="Title"/>
    <w:rsid w:val="00C619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19C7"/>
    <w:pPr>
      <w:tabs>
        <w:tab w:val="left" w:pos="3600"/>
        <w:tab w:val="left" w:pos="3958"/>
      </w:tabs>
    </w:pPr>
  </w:style>
  <w:style w:type="paragraph" w:customStyle="1" w:styleId="Note">
    <w:name w:val="Note"/>
    <w:basedOn w:val="BodyText"/>
    <w:rsid w:val="00C619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19C7"/>
    <w:pPr>
      <w:framePr w:wrap="auto" w:hAnchor="text" w:y="6049"/>
    </w:pPr>
    <w:rPr>
      <w:color w:val="000000"/>
      <w:sz w:val="40"/>
    </w:rPr>
  </w:style>
  <w:style w:type="paragraph" w:customStyle="1" w:styleId="TOCTitle">
    <w:name w:val="TOCTitle"/>
    <w:basedOn w:val="Heading1"/>
    <w:rsid w:val="00C619C7"/>
    <w:pPr>
      <w:spacing w:after="240"/>
      <w:jc w:val="center"/>
      <w:outlineLvl w:val="9"/>
    </w:pPr>
    <w:rPr>
      <w:caps/>
    </w:rPr>
  </w:style>
  <w:style w:type="paragraph" w:customStyle="1" w:styleId="Version">
    <w:name w:val="Version"/>
    <w:rsid w:val="00C619C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619C7"/>
    <w:pPr>
      <w:numPr>
        <w:numId w:val="13"/>
      </w:numPr>
      <w:tabs>
        <w:tab w:val="clear" w:pos="680"/>
      </w:tabs>
    </w:pPr>
  </w:style>
  <w:style w:type="paragraph" w:styleId="Index1">
    <w:name w:val="index 1"/>
    <w:basedOn w:val="Normal"/>
    <w:next w:val="Normal"/>
    <w:semiHidden/>
    <w:rsid w:val="00C619C7"/>
    <w:pPr>
      <w:keepNext w:val="0"/>
      <w:tabs>
        <w:tab w:val="right" w:pos="4176"/>
      </w:tabs>
      <w:ind w:left="198" w:hanging="198"/>
    </w:pPr>
    <w:rPr>
      <w:rFonts w:ascii="Garamond" w:hAnsi="Garamond"/>
    </w:rPr>
  </w:style>
  <w:style w:type="paragraph" w:styleId="IndexHeading">
    <w:name w:val="index heading"/>
    <w:basedOn w:val="Normal"/>
    <w:next w:val="Index1"/>
    <w:semiHidden/>
    <w:rsid w:val="00C619C7"/>
    <w:pPr>
      <w:spacing w:before="120" w:after="120"/>
    </w:pPr>
    <w:rPr>
      <w:rFonts w:ascii="Arial" w:hAnsi="Arial"/>
      <w:b/>
      <w:color w:val="918585"/>
      <w:sz w:val="24"/>
    </w:rPr>
  </w:style>
  <w:style w:type="paragraph" w:styleId="Header">
    <w:name w:val="header"/>
    <w:basedOn w:val="Normal"/>
    <w:link w:val="HeaderChar"/>
    <w:rsid w:val="00C619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619C7"/>
    <w:rPr>
      <w:rFonts w:ascii="Times New Roman" w:eastAsia="Times New Roman" w:hAnsi="Times New Roman" w:cs="Times New Roman"/>
      <w:sz w:val="16"/>
      <w:szCs w:val="20"/>
      <w:lang w:val="en-GB" w:eastAsia="en-US"/>
    </w:rPr>
  </w:style>
  <w:style w:type="paragraph" w:customStyle="1" w:styleId="Chapter">
    <w:name w:val="Chapter"/>
    <w:basedOn w:val="Normal"/>
    <w:rsid w:val="00C619C7"/>
    <w:pPr>
      <w:spacing w:before="240"/>
    </w:pPr>
    <w:rPr>
      <w:rFonts w:ascii="Times New Roman" w:hAnsi="Times New Roman"/>
      <w:smallCaps/>
      <w:spacing w:val="80"/>
      <w:sz w:val="28"/>
    </w:rPr>
  </w:style>
  <w:style w:type="paragraph" w:customStyle="1" w:styleId="InChapter">
    <w:name w:val="InChapter"/>
    <w:basedOn w:val="Heading3"/>
    <w:rsid w:val="00C619C7"/>
    <w:pPr>
      <w:spacing w:after="240"/>
      <w:outlineLvl w:val="9"/>
    </w:pPr>
    <w:rPr>
      <w:noProof/>
    </w:rPr>
  </w:style>
  <w:style w:type="paragraph" w:styleId="Index2">
    <w:name w:val="index 2"/>
    <w:basedOn w:val="Normal"/>
    <w:next w:val="Normal"/>
    <w:semiHidden/>
    <w:rsid w:val="00C619C7"/>
    <w:pPr>
      <w:tabs>
        <w:tab w:val="right" w:pos="4176"/>
      </w:tabs>
      <w:ind w:left="568" w:hanging="284"/>
    </w:pPr>
    <w:rPr>
      <w:rFonts w:ascii="Garamond" w:hAnsi="Garamond"/>
    </w:rPr>
  </w:style>
  <w:style w:type="paragraph" w:customStyle="1" w:styleId="Byline">
    <w:name w:val="Byline"/>
    <w:rsid w:val="00C619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19C7"/>
    <w:pPr>
      <w:tabs>
        <w:tab w:val="clear" w:pos="3600"/>
        <w:tab w:val="clear" w:pos="3958"/>
      </w:tabs>
      <w:jc w:val="right"/>
    </w:pPr>
  </w:style>
  <w:style w:type="character" w:styleId="Emphasis">
    <w:name w:val="Emphasis"/>
    <w:qFormat/>
    <w:rsid w:val="00C619C7"/>
    <w:rPr>
      <w:i/>
    </w:rPr>
  </w:style>
  <w:style w:type="paragraph" w:styleId="Caption">
    <w:name w:val="caption"/>
    <w:basedOn w:val="BodyText"/>
    <w:next w:val="Normal"/>
    <w:qFormat/>
    <w:rsid w:val="00C619C7"/>
    <w:pPr>
      <w:framePr w:w="2268" w:hSpace="181" w:vSpace="181" w:wrap="around" w:vAnchor="text" w:hAnchor="page" w:x="1135" w:y="285" w:anchorLock="1"/>
    </w:pPr>
    <w:rPr>
      <w:i/>
    </w:rPr>
  </w:style>
  <w:style w:type="paragraph" w:customStyle="1" w:styleId="MiniTOCTitle">
    <w:name w:val="MiniTOCTitle"/>
    <w:basedOn w:val="Heading4"/>
    <w:rsid w:val="00C619C7"/>
    <w:pPr>
      <w:spacing w:before="240"/>
      <w:outlineLvl w:val="9"/>
    </w:pPr>
    <w:rPr>
      <w:noProof/>
      <w:sz w:val="24"/>
    </w:rPr>
  </w:style>
  <w:style w:type="paragraph" w:customStyle="1" w:styleId="MiniTOCItem">
    <w:name w:val="MiniTOCItem"/>
    <w:basedOn w:val="ListBullet"/>
    <w:rsid w:val="00C619C7"/>
    <w:pPr>
      <w:numPr>
        <w:numId w:val="0"/>
      </w:numPr>
      <w:tabs>
        <w:tab w:val="right" w:leader="dot" w:pos="6521"/>
      </w:tabs>
      <w:spacing w:before="0" w:after="0"/>
    </w:pPr>
  </w:style>
  <w:style w:type="paragraph" w:customStyle="1" w:styleId="TOFTitle">
    <w:name w:val="TOFTitle"/>
    <w:basedOn w:val="TOCTitle"/>
    <w:rsid w:val="00C619C7"/>
  </w:style>
  <w:style w:type="paragraph" w:styleId="TableofFigures">
    <w:name w:val="table of figures"/>
    <w:basedOn w:val="Normal"/>
    <w:next w:val="Normal"/>
    <w:semiHidden/>
    <w:rsid w:val="00C619C7"/>
    <w:pPr>
      <w:tabs>
        <w:tab w:val="right" w:leader="dot" w:pos="9072"/>
      </w:tabs>
      <w:ind w:left="970" w:hanging="403"/>
    </w:pPr>
    <w:rPr>
      <w:rFonts w:ascii="Times New Roman" w:hAnsi="Times New Roman"/>
      <w:b/>
    </w:rPr>
  </w:style>
  <w:style w:type="paragraph" w:styleId="ListNumber">
    <w:name w:val="List Number"/>
    <w:basedOn w:val="List"/>
    <w:rsid w:val="00C619C7"/>
    <w:pPr>
      <w:numPr>
        <w:numId w:val="10"/>
      </w:numPr>
    </w:pPr>
  </w:style>
  <w:style w:type="character" w:customStyle="1" w:styleId="WingdingSymbols">
    <w:name w:val="Wingding Symbols"/>
    <w:rsid w:val="00C619C7"/>
    <w:rPr>
      <w:rFonts w:ascii="Wingdings" w:hAnsi="Wingdings"/>
    </w:rPr>
  </w:style>
  <w:style w:type="paragraph" w:customStyle="1" w:styleId="TableHeading">
    <w:name w:val="Table Heading"/>
    <w:basedOn w:val="HeadingBase"/>
    <w:rsid w:val="00C619C7"/>
    <w:pPr>
      <w:keepLines/>
      <w:pBdr>
        <w:bottom w:val="single" w:sz="6" w:space="1" w:color="918585"/>
      </w:pBdr>
      <w:spacing w:before="240"/>
    </w:pPr>
  </w:style>
  <w:style w:type="character" w:customStyle="1" w:styleId="HotSpot">
    <w:name w:val="HotSpot"/>
    <w:rsid w:val="00C619C7"/>
    <w:rPr>
      <w:color w:val="0033CC"/>
      <w:u w:val="none"/>
    </w:rPr>
  </w:style>
  <w:style w:type="paragraph" w:customStyle="1" w:styleId="BodyTextRight">
    <w:name w:val="Body Text Right"/>
    <w:basedOn w:val="BodyText"/>
    <w:rsid w:val="00C619C7"/>
    <w:pPr>
      <w:spacing w:before="0" w:after="0"/>
      <w:jc w:val="right"/>
    </w:pPr>
  </w:style>
  <w:style w:type="paragraph" w:styleId="Index3">
    <w:name w:val="index 3"/>
    <w:basedOn w:val="ListNumber2"/>
    <w:next w:val="Normal"/>
    <w:semiHidden/>
    <w:rsid w:val="00C619C7"/>
    <w:pPr>
      <w:numPr>
        <w:numId w:val="0"/>
      </w:numPr>
      <w:tabs>
        <w:tab w:val="right" w:leader="dot" w:pos="4176"/>
      </w:tabs>
    </w:pPr>
  </w:style>
  <w:style w:type="paragraph" w:styleId="ListNumber2">
    <w:name w:val="List Number 2"/>
    <w:basedOn w:val="List2"/>
    <w:rsid w:val="00C619C7"/>
    <w:pPr>
      <w:numPr>
        <w:numId w:val="9"/>
      </w:numPr>
      <w:tabs>
        <w:tab w:val="clear" w:pos="1060"/>
      </w:tabs>
    </w:pPr>
  </w:style>
  <w:style w:type="paragraph" w:customStyle="1" w:styleId="MarginNote">
    <w:name w:val="Margin Note"/>
    <w:basedOn w:val="BodyText"/>
    <w:rsid w:val="00C619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19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619C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619C7"/>
    <w:rPr>
      <w:sz w:val="32"/>
    </w:rPr>
  </w:style>
  <w:style w:type="paragraph" w:customStyle="1" w:styleId="HeadingProcedure">
    <w:name w:val="Heading Procedure"/>
    <w:basedOn w:val="HeadingBase"/>
    <w:next w:val="Normal"/>
    <w:rsid w:val="00C619C7"/>
    <w:pPr>
      <w:tabs>
        <w:tab w:val="left" w:pos="0"/>
      </w:tabs>
      <w:spacing w:before="120" w:after="60"/>
    </w:pPr>
    <w:rPr>
      <w:i/>
      <w:color w:val="918585"/>
      <w:sz w:val="22"/>
    </w:rPr>
  </w:style>
  <w:style w:type="paragraph" w:customStyle="1" w:styleId="TableBodyText">
    <w:name w:val="Table Body Text"/>
    <w:basedOn w:val="BodyText"/>
    <w:rsid w:val="00C619C7"/>
    <w:pPr>
      <w:spacing w:before="60" w:after="60"/>
    </w:pPr>
  </w:style>
  <w:style w:type="paragraph" w:styleId="ListContinue">
    <w:name w:val="List Continue"/>
    <w:basedOn w:val="List"/>
    <w:rsid w:val="00C619C7"/>
    <w:pPr>
      <w:ind w:firstLine="0"/>
    </w:pPr>
  </w:style>
  <w:style w:type="paragraph" w:customStyle="1" w:styleId="ListNote">
    <w:name w:val="List Note"/>
    <w:basedOn w:val="List"/>
    <w:rsid w:val="00C619C7"/>
    <w:pPr>
      <w:pBdr>
        <w:top w:val="single" w:sz="6" w:space="2" w:color="918585"/>
        <w:bottom w:val="single" w:sz="6" w:space="2" w:color="918585"/>
      </w:pBdr>
      <w:tabs>
        <w:tab w:val="left" w:pos="1021"/>
      </w:tabs>
      <w:ind w:firstLine="0"/>
    </w:pPr>
  </w:style>
  <w:style w:type="paragraph" w:customStyle="1" w:styleId="Warning">
    <w:name w:val="Warning"/>
    <w:basedOn w:val="BodyText"/>
    <w:rsid w:val="00C619C7"/>
    <w:pPr>
      <w:shd w:val="clear" w:color="auto" w:fill="D9D9D9"/>
      <w:tabs>
        <w:tab w:val="left" w:pos="992"/>
      </w:tabs>
      <w:ind w:left="119" w:right="119"/>
    </w:pPr>
    <w:rPr>
      <w:sz w:val="20"/>
    </w:rPr>
  </w:style>
  <w:style w:type="paragraph" w:customStyle="1" w:styleId="MarginIcons">
    <w:name w:val="Margin Icons"/>
    <w:basedOn w:val="BodyText"/>
    <w:rsid w:val="00C619C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619C7"/>
    <w:rPr>
      <w:rFonts w:ascii="Courier New" w:hAnsi="Courier New"/>
    </w:rPr>
  </w:style>
  <w:style w:type="paragraph" w:customStyle="1" w:styleId="NoteBullet">
    <w:name w:val="Note Bullet"/>
    <w:basedOn w:val="Note"/>
    <w:rsid w:val="00C619C7"/>
    <w:pPr>
      <w:tabs>
        <w:tab w:val="clear" w:pos="680"/>
      </w:tabs>
      <w:spacing w:before="60" w:after="60"/>
    </w:pPr>
  </w:style>
  <w:style w:type="paragraph" w:customStyle="1" w:styleId="SubHeading2">
    <w:name w:val="SubHeading2"/>
    <w:basedOn w:val="HeadingBase"/>
    <w:rsid w:val="00C619C7"/>
    <w:pPr>
      <w:spacing w:before="240" w:after="60"/>
    </w:pPr>
    <w:rPr>
      <w:sz w:val="20"/>
    </w:rPr>
  </w:style>
  <w:style w:type="paragraph" w:customStyle="1" w:styleId="SubHeading1">
    <w:name w:val="SubHeading1"/>
    <w:basedOn w:val="HeadingBase"/>
    <w:rsid w:val="00C619C7"/>
    <w:pPr>
      <w:spacing w:before="240" w:after="60"/>
    </w:pPr>
    <w:rPr>
      <w:color w:val="918585"/>
      <w:sz w:val="22"/>
    </w:rPr>
  </w:style>
  <w:style w:type="paragraph" w:customStyle="1" w:styleId="SideHeading">
    <w:name w:val="Side Heading"/>
    <w:basedOn w:val="HeadingBase"/>
    <w:rsid w:val="00C619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19C7"/>
    <w:pPr>
      <w:tabs>
        <w:tab w:val="num" w:pos="360"/>
      </w:tabs>
    </w:pPr>
  </w:style>
  <w:style w:type="paragraph" w:styleId="PlainText">
    <w:name w:val="Plain Text"/>
    <w:basedOn w:val="Normal"/>
    <w:link w:val="PlainTextChar"/>
    <w:rsid w:val="00C619C7"/>
    <w:rPr>
      <w:sz w:val="20"/>
    </w:rPr>
  </w:style>
  <w:style w:type="character" w:customStyle="1" w:styleId="PlainTextChar">
    <w:name w:val="Plain Text Char"/>
    <w:basedOn w:val="DefaultParagraphFont"/>
    <w:link w:val="PlainText"/>
    <w:rsid w:val="00C619C7"/>
    <w:rPr>
      <w:rFonts w:ascii="Courier New" w:eastAsia="Times New Roman" w:hAnsi="Courier New" w:cs="Times New Roman"/>
      <w:sz w:val="20"/>
      <w:szCs w:val="20"/>
      <w:lang w:val="en-US" w:eastAsia="en-US"/>
    </w:rPr>
  </w:style>
  <w:style w:type="character" w:customStyle="1" w:styleId="MenuOption">
    <w:name w:val="Menu Option"/>
    <w:rsid w:val="00C619C7"/>
    <w:rPr>
      <w:b/>
      <w:smallCaps/>
    </w:rPr>
  </w:style>
  <w:style w:type="paragraph" w:customStyle="1" w:styleId="TableListNumber">
    <w:name w:val="Table List Number"/>
    <w:basedOn w:val="ListNumber"/>
    <w:rsid w:val="00C619C7"/>
    <w:pPr>
      <w:numPr>
        <w:numId w:val="0"/>
      </w:numPr>
    </w:pPr>
  </w:style>
  <w:style w:type="paragraph" w:styleId="TOC4">
    <w:name w:val="toc 4"/>
    <w:basedOn w:val="TOCBase"/>
    <w:next w:val="Normal"/>
    <w:semiHidden/>
    <w:rsid w:val="00C619C7"/>
    <w:pPr>
      <w:tabs>
        <w:tab w:val="right" w:leader="dot" w:pos="9071"/>
      </w:tabs>
      <w:ind w:left="1701"/>
    </w:pPr>
  </w:style>
  <w:style w:type="paragraph" w:customStyle="1" w:styleId="ListAlpha">
    <w:name w:val="List Alpha"/>
    <w:basedOn w:val="List"/>
    <w:rsid w:val="00C619C7"/>
    <w:pPr>
      <w:numPr>
        <w:numId w:val="8"/>
      </w:numPr>
    </w:pPr>
  </w:style>
  <w:style w:type="paragraph" w:customStyle="1" w:styleId="ListAlpha2">
    <w:name w:val="List Alpha 2"/>
    <w:basedOn w:val="List2"/>
    <w:rsid w:val="00C619C7"/>
    <w:pPr>
      <w:numPr>
        <w:numId w:val="7"/>
      </w:numPr>
    </w:pPr>
  </w:style>
  <w:style w:type="paragraph" w:styleId="List3">
    <w:name w:val="List 3"/>
    <w:basedOn w:val="BodyText"/>
    <w:rsid w:val="00C619C7"/>
    <w:pPr>
      <w:tabs>
        <w:tab w:val="left" w:pos="1021"/>
      </w:tabs>
      <w:spacing w:before="60" w:after="60"/>
      <w:ind w:left="1020" w:hanging="340"/>
    </w:pPr>
  </w:style>
  <w:style w:type="paragraph" w:styleId="List4">
    <w:name w:val="List 4"/>
    <w:basedOn w:val="BodyText"/>
    <w:rsid w:val="00C619C7"/>
    <w:pPr>
      <w:tabs>
        <w:tab w:val="left" w:pos="1361"/>
      </w:tabs>
      <w:spacing w:before="60" w:after="60"/>
      <w:ind w:left="1361" w:hanging="340"/>
    </w:pPr>
  </w:style>
  <w:style w:type="paragraph" w:styleId="List5">
    <w:name w:val="List 5"/>
    <w:basedOn w:val="BodyText"/>
    <w:rsid w:val="00C619C7"/>
    <w:pPr>
      <w:tabs>
        <w:tab w:val="left" w:pos="1701"/>
      </w:tabs>
      <w:spacing w:before="60" w:after="60"/>
      <w:ind w:left="1701" w:hanging="340"/>
    </w:pPr>
  </w:style>
  <w:style w:type="paragraph" w:styleId="ListBullet3">
    <w:name w:val="List Bullet 3"/>
    <w:basedOn w:val="List3"/>
    <w:rsid w:val="00C619C7"/>
    <w:pPr>
      <w:numPr>
        <w:numId w:val="14"/>
      </w:numPr>
      <w:tabs>
        <w:tab w:val="clear" w:pos="1021"/>
      </w:tabs>
      <w:ind w:left="1037" w:hanging="357"/>
    </w:pPr>
  </w:style>
  <w:style w:type="paragraph" w:styleId="ListBullet4">
    <w:name w:val="List Bullet 4"/>
    <w:basedOn w:val="List4"/>
    <w:rsid w:val="00C619C7"/>
    <w:pPr>
      <w:numPr>
        <w:numId w:val="2"/>
      </w:numPr>
    </w:pPr>
  </w:style>
  <w:style w:type="paragraph" w:styleId="ListBullet5">
    <w:name w:val="List Bullet 5"/>
    <w:basedOn w:val="List5"/>
    <w:rsid w:val="00C619C7"/>
    <w:pPr>
      <w:numPr>
        <w:numId w:val="3"/>
      </w:numPr>
    </w:pPr>
  </w:style>
  <w:style w:type="paragraph" w:styleId="ListContinue2">
    <w:name w:val="List Continue 2"/>
    <w:basedOn w:val="List2"/>
    <w:rsid w:val="00C619C7"/>
    <w:pPr>
      <w:ind w:firstLine="0"/>
    </w:pPr>
  </w:style>
  <w:style w:type="paragraph" w:styleId="ListContinue3">
    <w:name w:val="List Continue 3"/>
    <w:basedOn w:val="List3"/>
    <w:rsid w:val="00C619C7"/>
    <w:pPr>
      <w:ind w:left="1021" w:firstLine="0"/>
    </w:pPr>
  </w:style>
  <w:style w:type="paragraph" w:styleId="ListContinue4">
    <w:name w:val="List Continue 4"/>
    <w:basedOn w:val="List4"/>
    <w:rsid w:val="00C619C7"/>
    <w:pPr>
      <w:ind w:firstLine="0"/>
    </w:pPr>
  </w:style>
  <w:style w:type="paragraph" w:styleId="ListContinue5">
    <w:name w:val="List Continue 5"/>
    <w:basedOn w:val="List5"/>
    <w:rsid w:val="00C619C7"/>
    <w:pPr>
      <w:ind w:firstLine="0"/>
    </w:pPr>
  </w:style>
  <w:style w:type="paragraph" w:styleId="ListNumber3">
    <w:name w:val="List Number 3"/>
    <w:basedOn w:val="List3"/>
    <w:rsid w:val="00C619C7"/>
    <w:pPr>
      <w:numPr>
        <w:numId w:val="4"/>
      </w:numPr>
    </w:pPr>
  </w:style>
  <w:style w:type="paragraph" w:styleId="ListNumber4">
    <w:name w:val="List Number 4"/>
    <w:basedOn w:val="List4"/>
    <w:rsid w:val="00C619C7"/>
    <w:pPr>
      <w:numPr>
        <w:numId w:val="5"/>
      </w:numPr>
    </w:pPr>
  </w:style>
  <w:style w:type="paragraph" w:styleId="ListNumber5">
    <w:name w:val="List Number 5"/>
    <w:basedOn w:val="List5"/>
    <w:rsid w:val="00C619C7"/>
    <w:pPr>
      <w:numPr>
        <w:numId w:val="6"/>
      </w:numPr>
    </w:pPr>
  </w:style>
  <w:style w:type="paragraph" w:styleId="BlockText">
    <w:name w:val="Block Text"/>
    <w:basedOn w:val="Normal"/>
    <w:rsid w:val="00C619C7"/>
    <w:pPr>
      <w:spacing w:after="120"/>
      <w:ind w:left="1440" w:right="1440"/>
    </w:pPr>
  </w:style>
  <w:style w:type="character" w:customStyle="1" w:styleId="Subscript">
    <w:name w:val="Subscript"/>
    <w:rsid w:val="00C619C7"/>
    <w:rPr>
      <w:sz w:val="16"/>
      <w:vertAlign w:val="subscript"/>
    </w:rPr>
  </w:style>
  <w:style w:type="character" w:customStyle="1" w:styleId="Superscript">
    <w:name w:val="Superscript"/>
    <w:rsid w:val="00C619C7"/>
    <w:rPr>
      <w:sz w:val="16"/>
      <w:vertAlign w:val="superscript"/>
    </w:rPr>
  </w:style>
  <w:style w:type="character" w:customStyle="1" w:styleId="Symbols">
    <w:name w:val="Symbols"/>
    <w:rsid w:val="00C619C7"/>
    <w:rPr>
      <w:rFonts w:ascii="Symbol" w:hAnsi="Symbol"/>
    </w:rPr>
  </w:style>
  <w:style w:type="character" w:customStyle="1" w:styleId="MenuOptions">
    <w:name w:val="Menu Options"/>
    <w:rsid w:val="00C619C7"/>
    <w:rPr>
      <w:rFonts w:ascii="Arial Narrow" w:hAnsi="Arial Narrow"/>
      <w:smallCaps/>
    </w:rPr>
  </w:style>
  <w:style w:type="character" w:customStyle="1" w:styleId="Buttons">
    <w:name w:val="Buttons"/>
    <w:rsid w:val="00C619C7"/>
    <w:rPr>
      <w:b/>
    </w:rPr>
  </w:style>
  <w:style w:type="character" w:customStyle="1" w:styleId="Underlined">
    <w:name w:val="Underlined"/>
    <w:rsid w:val="00C619C7"/>
    <w:rPr>
      <w:u w:val="single"/>
    </w:rPr>
  </w:style>
  <w:style w:type="paragraph" w:customStyle="1" w:styleId="TableBodyTextRight">
    <w:name w:val="Table Body Text Right"/>
    <w:basedOn w:val="TableBodyText"/>
    <w:rsid w:val="00C619C7"/>
    <w:pPr>
      <w:widowControl w:val="0"/>
      <w:autoSpaceDE w:val="0"/>
      <w:autoSpaceDN w:val="0"/>
      <w:adjustRightInd w:val="0"/>
      <w:jc w:val="right"/>
    </w:pPr>
    <w:rPr>
      <w:rFonts w:cs="Arial"/>
      <w:szCs w:val="18"/>
    </w:rPr>
  </w:style>
  <w:style w:type="paragraph" w:customStyle="1" w:styleId="CopyrightText">
    <w:name w:val="Copyright Text"/>
    <w:basedOn w:val="BodyText"/>
    <w:rsid w:val="00C619C7"/>
    <w:rPr>
      <w:sz w:val="18"/>
    </w:rPr>
  </w:style>
  <w:style w:type="paragraph" w:customStyle="1" w:styleId="BodySmallRight">
    <w:name w:val="Body Small Right"/>
    <w:basedOn w:val="BodyTextRight"/>
    <w:rsid w:val="00C619C7"/>
    <w:rPr>
      <w:sz w:val="18"/>
      <w:szCs w:val="18"/>
    </w:rPr>
  </w:style>
  <w:style w:type="paragraph" w:customStyle="1" w:styleId="MarginEdition">
    <w:name w:val="Margin Edition"/>
    <w:basedOn w:val="MarginNote"/>
    <w:rsid w:val="00C619C7"/>
    <w:pPr>
      <w:spacing w:before="0" w:after="0"/>
    </w:pPr>
    <w:rPr>
      <w:rFonts w:ascii="Times New Roman" w:hAnsi="Times New Roman"/>
      <w:color w:val="999999"/>
    </w:rPr>
  </w:style>
  <w:style w:type="paragraph" w:customStyle="1" w:styleId="Spacer">
    <w:name w:val="Spacer"/>
    <w:basedOn w:val="Normal"/>
    <w:rsid w:val="00C619C7"/>
    <w:rPr>
      <w:sz w:val="2"/>
      <w:szCs w:val="2"/>
    </w:rPr>
  </w:style>
  <w:style w:type="character" w:customStyle="1" w:styleId="Small">
    <w:name w:val="Small"/>
    <w:rsid w:val="00C619C7"/>
    <w:rPr>
      <w:sz w:val="16"/>
    </w:rPr>
  </w:style>
  <w:style w:type="paragraph" w:customStyle="1" w:styleId="WideTable">
    <w:name w:val="Wide Table"/>
    <w:basedOn w:val="Normal"/>
    <w:rsid w:val="00C619C7"/>
    <w:pPr>
      <w:ind w:left="-1418"/>
    </w:pPr>
    <w:rPr>
      <w:sz w:val="2"/>
      <w:szCs w:val="2"/>
    </w:rPr>
  </w:style>
  <w:style w:type="character" w:styleId="PageNumber">
    <w:name w:val="page number"/>
    <w:rsid w:val="00C619C7"/>
  </w:style>
  <w:style w:type="paragraph" w:styleId="Quote">
    <w:name w:val="Quote"/>
    <w:basedOn w:val="Heading1"/>
    <w:link w:val="QuoteChar"/>
    <w:qFormat/>
    <w:rsid w:val="00C619C7"/>
    <w:rPr>
      <w:b w:val="0"/>
      <w:sz w:val="72"/>
      <w:szCs w:val="72"/>
      <w:lang w:val="en-NZ"/>
    </w:rPr>
  </w:style>
  <w:style w:type="character" w:customStyle="1" w:styleId="QuoteChar">
    <w:name w:val="Quote Char"/>
    <w:link w:val="Quote"/>
    <w:rsid w:val="00C619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19C7"/>
    <w:pPr>
      <w:pageBreakBefore/>
    </w:pPr>
  </w:style>
  <w:style w:type="paragraph" w:customStyle="1" w:styleId="Border">
    <w:name w:val="Border"/>
    <w:basedOn w:val="Normal"/>
    <w:qFormat/>
    <w:rsid w:val="00C619C7"/>
    <w:pPr>
      <w:pBdr>
        <w:top w:val="single" w:sz="18" w:space="1" w:color="auto"/>
      </w:pBdr>
    </w:pPr>
    <w:rPr>
      <w:rFonts w:ascii="Times New Roman" w:hAnsi="Times New Roman"/>
      <w:color w:val="FFFFFF"/>
      <w:sz w:val="2"/>
    </w:rPr>
  </w:style>
  <w:style w:type="character" w:styleId="IntenseEmphasis">
    <w:name w:val="Intense Emphasis"/>
    <w:uiPriority w:val="21"/>
    <w:qFormat/>
    <w:rsid w:val="00C619C7"/>
    <w:rPr>
      <w:b/>
      <w:bCs/>
      <w:i/>
      <w:iCs/>
      <w:color w:val="auto"/>
    </w:rPr>
  </w:style>
  <w:style w:type="paragraph" w:styleId="IntenseQuote">
    <w:name w:val="Intense Quote"/>
    <w:basedOn w:val="Normal"/>
    <w:next w:val="Normal"/>
    <w:link w:val="IntenseQuoteChar"/>
    <w:uiPriority w:val="30"/>
    <w:qFormat/>
    <w:rsid w:val="00C619C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619C7"/>
    <w:rPr>
      <w:rFonts w:ascii="Courier New" w:eastAsia="Times New Roman" w:hAnsi="Courier New" w:cs="Times New Roman"/>
      <w:b/>
      <w:bCs/>
      <w:i/>
      <w:iCs/>
      <w:szCs w:val="20"/>
      <w:lang w:val="en-US" w:eastAsia="en-US"/>
    </w:rPr>
  </w:style>
  <w:style w:type="character" w:styleId="SubtleReference">
    <w:name w:val="Subtle Reference"/>
    <w:uiPriority w:val="31"/>
    <w:qFormat/>
    <w:rsid w:val="00C619C7"/>
    <w:rPr>
      <w:smallCaps/>
      <w:color w:val="auto"/>
      <w:u w:val="single"/>
    </w:rPr>
  </w:style>
  <w:style w:type="character" w:styleId="IntenseReference">
    <w:name w:val="Intense Reference"/>
    <w:uiPriority w:val="32"/>
    <w:qFormat/>
    <w:rsid w:val="00C619C7"/>
    <w:rPr>
      <w:b/>
      <w:bCs/>
      <w:smallCaps/>
      <w:color w:val="auto"/>
      <w:spacing w:val="5"/>
      <w:u w:val="single"/>
    </w:rPr>
  </w:style>
  <w:style w:type="paragraph" w:customStyle="1" w:styleId="2ColumnHeading">
    <w:name w:val="2Column Heading"/>
    <w:basedOn w:val="BodyText"/>
    <w:qFormat/>
    <w:rsid w:val="00C619C7"/>
    <w:pPr>
      <w:spacing w:after="60"/>
      <w:ind w:left="-2268"/>
    </w:pPr>
    <w:rPr>
      <w:b/>
    </w:rPr>
  </w:style>
  <w:style w:type="paragraph" w:customStyle="1" w:styleId="Heading1TOC">
    <w:name w:val="Heading1 TOC"/>
    <w:basedOn w:val="Normal"/>
    <w:qFormat/>
    <w:rsid w:val="00C619C7"/>
    <w:pPr>
      <w:spacing w:before="240" w:after="120"/>
    </w:pPr>
    <w:rPr>
      <w:rFonts w:ascii="Times New Roman" w:hAnsi="Times New Roman"/>
      <w:b/>
      <w:sz w:val="32"/>
    </w:rPr>
  </w:style>
  <w:style w:type="paragraph" w:customStyle="1" w:styleId="Heading2TOC">
    <w:name w:val="Heading2 TOC"/>
    <w:basedOn w:val="Normal"/>
    <w:qFormat/>
    <w:rsid w:val="00C619C7"/>
    <w:pPr>
      <w:spacing w:before="240" w:after="60"/>
    </w:pPr>
    <w:rPr>
      <w:rFonts w:ascii="Times New Roman" w:hAnsi="Times New Roman"/>
      <w:b/>
      <w:sz w:val="28"/>
    </w:rPr>
  </w:style>
  <w:style w:type="character" w:customStyle="1" w:styleId="Underline">
    <w:name w:val="Underline"/>
    <w:qFormat/>
    <w:rsid w:val="00C619C7"/>
    <w:rPr>
      <w:u w:val="single"/>
    </w:rPr>
  </w:style>
  <w:style w:type="character" w:customStyle="1" w:styleId="BoldandItalics">
    <w:name w:val="Bold and Italics"/>
    <w:qFormat/>
    <w:rsid w:val="00C619C7"/>
    <w:rPr>
      <w:b/>
      <w:i/>
      <w:u w:val="none"/>
    </w:rPr>
  </w:style>
  <w:style w:type="paragraph" w:styleId="BalloonText">
    <w:name w:val="Balloon Text"/>
    <w:basedOn w:val="Normal"/>
    <w:link w:val="BalloonTextChar"/>
    <w:rsid w:val="00C619C7"/>
    <w:rPr>
      <w:rFonts w:ascii="Tahoma" w:hAnsi="Tahoma" w:cs="Tahoma"/>
      <w:sz w:val="16"/>
      <w:szCs w:val="16"/>
    </w:rPr>
  </w:style>
  <w:style w:type="character" w:customStyle="1" w:styleId="BalloonTextChar">
    <w:name w:val="Balloon Text Char"/>
    <w:link w:val="BalloonText"/>
    <w:rsid w:val="00C619C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619C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619C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1250</Words>
  <Characters>8172</Characters>
  <Application>Microsoft Office Word</Application>
  <DocSecurity>0</DocSecurity>
  <Lines>271</Lines>
  <Paragraphs>112</Paragraphs>
  <ScaleCrop>false</ScaleCrop>
  <Company>Author-it Software Corporation Ltd.</Company>
  <LinksUpToDate>false</LinksUpToDate>
  <CharactersWithSpaces>9355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MEM22001A Perform engineering activities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2012-05-27T02:07:00Z</dcterms:created>
  <dcterms:modified xsi:type="dcterms:W3CDTF">2012-05-27T02:07:00Z</dcterms:modified>
</cp:coreProperties>
</file>